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20" w:type="dxa"/>
        <w:tblBorders>
          <w:top w:val="single" w:sz="4" w:space="0" w:color="44841A"/>
          <w:bottom w:val="single" w:sz="4" w:space="0" w:color="44841A"/>
          <w:insideH w:val="single" w:sz="4" w:space="0" w:color="44841A"/>
          <w:insideV w:val="single" w:sz="4" w:space="0" w:color="61A534"/>
        </w:tblBorders>
        <w:tblCellMar>
          <w:left w:w="0" w:type="dxa"/>
          <w:right w:w="0" w:type="dxa"/>
        </w:tblCellMar>
        <w:tblLook w:val="00A0" w:firstRow="1" w:lastRow="0" w:firstColumn="1" w:lastColumn="0" w:noHBand="0" w:noVBand="0"/>
      </w:tblPr>
      <w:tblGrid>
        <w:gridCol w:w="10020"/>
      </w:tblGrid>
      <w:tr w:rsidR="00F941D9" w14:paraId="18CD0A2B" w14:textId="77777777" w:rsidTr="047DC9A8">
        <w:tc>
          <w:tcPr>
            <w:tcW w:w="5000" w:type="pct"/>
            <w:tcBorders>
              <w:top w:val="single" w:sz="4" w:space="0" w:color="44841A" w:themeColor="accent1"/>
              <w:left w:val="nil"/>
              <w:bottom w:val="single" w:sz="4" w:space="0" w:color="44841A" w:themeColor="accent1"/>
              <w:right w:val="nil"/>
            </w:tcBorders>
            <w:shd w:val="clear" w:color="auto" w:fill="FFFFFF" w:themeFill="background1"/>
            <w:hideMark/>
          </w:tcPr>
          <w:p w14:paraId="2E3D6B7C" w14:textId="4BEFEB39" w:rsidR="00F941D9" w:rsidRPr="00701F1B" w:rsidRDefault="00F941D9" w:rsidP="00701F1B">
            <w:pPr>
              <w:pStyle w:val="Pictureframenormal"/>
            </w:pPr>
            <w:r>
              <w:rPr>
                <w:noProof/>
              </w:rPr>
              <w:drawing>
                <wp:inline distT="0" distB="0" distL="0" distR="0" wp14:anchorId="4CB1798F" wp14:editId="4FE5087A">
                  <wp:extent cx="6335556" cy="4460875"/>
                  <wp:effectExtent l="0" t="0" r="8255" b="0"/>
                  <wp:docPr id="46228066" name="Picture 4622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6635" cy="4475716"/>
                          </a:xfrm>
                          <a:prstGeom prst="rect">
                            <a:avLst/>
                          </a:prstGeom>
                          <a:noFill/>
                        </pic:spPr>
                      </pic:pic>
                    </a:graphicData>
                  </a:graphic>
                </wp:inline>
              </w:drawing>
            </w:r>
          </w:p>
          <w:p w14:paraId="05513E3B" w14:textId="0243F6E2" w:rsidR="00F941D9" w:rsidRPr="00701F1B" w:rsidRDefault="00EA26FF" w:rsidP="007651B4">
            <w:pPr>
              <w:pStyle w:val="Sourcewide"/>
            </w:pPr>
            <w:r w:rsidRPr="004E3590">
              <w:t>Workers campaigning for unionization in Philadelphia</w:t>
            </w:r>
            <w:r>
              <w:t>, USA</w:t>
            </w:r>
            <w:r w:rsidRPr="004E3590">
              <w:t xml:space="preserve">. Photo by Joe </w:t>
            </w:r>
            <w:proofErr w:type="spellStart"/>
            <w:r w:rsidRPr="004E3590">
              <w:t>Piette</w:t>
            </w:r>
            <w:proofErr w:type="spellEnd"/>
            <w:r w:rsidRPr="004E3590">
              <w:t>/Flickr.</w:t>
            </w:r>
          </w:p>
        </w:tc>
      </w:tr>
      <w:tr w:rsidR="00F941D9" w14:paraId="3A9B65E7" w14:textId="77777777" w:rsidTr="047DC9A8">
        <w:tc>
          <w:tcPr>
            <w:tcW w:w="5000" w:type="pct"/>
            <w:tcBorders>
              <w:top w:val="single" w:sz="4" w:space="0" w:color="44841A" w:themeColor="accent1"/>
              <w:left w:val="nil"/>
              <w:bottom w:val="single" w:sz="4" w:space="0" w:color="44841A" w:themeColor="accent1"/>
              <w:right w:val="nil"/>
            </w:tcBorders>
            <w:shd w:val="clear" w:color="auto" w:fill="FFFFFF" w:themeFill="background1"/>
            <w:hideMark/>
          </w:tcPr>
          <w:p w14:paraId="0CE4A75E" w14:textId="0EA8E015" w:rsidR="00D17046" w:rsidRPr="00DE6ABE" w:rsidRDefault="00F941D9" w:rsidP="00676C78">
            <w:pPr>
              <w:pStyle w:val="Covertitle1"/>
              <w:rPr>
                <w:szCs w:val="96"/>
              </w:rPr>
            </w:pPr>
            <w:r>
              <w:rPr>
                <w:szCs w:val="96"/>
              </w:rPr>
              <w:t>I</w:t>
            </w:r>
            <w:r w:rsidR="00791CC3">
              <w:rPr>
                <w:szCs w:val="96"/>
              </w:rPr>
              <w:t>NEQUALITY</w:t>
            </w:r>
            <w:r>
              <w:rPr>
                <w:szCs w:val="96"/>
              </w:rPr>
              <w:t xml:space="preserve"> INC.</w:t>
            </w:r>
          </w:p>
          <w:p w14:paraId="1A689EA8" w14:textId="3F241F8B" w:rsidR="00F941D9" w:rsidRPr="00676C78" w:rsidRDefault="00F941D9" w:rsidP="00676C78">
            <w:pPr>
              <w:pStyle w:val="Covertitle2"/>
              <w:ind w:right="0"/>
            </w:pPr>
            <w:r>
              <w:t xml:space="preserve">Methodology </w:t>
            </w:r>
            <w:proofErr w:type="gramStart"/>
            <w:r>
              <w:t>note</w:t>
            </w:r>
            <w:proofErr w:type="gramEnd"/>
          </w:p>
        </w:tc>
      </w:tr>
    </w:tbl>
    <w:p w14:paraId="76A124B5" w14:textId="4FBA1CAA" w:rsidR="00F941D9" w:rsidRPr="00D17046" w:rsidRDefault="00F941D9" w:rsidP="00DE6ABE">
      <w:pPr>
        <w:pStyle w:val="Coverembargo"/>
        <w:rPr>
          <w:color w:val="FF0000"/>
          <w:sz w:val="32"/>
          <w:szCs w:val="32"/>
        </w:rPr>
      </w:pPr>
      <w:r w:rsidRPr="00D17046">
        <w:rPr>
          <w:color w:val="FF0000"/>
          <w:sz w:val="32"/>
          <w:szCs w:val="32"/>
        </w:rPr>
        <w:t xml:space="preserve">EMBARGOED UNTIL 00:01 HRS GMT </w:t>
      </w:r>
      <w:r w:rsidR="00AB1D71" w:rsidRPr="00D17046">
        <w:rPr>
          <w:color w:val="FF0000"/>
          <w:sz w:val="32"/>
          <w:szCs w:val="32"/>
        </w:rPr>
        <w:t>15 JANUARY 2024</w:t>
      </w:r>
    </w:p>
    <w:p w14:paraId="4B5324D1" w14:textId="29C98184" w:rsidR="00F941D9" w:rsidRPr="00EC40AC" w:rsidRDefault="00EC40AC" w:rsidP="00EC40AC">
      <w:pPr>
        <w:pStyle w:val="Text"/>
        <w:rPr>
          <w:b/>
          <w:bCs/>
        </w:rPr>
      </w:pPr>
      <w:r w:rsidRPr="00EC40AC">
        <w:rPr>
          <w:b/>
          <w:bCs/>
        </w:rPr>
        <w:t xml:space="preserve">For the full Excel datasets behind these statistics, please contact Anthony </w:t>
      </w:r>
      <w:proofErr w:type="spellStart"/>
      <w:r w:rsidRPr="00EC40AC">
        <w:rPr>
          <w:b/>
          <w:bCs/>
        </w:rPr>
        <w:t>Kamande</w:t>
      </w:r>
      <w:proofErr w:type="spellEnd"/>
      <w:r w:rsidRPr="00EC40AC">
        <w:rPr>
          <w:b/>
          <w:bCs/>
        </w:rPr>
        <w:t>: anthony.kamande@oxfam.org</w:t>
      </w:r>
    </w:p>
    <w:p w14:paraId="6A6D5422" w14:textId="77777777" w:rsidR="00F941D9" w:rsidRDefault="00F941D9">
      <w:pPr>
        <w:spacing w:after="0"/>
        <w:rPr>
          <w:rFonts w:cs="Arial"/>
          <w:color w:val="000000"/>
          <w:szCs w:val="22"/>
          <w:lang w:bidi="en-US"/>
        </w:rPr>
      </w:pPr>
      <w:r>
        <w:br w:type="page"/>
      </w:r>
    </w:p>
    <w:sdt>
      <w:sdtPr>
        <w:rPr>
          <w:rFonts w:ascii="Oxfam TSTAR PRO" w:eastAsia="Times New Roman" w:hAnsi="Oxfam TSTAR PRO" w:cs="Times New Roman"/>
          <w:color w:val="auto"/>
          <w:sz w:val="22"/>
          <w:szCs w:val="20"/>
          <w:lang w:val="en-GB"/>
        </w:rPr>
        <w:id w:val="-333994509"/>
        <w:docPartObj>
          <w:docPartGallery w:val="Table of Contents"/>
          <w:docPartUnique/>
        </w:docPartObj>
      </w:sdtPr>
      <w:sdtEndPr>
        <w:rPr>
          <w:b/>
          <w:bCs/>
          <w:noProof/>
        </w:rPr>
      </w:sdtEndPr>
      <w:sdtContent>
        <w:p w14:paraId="3AC8E3BB" w14:textId="203AC8DF" w:rsidR="00F941D9" w:rsidRDefault="00F941D9">
          <w:pPr>
            <w:pStyle w:val="TOCHeading"/>
          </w:pPr>
          <w:r>
            <w:t xml:space="preserve">Table of </w:t>
          </w:r>
          <w:r w:rsidR="00DE1945">
            <w:t>c</w:t>
          </w:r>
          <w:r>
            <w:t>ontents</w:t>
          </w:r>
        </w:p>
        <w:p w14:paraId="0A38D51A" w14:textId="77777777" w:rsidR="00D17046" w:rsidRPr="00D17046" w:rsidRDefault="00D17046" w:rsidP="00D17046">
          <w:pPr>
            <w:rPr>
              <w:lang w:val="en-US"/>
            </w:rPr>
          </w:pPr>
        </w:p>
        <w:p w14:paraId="3A9DB4A6" w14:textId="2FB8F7DA" w:rsidR="00675266" w:rsidRDefault="00F941D9">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54070024" w:history="1">
            <w:r w:rsidR="00675266" w:rsidRPr="002311C8">
              <w:rPr>
                <w:rStyle w:val="Hyperlink"/>
                <w:noProof/>
                <w:lang w:bidi="en-US"/>
              </w:rPr>
              <w:t>Summary list of all the statistics in this document</w:t>
            </w:r>
            <w:r w:rsidR="00675266">
              <w:rPr>
                <w:noProof/>
                <w:webHidden/>
              </w:rPr>
              <w:tab/>
            </w:r>
            <w:r w:rsidR="00675266">
              <w:rPr>
                <w:noProof/>
                <w:webHidden/>
              </w:rPr>
              <w:fldChar w:fldCharType="begin"/>
            </w:r>
            <w:r w:rsidR="00675266">
              <w:rPr>
                <w:noProof/>
                <w:webHidden/>
              </w:rPr>
              <w:instrText xml:space="preserve"> PAGEREF _Toc154070024 \h </w:instrText>
            </w:r>
            <w:r w:rsidR="00675266">
              <w:rPr>
                <w:noProof/>
                <w:webHidden/>
              </w:rPr>
            </w:r>
            <w:r w:rsidR="00675266">
              <w:rPr>
                <w:noProof/>
                <w:webHidden/>
              </w:rPr>
              <w:fldChar w:fldCharType="separate"/>
            </w:r>
            <w:r w:rsidR="00675266">
              <w:rPr>
                <w:noProof/>
                <w:webHidden/>
              </w:rPr>
              <w:t>3</w:t>
            </w:r>
            <w:r w:rsidR="00675266">
              <w:rPr>
                <w:noProof/>
                <w:webHidden/>
              </w:rPr>
              <w:fldChar w:fldCharType="end"/>
            </w:r>
          </w:hyperlink>
        </w:p>
        <w:p w14:paraId="4F282975" w14:textId="5B1D6C9D" w:rsidR="00675266" w:rsidRDefault="00000000">
          <w:pPr>
            <w:pStyle w:val="TOC1"/>
            <w:rPr>
              <w:rFonts w:asciiTheme="minorHAnsi" w:eastAsiaTheme="minorEastAsia" w:hAnsiTheme="minorHAnsi" w:cstheme="minorBidi"/>
              <w:noProof/>
              <w:szCs w:val="22"/>
              <w:lang w:eastAsia="en-GB"/>
            </w:rPr>
          </w:pPr>
          <w:hyperlink w:anchor="_Toc154070025" w:history="1">
            <w:r w:rsidR="00675266" w:rsidRPr="002311C8">
              <w:rPr>
                <w:rStyle w:val="Hyperlink"/>
                <w:noProof/>
                <w:lang w:bidi="en-US"/>
              </w:rPr>
              <w:t xml:space="preserve">1.   </w:t>
            </w:r>
            <w:r w:rsidR="00675266">
              <w:rPr>
                <w:rStyle w:val="Hyperlink"/>
                <w:noProof/>
                <w:lang w:bidi="en-US"/>
              </w:rPr>
              <w:t xml:space="preserve">  </w:t>
            </w:r>
            <w:r w:rsidR="00675266" w:rsidRPr="002311C8">
              <w:rPr>
                <w:rStyle w:val="Hyperlink"/>
                <w:noProof/>
                <w:lang w:bidi="en-US"/>
              </w:rPr>
              <w:t>Methodology on wealth and income statistics</w:t>
            </w:r>
            <w:r w:rsidR="00675266">
              <w:rPr>
                <w:noProof/>
                <w:webHidden/>
              </w:rPr>
              <w:tab/>
            </w:r>
            <w:r w:rsidR="00675266">
              <w:rPr>
                <w:noProof/>
                <w:webHidden/>
              </w:rPr>
              <w:fldChar w:fldCharType="begin"/>
            </w:r>
            <w:r w:rsidR="00675266">
              <w:rPr>
                <w:noProof/>
                <w:webHidden/>
              </w:rPr>
              <w:instrText xml:space="preserve"> PAGEREF _Toc154070025 \h </w:instrText>
            </w:r>
            <w:r w:rsidR="00675266">
              <w:rPr>
                <w:noProof/>
                <w:webHidden/>
              </w:rPr>
            </w:r>
            <w:r w:rsidR="00675266">
              <w:rPr>
                <w:noProof/>
                <w:webHidden/>
              </w:rPr>
              <w:fldChar w:fldCharType="separate"/>
            </w:r>
            <w:r w:rsidR="00675266">
              <w:rPr>
                <w:noProof/>
                <w:webHidden/>
              </w:rPr>
              <w:t>5</w:t>
            </w:r>
            <w:r w:rsidR="00675266">
              <w:rPr>
                <w:noProof/>
                <w:webHidden/>
              </w:rPr>
              <w:fldChar w:fldCharType="end"/>
            </w:r>
          </w:hyperlink>
        </w:p>
        <w:p w14:paraId="52CB4F96" w14:textId="0759D107" w:rsidR="00675266" w:rsidRDefault="00000000">
          <w:pPr>
            <w:pStyle w:val="TOC1"/>
            <w:rPr>
              <w:rFonts w:asciiTheme="minorHAnsi" w:eastAsiaTheme="minorEastAsia" w:hAnsiTheme="minorHAnsi" w:cstheme="minorBidi"/>
              <w:noProof/>
              <w:szCs w:val="22"/>
              <w:lang w:eastAsia="en-GB"/>
            </w:rPr>
          </w:pPr>
          <w:hyperlink w:anchor="_Toc154070026" w:history="1">
            <w:r w:rsidR="00675266" w:rsidRPr="002311C8">
              <w:rPr>
                <w:rStyle w:val="Hyperlink"/>
                <w:noProof/>
                <w:lang w:bidi="en-US"/>
              </w:rPr>
              <w:t>2.</w:t>
            </w:r>
            <w:r w:rsidR="00675266">
              <w:rPr>
                <w:rFonts w:asciiTheme="minorHAnsi" w:eastAsiaTheme="minorEastAsia" w:hAnsiTheme="minorHAnsi" w:cstheme="minorBidi"/>
                <w:noProof/>
                <w:szCs w:val="22"/>
                <w:lang w:eastAsia="en-GB"/>
              </w:rPr>
              <w:tab/>
            </w:r>
            <w:r w:rsidR="00675266" w:rsidRPr="002311C8">
              <w:rPr>
                <w:rStyle w:val="Hyperlink"/>
                <w:noProof/>
                <w:lang w:bidi="en-US"/>
              </w:rPr>
              <w:t>Methodology on company statistics</w:t>
            </w:r>
            <w:r w:rsidR="00675266">
              <w:rPr>
                <w:noProof/>
                <w:webHidden/>
              </w:rPr>
              <w:tab/>
            </w:r>
            <w:r w:rsidR="00675266">
              <w:rPr>
                <w:noProof/>
                <w:webHidden/>
              </w:rPr>
              <w:fldChar w:fldCharType="begin"/>
            </w:r>
            <w:r w:rsidR="00675266">
              <w:rPr>
                <w:noProof/>
                <w:webHidden/>
              </w:rPr>
              <w:instrText xml:space="preserve"> PAGEREF _Toc154070026 \h </w:instrText>
            </w:r>
            <w:r w:rsidR="00675266">
              <w:rPr>
                <w:noProof/>
                <w:webHidden/>
              </w:rPr>
            </w:r>
            <w:r w:rsidR="00675266">
              <w:rPr>
                <w:noProof/>
                <w:webHidden/>
              </w:rPr>
              <w:fldChar w:fldCharType="separate"/>
            </w:r>
            <w:r w:rsidR="00675266">
              <w:rPr>
                <w:noProof/>
                <w:webHidden/>
              </w:rPr>
              <w:t>15</w:t>
            </w:r>
            <w:r w:rsidR="00675266">
              <w:rPr>
                <w:noProof/>
                <w:webHidden/>
              </w:rPr>
              <w:fldChar w:fldCharType="end"/>
            </w:r>
          </w:hyperlink>
        </w:p>
        <w:p w14:paraId="5CB8FE6A" w14:textId="3F521DB7" w:rsidR="00675266" w:rsidRDefault="00000000">
          <w:pPr>
            <w:pStyle w:val="TOC1"/>
            <w:rPr>
              <w:rFonts w:asciiTheme="minorHAnsi" w:eastAsiaTheme="minorEastAsia" w:hAnsiTheme="minorHAnsi" w:cstheme="minorBidi"/>
              <w:noProof/>
              <w:szCs w:val="22"/>
              <w:lang w:eastAsia="en-GB"/>
            </w:rPr>
          </w:pPr>
          <w:hyperlink w:anchor="_Toc154070027" w:history="1">
            <w:r w:rsidR="00675266" w:rsidRPr="002311C8">
              <w:rPr>
                <w:rStyle w:val="Hyperlink"/>
                <w:noProof/>
                <w:lang w:bidi="en-US"/>
              </w:rPr>
              <w:t>3.</w:t>
            </w:r>
            <w:r w:rsidR="00675266">
              <w:rPr>
                <w:rFonts w:asciiTheme="minorHAnsi" w:eastAsiaTheme="minorEastAsia" w:hAnsiTheme="minorHAnsi" w:cstheme="minorBidi"/>
                <w:noProof/>
                <w:szCs w:val="22"/>
                <w:lang w:eastAsia="en-GB"/>
              </w:rPr>
              <w:tab/>
            </w:r>
            <w:r w:rsidR="00675266" w:rsidRPr="002311C8">
              <w:rPr>
                <w:rStyle w:val="Hyperlink"/>
                <w:noProof/>
                <w:lang w:bidi="en-US"/>
              </w:rPr>
              <w:t>Billionaire ownership of the world’s largest companies</w:t>
            </w:r>
            <w:r w:rsidR="00675266">
              <w:rPr>
                <w:noProof/>
                <w:webHidden/>
              </w:rPr>
              <w:tab/>
            </w:r>
            <w:r w:rsidR="00675266">
              <w:rPr>
                <w:noProof/>
                <w:webHidden/>
              </w:rPr>
              <w:fldChar w:fldCharType="begin"/>
            </w:r>
            <w:r w:rsidR="00675266">
              <w:rPr>
                <w:noProof/>
                <w:webHidden/>
              </w:rPr>
              <w:instrText xml:space="preserve"> PAGEREF _Toc154070027 \h </w:instrText>
            </w:r>
            <w:r w:rsidR="00675266">
              <w:rPr>
                <w:noProof/>
                <w:webHidden/>
              </w:rPr>
            </w:r>
            <w:r w:rsidR="00675266">
              <w:rPr>
                <w:noProof/>
                <w:webHidden/>
              </w:rPr>
              <w:fldChar w:fldCharType="separate"/>
            </w:r>
            <w:r w:rsidR="00675266">
              <w:rPr>
                <w:noProof/>
                <w:webHidden/>
              </w:rPr>
              <w:t>24</w:t>
            </w:r>
            <w:r w:rsidR="00675266">
              <w:rPr>
                <w:noProof/>
                <w:webHidden/>
              </w:rPr>
              <w:fldChar w:fldCharType="end"/>
            </w:r>
          </w:hyperlink>
        </w:p>
        <w:p w14:paraId="400508F1" w14:textId="4D7F3AEA" w:rsidR="00675266" w:rsidRDefault="00000000">
          <w:pPr>
            <w:pStyle w:val="TOC1"/>
            <w:rPr>
              <w:rFonts w:asciiTheme="minorHAnsi" w:eastAsiaTheme="minorEastAsia" w:hAnsiTheme="minorHAnsi" w:cstheme="minorBidi"/>
              <w:noProof/>
              <w:szCs w:val="22"/>
              <w:lang w:eastAsia="en-GB"/>
            </w:rPr>
          </w:pPr>
          <w:hyperlink w:anchor="_Toc154070028" w:history="1">
            <w:r w:rsidR="00675266" w:rsidRPr="002311C8">
              <w:rPr>
                <w:rStyle w:val="Hyperlink"/>
                <w:noProof/>
                <w:lang w:bidi="en-US"/>
              </w:rPr>
              <w:t>Notes</w:t>
            </w:r>
            <w:r w:rsidR="00675266">
              <w:rPr>
                <w:noProof/>
                <w:webHidden/>
              </w:rPr>
              <w:tab/>
            </w:r>
            <w:r w:rsidR="00675266">
              <w:rPr>
                <w:noProof/>
                <w:webHidden/>
              </w:rPr>
              <w:fldChar w:fldCharType="begin"/>
            </w:r>
            <w:r w:rsidR="00675266">
              <w:rPr>
                <w:noProof/>
                <w:webHidden/>
              </w:rPr>
              <w:instrText xml:space="preserve"> PAGEREF _Toc154070028 \h </w:instrText>
            </w:r>
            <w:r w:rsidR="00675266">
              <w:rPr>
                <w:noProof/>
                <w:webHidden/>
              </w:rPr>
            </w:r>
            <w:r w:rsidR="00675266">
              <w:rPr>
                <w:noProof/>
                <w:webHidden/>
              </w:rPr>
              <w:fldChar w:fldCharType="separate"/>
            </w:r>
            <w:r w:rsidR="00675266">
              <w:rPr>
                <w:noProof/>
                <w:webHidden/>
              </w:rPr>
              <w:t>25</w:t>
            </w:r>
            <w:r w:rsidR="00675266">
              <w:rPr>
                <w:noProof/>
                <w:webHidden/>
              </w:rPr>
              <w:fldChar w:fldCharType="end"/>
            </w:r>
          </w:hyperlink>
        </w:p>
        <w:p w14:paraId="47D5513A" w14:textId="1C34D6A0" w:rsidR="00F941D9" w:rsidRDefault="00F941D9">
          <w:r>
            <w:rPr>
              <w:b/>
              <w:bCs/>
              <w:noProof/>
            </w:rPr>
            <w:fldChar w:fldCharType="end"/>
          </w:r>
        </w:p>
      </w:sdtContent>
    </w:sdt>
    <w:p w14:paraId="65587119" w14:textId="04EE9B1F" w:rsidR="004077AC" w:rsidRDefault="00F941D9" w:rsidP="00222FDC">
      <w:pPr>
        <w:pStyle w:val="Text"/>
      </w:pPr>
      <w:r w:rsidRPr="00222FDC">
        <w:br w:type="page"/>
      </w:r>
    </w:p>
    <w:p w14:paraId="012C401F" w14:textId="2C0BCC99" w:rsidR="00EA26FF" w:rsidRDefault="00EA7F07" w:rsidP="00FA61CB">
      <w:pPr>
        <w:pStyle w:val="Heading1"/>
      </w:pPr>
      <w:bookmarkStart w:id="0" w:name="_Toc154070024"/>
      <w:r>
        <w:rPr>
          <w:caps w:val="0"/>
        </w:rPr>
        <w:lastRenderedPageBreak/>
        <w:t>S</w:t>
      </w:r>
      <w:r w:rsidR="00E331D7">
        <w:t>ummary</w:t>
      </w:r>
      <w:r>
        <w:t xml:space="preserve"> list</w:t>
      </w:r>
      <w:r w:rsidR="004077AC" w:rsidRPr="00791CC3">
        <w:t xml:space="preserve"> of all the stat</w:t>
      </w:r>
      <w:r w:rsidR="007F20CD">
        <w:t>i</w:t>
      </w:r>
      <w:r w:rsidR="004077AC" w:rsidRPr="00791CC3">
        <w:t>s</w:t>
      </w:r>
      <w:r w:rsidR="007F20CD">
        <w:t>tics</w:t>
      </w:r>
      <w:r w:rsidR="004077AC" w:rsidRPr="00791CC3">
        <w:t xml:space="preserve"> in this document</w:t>
      </w:r>
      <w:bookmarkEnd w:id="0"/>
      <w:r w:rsidR="004077AC" w:rsidRPr="00791CC3">
        <w:t xml:space="preserve"> </w:t>
      </w:r>
    </w:p>
    <w:p w14:paraId="1F1D7811" w14:textId="104E759B" w:rsidR="00EA26FF" w:rsidRPr="00D13225" w:rsidRDefault="00EA26FF" w:rsidP="00EA26FF">
      <w:pPr>
        <w:pStyle w:val="Boxtext"/>
      </w:pPr>
      <w:r w:rsidRPr="00D17046">
        <w:rPr>
          <w:b/>
          <w:bCs/>
        </w:rPr>
        <w:t>1.0.</w:t>
      </w:r>
      <w:r>
        <w:t xml:space="preserve"> </w:t>
      </w:r>
      <w:r w:rsidRPr="00D13225">
        <w:t>Since 2020, and the beginning of this decade of division, the five richest men have seen their fortunes more than double, whil</w:t>
      </w:r>
      <w:r>
        <w:t>e</w:t>
      </w:r>
      <w:r w:rsidRPr="00D13225">
        <w:t xml:space="preserve"> </w:t>
      </w:r>
      <w:r>
        <w:t>almost five</w:t>
      </w:r>
      <w:r w:rsidRPr="00D13225">
        <w:t xml:space="preserve"> billion people have seen their wealth fall. </w:t>
      </w:r>
    </w:p>
    <w:p w14:paraId="4893ECDB" w14:textId="77777777" w:rsidR="00EA26FF" w:rsidRPr="00BA63EC" w:rsidRDefault="00EA26FF" w:rsidP="00EA26FF">
      <w:pPr>
        <w:pStyle w:val="Boxtext"/>
      </w:pPr>
      <w:r w:rsidRPr="00D17046">
        <w:rPr>
          <w:b/>
          <w:bCs/>
        </w:rPr>
        <w:t>1.1.</w:t>
      </w:r>
      <w:r>
        <w:t xml:space="preserve"> </w:t>
      </w:r>
      <w:r w:rsidRPr="00D13225">
        <w:t>791 million workers have seen their wages fail to keep up with inflation and have lost US$1.5 trillion over the last two years, equivalent to nearly a month (25 days) of lost wages</w:t>
      </w:r>
      <w:r>
        <w:t xml:space="preserve"> </w:t>
      </w:r>
      <w:r w:rsidRPr="00882374">
        <w:t>for each worker</w:t>
      </w:r>
      <w:r w:rsidRPr="00BA63EC">
        <w:t>.</w:t>
      </w:r>
    </w:p>
    <w:p w14:paraId="6DF26EBD" w14:textId="77777777" w:rsidR="00EA26FF" w:rsidRPr="00D13225" w:rsidRDefault="00EA26FF" w:rsidP="00EA26FF">
      <w:pPr>
        <w:pStyle w:val="Boxtext"/>
      </w:pPr>
      <w:r w:rsidRPr="00D17046">
        <w:rPr>
          <w:b/>
          <w:bCs/>
        </w:rPr>
        <w:t>1.2.</w:t>
      </w:r>
      <w:r>
        <w:t xml:space="preserve"> </w:t>
      </w:r>
      <w:r w:rsidRPr="00D13225">
        <w:t xml:space="preserve">Billionaires are US$3.3 trillion or 34% richer </w:t>
      </w:r>
      <w:r>
        <w:t>than they were at</w:t>
      </w:r>
      <w:r w:rsidRPr="00D13225">
        <w:t xml:space="preserve"> the beginning of this decade of crisis, with their wealth growing three times as fast as the rate of inflation. </w:t>
      </w:r>
    </w:p>
    <w:p w14:paraId="088F390E" w14:textId="5A91DD2C" w:rsidR="00EA26FF" w:rsidRDefault="00EA26FF" w:rsidP="00EA26FF">
      <w:pPr>
        <w:pStyle w:val="Boxtext"/>
      </w:pPr>
      <w:r w:rsidRPr="00D17046">
        <w:rPr>
          <w:b/>
          <w:bCs/>
        </w:rPr>
        <w:t>1.3.</w:t>
      </w:r>
      <w:r>
        <w:t xml:space="preserve"> </w:t>
      </w:r>
      <w:r w:rsidRPr="00D13225">
        <w:t>Despite representing</w:t>
      </w:r>
      <w:r w:rsidR="00C62E5D">
        <w:t xml:space="preserve"> only</w:t>
      </w:r>
      <w:r w:rsidRPr="00D13225">
        <w:t xml:space="preserve"> </w:t>
      </w:r>
      <w:r>
        <w:t>21</w:t>
      </w:r>
      <w:r w:rsidRPr="00D13225">
        <w:t>% of the world population, countries in the Global North own 6</w:t>
      </w:r>
      <w:r>
        <w:t>9</w:t>
      </w:r>
      <w:r w:rsidRPr="00D13225">
        <w:t>% of global wealth and are home to 7</w:t>
      </w:r>
      <w:r>
        <w:t>4</w:t>
      </w:r>
      <w:r w:rsidRPr="00D13225">
        <w:t>% of the world’s billionaire wealth.</w:t>
      </w:r>
    </w:p>
    <w:p w14:paraId="798C933E" w14:textId="09101BE7" w:rsidR="00EA26FF" w:rsidRPr="00D13225" w:rsidRDefault="00EA26FF" w:rsidP="00EA26FF">
      <w:pPr>
        <w:pStyle w:val="Boxtext"/>
      </w:pPr>
      <w:r w:rsidRPr="00D17046">
        <w:rPr>
          <w:b/>
          <w:bCs/>
        </w:rPr>
        <w:t>1.4.</w:t>
      </w:r>
      <w:r>
        <w:t xml:space="preserve"> </w:t>
      </w:r>
      <w:r w:rsidRPr="00D13225">
        <w:t xml:space="preserve">Globally, men own </w:t>
      </w:r>
      <w:r w:rsidR="002078A5">
        <w:t>US</w:t>
      </w:r>
      <w:r w:rsidRPr="00D13225">
        <w:t>$105 trillion more wealth than women – equivalent to four times the size of</w:t>
      </w:r>
      <w:r>
        <w:t xml:space="preserve"> the</w:t>
      </w:r>
      <w:r w:rsidRPr="00D13225">
        <w:t xml:space="preserve"> US economy.</w:t>
      </w:r>
    </w:p>
    <w:p w14:paraId="20F9A477" w14:textId="77777777" w:rsidR="00EA26FF" w:rsidRPr="00D13225" w:rsidRDefault="00EA26FF" w:rsidP="00EA26FF">
      <w:pPr>
        <w:pStyle w:val="Boxtext"/>
      </w:pPr>
      <w:r w:rsidRPr="00D17046">
        <w:rPr>
          <w:b/>
          <w:bCs/>
        </w:rPr>
        <w:t>1.5.</w:t>
      </w:r>
      <w:r>
        <w:t xml:space="preserve"> </w:t>
      </w:r>
      <w:r w:rsidRPr="00D13225">
        <w:t>If the current trend continue</w:t>
      </w:r>
      <w:r>
        <w:t>s</w:t>
      </w:r>
      <w:r w:rsidRPr="00D13225">
        <w:t xml:space="preserve">, we will see the first trillionaire in </w:t>
      </w:r>
      <w:r>
        <w:t>10</w:t>
      </w:r>
      <w:r w:rsidRPr="00D13225">
        <w:t xml:space="preserve"> years, but we will not eliminate poverty for 230 years.</w:t>
      </w:r>
    </w:p>
    <w:p w14:paraId="24273549" w14:textId="77777777" w:rsidR="00EA26FF" w:rsidRDefault="00EA26FF" w:rsidP="00EA26FF">
      <w:pPr>
        <w:pStyle w:val="Boxtext"/>
      </w:pPr>
      <w:r w:rsidRPr="00D17046">
        <w:rPr>
          <w:b/>
          <w:bCs/>
        </w:rPr>
        <w:t>1.6.</w:t>
      </w:r>
      <w:r>
        <w:t xml:space="preserve"> </w:t>
      </w:r>
      <w:r w:rsidRPr="00D13225">
        <w:t xml:space="preserve">If each of the five wealthiest men were to spend a million dollars daily, they would take 476 years to exhaust their combined wealth. </w:t>
      </w:r>
    </w:p>
    <w:p w14:paraId="0F33F303" w14:textId="77777777" w:rsidR="00EA26FF" w:rsidRDefault="00EA26FF" w:rsidP="00EA26FF">
      <w:pPr>
        <w:pStyle w:val="Boxtext"/>
      </w:pPr>
      <w:r w:rsidRPr="00D17046">
        <w:rPr>
          <w:b/>
          <w:bCs/>
        </w:rPr>
        <w:t>1.7.</w:t>
      </w:r>
      <w:r>
        <w:t xml:space="preserve"> </w:t>
      </w:r>
      <w:r w:rsidRPr="004077AC">
        <w:t xml:space="preserve">It </w:t>
      </w:r>
      <w:r>
        <w:t>would</w:t>
      </w:r>
      <w:r w:rsidRPr="004077AC">
        <w:t xml:space="preserve"> take 1</w:t>
      </w:r>
      <w:r>
        <w:t>,</w:t>
      </w:r>
      <w:r w:rsidRPr="004077AC">
        <w:t xml:space="preserve">200 years for a female worker in the health and social sector to earn what a CEO in the biggest </w:t>
      </w:r>
      <w:r>
        <w:t xml:space="preserve">Fortune </w:t>
      </w:r>
      <w:r w:rsidRPr="004077AC">
        <w:t>100 companies earn</w:t>
      </w:r>
      <w:r>
        <w:t>s</w:t>
      </w:r>
      <w:r w:rsidRPr="004077AC">
        <w:t xml:space="preserve"> on average</w:t>
      </w:r>
      <w:r>
        <w:t xml:space="preserve"> in one year</w:t>
      </w:r>
      <w:r w:rsidRPr="004077AC">
        <w:t>.</w:t>
      </w:r>
    </w:p>
    <w:p w14:paraId="56FE6420" w14:textId="7832E9E6" w:rsidR="00EA26FF" w:rsidRDefault="00EA26FF" w:rsidP="00EA26FF">
      <w:pPr>
        <w:pStyle w:val="Boxtext"/>
      </w:pPr>
      <w:r w:rsidRPr="00D17046">
        <w:rPr>
          <w:b/>
          <w:bCs/>
        </w:rPr>
        <w:t>1.8.</w:t>
      </w:r>
      <w:r>
        <w:t xml:space="preserve"> </w:t>
      </w:r>
      <w:r w:rsidRPr="00022184">
        <w:t xml:space="preserve">The richest 1% own </w:t>
      </w:r>
      <w:r w:rsidR="00E37E49">
        <w:t>43</w:t>
      </w:r>
      <w:r w:rsidRPr="00022184">
        <w:t xml:space="preserve">% of all global financial assets. </w:t>
      </w:r>
    </w:p>
    <w:p w14:paraId="7853F5A4" w14:textId="29C30A44" w:rsidR="00EA26FF" w:rsidRDefault="00EA26FF" w:rsidP="00EA26FF">
      <w:pPr>
        <w:pStyle w:val="Boxtext"/>
      </w:pPr>
      <w:r w:rsidRPr="00D17046">
        <w:rPr>
          <w:b/>
          <w:bCs/>
        </w:rPr>
        <w:t>1.9.</w:t>
      </w:r>
      <w:r>
        <w:t xml:space="preserve"> </w:t>
      </w:r>
      <w:r w:rsidRPr="004077AC">
        <w:t>A wealth tax on the world’s millionaires and billionaires could generate US$</w:t>
      </w:r>
      <w:r w:rsidR="00E37E49">
        <w:t>1.8</w:t>
      </w:r>
      <w:r w:rsidRPr="004077AC">
        <w:t xml:space="preserve"> trillion dollars each year.</w:t>
      </w:r>
    </w:p>
    <w:p w14:paraId="4803827F" w14:textId="77777777" w:rsidR="00EA26FF" w:rsidRPr="00A65950" w:rsidRDefault="00EA26FF" w:rsidP="00EA26FF">
      <w:pPr>
        <w:pStyle w:val="Boxtext"/>
      </w:pPr>
      <w:r w:rsidRPr="00D17046">
        <w:rPr>
          <w:b/>
          <w:bCs/>
        </w:rPr>
        <w:t>2.0.</w:t>
      </w:r>
      <w:r>
        <w:t xml:space="preserve"> </w:t>
      </w:r>
      <w:r w:rsidRPr="00A65950">
        <w:t>According to new data covering the first six months of 2023, 2023 is set to shatter all records as the most profitable year yet for big corporations. 148 of the world’s biggest corporations (where data is available) made nearly US$1.8 trillion in profits in the 12 months leading up to June 2023, which is 52.5% higher than their average for 2018</w:t>
      </w:r>
      <w:r>
        <w:t>–</w:t>
      </w:r>
      <w:r w:rsidRPr="00A65950">
        <w:t>21. Their windfall profits</w:t>
      </w:r>
      <w:r>
        <w:t xml:space="preserve"> – </w:t>
      </w:r>
      <w:r w:rsidRPr="00A65950">
        <w:t xml:space="preserve">defined as profits exceeding </w:t>
      </w:r>
      <w:r>
        <w:t xml:space="preserve">the </w:t>
      </w:r>
      <w:r w:rsidRPr="00A65950">
        <w:t>2018</w:t>
      </w:r>
      <w:r>
        <w:t>–</w:t>
      </w:r>
      <w:r w:rsidRPr="00A65950">
        <w:t>21 average by more than 20%</w:t>
      </w:r>
      <w:r>
        <w:t xml:space="preserve"> – </w:t>
      </w:r>
      <w:r w:rsidRPr="00A65950">
        <w:t>are nearly US$700</w:t>
      </w:r>
      <w:r>
        <w:t>bn</w:t>
      </w:r>
      <w:r w:rsidRPr="00A65950">
        <w:t>. Taxing these windfall profits at 90% would generate nearly US$628</w:t>
      </w:r>
      <w:r>
        <w:t xml:space="preserve">bn </w:t>
      </w:r>
      <w:r w:rsidRPr="00A65950">
        <w:t>in revenue.</w:t>
      </w:r>
    </w:p>
    <w:p w14:paraId="49B22DF5" w14:textId="77777777" w:rsidR="00EA26FF" w:rsidRPr="00A65950" w:rsidRDefault="00EA26FF" w:rsidP="00EA26FF">
      <w:pPr>
        <w:pStyle w:val="Boxtext"/>
      </w:pPr>
      <w:r w:rsidRPr="00D17046">
        <w:rPr>
          <w:b/>
          <w:bCs/>
        </w:rPr>
        <w:t>2.1.</w:t>
      </w:r>
      <w:r>
        <w:t xml:space="preserve"> </w:t>
      </w:r>
      <w:r w:rsidRPr="00A65950">
        <w:t>The biggest winners in terms of windfall profits have been 14 oil and gas companies whose profits in 2023 were 278% above the 2018</w:t>
      </w:r>
      <w:r>
        <w:t>–</w:t>
      </w:r>
      <w:r w:rsidRPr="00A65950">
        <w:t>21 average, representing US$190</w:t>
      </w:r>
      <w:r>
        <w:t>bn</w:t>
      </w:r>
      <w:r w:rsidRPr="00A65950">
        <w:t xml:space="preserve"> in windfall profits in 2023 and US$144</w:t>
      </w:r>
      <w:r>
        <w:t xml:space="preserve">bn </w:t>
      </w:r>
      <w:r w:rsidRPr="00A65950">
        <w:t>in 2022.</w:t>
      </w:r>
    </w:p>
    <w:p w14:paraId="5399F874" w14:textId="77777777" w:rsidR="00EA26FF" w:rsidRPr="00A65950" w:rsidRDefault="00EA26FF" w:rsidP="00EA26FF">
      <w:pPr>
        <w:pStyle w:val="Boxtext"/>
      </w:pPr>
      <w:r w:rsidRPr="00D17046">
        <w:rPr>
          <w:b/>
          <w:bCs/>
        </w:rPr>
        <w:t>2.2.</w:t>
      </w:r>
      <w:r>
        <w:t xml:space="preserve"> </w:t>
      </w:r>
      <w:r w:rsidRPr="00A65950">
        <w:t xml:space="preserve">For every </w:t>
      </w:r>
      <w:r>
        <w:t>US</w:t>
      </w:r>
      <w:r w:rsidRPr="00A65950">
        <w:t>$100 of profit generated by 96 major companies between July 2022 and June 2023, US$82 was returned to shareholders in the form of stock buybacks and dividends.</w:t>
      </w:r>
    </w:p>
    <w:p w14:paraId="54DD5BEC" w14:textId="3C9E8D15" w:rsidR="00EA26FF" w:rsidRPr="00A65950" w:rsidRDefault="00EA26FF" w:rsidP="00EA26FF">
      <w:pPr>
        <w:pStyle w:val="Boxtext"/>
      </w:pPr>
      <w:r w:rsidRPr="00D17046">
        <w:rPr>
          <w:b/>
          <w:bCs/>
        </w:rPr>
        <w:t>2.3.</w:t>
      </w:r>
      <w:r>
        <w:t xml:space="preserve"> New Oxfam analysis of the World Benchmarking Alliance’s data on over 1,600 of the largest and most influential companies worldwide shows that 0.4% of companies are publicly committed to paying their workers a living wage and support</w:t>
      </w:r>
      <w:r w:rsidR="00C62E5D">
        <w:t xml:space="preserve"> payment of</w:t>
      </w:r>
      <w:r>
        <w:t xml:space="preserve"> a living wage in their value chains.</w:t>
      </w:r>
    </w:p>
    <w:p w14:paraId="4B1C4826" w14:textId="77777777" w:rsidR="00EA26FF" w:rsidRPr="00A65950" w:rsidRDefault="00EA26FF" w:rsidP="00EA26FF">
      <w:pPr>
        <w:pStyle w:val="Boxtext"/>
      </w:pPr>
      <w:r w:rsidRPr="00D17046">
        <w:rPr>
          <w:b/>
          <w:bCs/>
        </w:rPr>
        <w:lastRenderedPageBreak/>
        <w:t>2.4.</w:t>
      </w:r>
      <w:r>
        <w:t xml:space="preserve"> Oxfam’s analysis of the World Benchmarking Alliance’s data of over 1,600 of the world’s largest companies finds that only 0.7% fully meet a global bar for collective bargaining – by disclosing collective bargaining coverage in their workforce and their approach to supporting collective bargaining through their business relationships (</w:t>
      </w:r>
      <w:proofErr w:type="gramStart"/>
      <w:r>
        <w:t>e.g.</w:t>
      </w:r>
      <w:proofErr w:type="gramEnd"/>
      <w:r>
        <w:t xml:space="preserve"> their suppliers).</w:t>
      </w:r>
    </w:p>
    <w:p w14:paraId="1708A45C" w14:textId="50A1AB90" w:rsidR="00EA26FF" w:rsidRPr="00A65950" w:rsidRDefault="00EA26FF" w:rsidP="00EA26FF">
      <w:pPr>
        <w:pStyle w:val="Boxtext"/>
      </w:pPr>
      <w:r w:rsidRPr="00D17046">
        <w:rPr>
          <w:b/>
          <w:bCs/>
        </w:rPr>
        <w:t>2.5.</w:t>
      </w:r>
      <w:r>
        <w:t xml:space="preserve"> New data on over 1,600 of the largest and most influential companies reveals that</w:t>
      </w:r>
      <w:r w:rsidR="005021C3">
        <w:t xml:space="preserve"> only</w:t>
      </w:r>
      <w:r>
        <w:t xml:space="preserve"> 24% have a public commitment to gender equality. Just 2.6% of companies disclose information on the ratio of pay of women to men. </w:t>
      </w:r>
    </w:p>
    <w:p w14:paraId="41962CFF" w14:textId="77777777" w:rsidR="00EA26FF" w:rsidRPr="00A65950" w:rsidRDefault="00EA26FF" w:rsidP="00EA26FF">
      <w:pPr>
        <w:pStyle w:val="Boxtext"/>
      </w:pPr>
      <w:r w:rsidRPr="00D17046">
        <w:rPr>
          <w:b/>
          <w:bCs/>
        </w:rPr>
        <w:t>2.6.</w:t>
      </w:r>
      <w:r>
        <w:t xml:space="preserve"> </w:t>
      </w:r>
      <w:r w:rsidRPr="00A65950">
        <w:t xml:space="preserve">Just 4% of </w:t>
      </w:r>
      <w:r>
        <w:t xml:space="preserve">the </w:t>
      </w:r>
      <w:r w:rsidRPr="00A65950">
        <w:t xml:space="preserve">over </w:t>
      </w:r>
      <w:r>
        <w:t>1,600</w:t>
      </w:r>
      <w:r w:rsidRPr="00A65950">
        <w:t xml:space="preserve"> largest and most influential companies sampled worldwide fully meet </w:t>
      </w:r>
      <w:r>
        <w:t>the World Benchmarking Alliance’s social indicator</w:t>
      </w:r>
      <w:r w:rsidRPr="00A65950">
        <w:t xml:space="preserve"> on responsible tax</w:t>
      </w:r>
      <w:r>
        <w:t>,</w:t>
      </w:r>
      <w:r w:rsidRPr="00A65950">
        <w:t xml:space="preserve"> by having a public global tax strategy and publicly disclosing corporate income taxes paid in all countries of residency.</w:t>
      </w:r>
    </w:p>
    <w:p w14:paraId="394908BB" w14:textId="77777777" w:rsidR="00EA26FF" w:rsidRPr="00A65950" w:rsidRDefault="00EA26FF" w:rsidP="00EA26FF">
      <w:pPr>
        <w:pStyle w:val="Boxtext"/>
      </w:pPr>
      <w:r w:rsidRPr="00D17046">
        <w:rPr>
          <w:b/>
          <w:bCs/>
        </w:rPr>
        <w:t>2.7.</w:t>
      </w:r>
      <w:r>
        <w:t xml:space="preserve"> </w:t>
      </w:r>
      <w:r w:rsidRPr="00A65950">
        <w:t xml:space="preserve">Shell </w:t>
      </w:r>
      <w:r>
        <w:t>made</w:t>
      </w:r>
      <w:r w:rsidRPr="00A65950">
        <w:t xml:space="preserve"> US$29.</w:t>
      </w:r>
      <w:r>
        <w:t>2bn</w:t>
      </w:r>
      <w:r w:rsidRPr="00A65950">
        <w:t xml:space="preserve"> in profits between July 2022 and June 2023, an increase of 222% compared to </w:t>
      </w:r>
      <w:r>
        <w:t>its</w:t>
      </w:r>
      <w:r w:rsidRPr="00A65950">
        <w:t xml:space="preserve"> average profits from 2018</w:t>
      </w:r>
      <w:r>
        <w:t>–</w:t>
      </w:r>
      <w:r w:rsidRPr="00A65950">
        <w:t>21. Of those profits, 87.7% were handed back to shareholders in the form of stock buybacks and dividends.</w:t>
      </w:r>
    </w:p>
    <w:p w14:paraId="41E0BC75" w14:textId="77777777" w:rsidR="00EA26FF" w:rsidRPr="00A65950" w:rsidRDefault="00EA26FF" w:rsidP="00EA26FF">
      <w:pPr>
        <w:pStyle w:val="Boxtext"/>
      </w:pPr>
      <w:r w:rsidRPr="00D17046">
        <w:rPr>
          <w:b/>
          <w:bCs/>
        </w:rPr>
        <w:t>2.8.</w:t>
      </w:r>
      <w:r>
        <w:t xml:space="preserve"> </w:t>
      </w:r>
      <w:r w:rsidRPr="00A65950">
        <w:t xml:space="preserve">Between July 2022 and June 2023, Brazil’s Petrobras made </w:t>
      </w:r>
      <w:r>
        <w:t>US</w:t>
      </w:r>
      <w:r w:rsidRPr="00A65950">
        <w:t>$30.3</w:t>
      </w:r>
      <w:r>
        <w:t>bn</w:t>
      </w:r>
      <w:r w:rsidRPr="00A65950">
        <w:t xml:space="preserve"> in profits – almost four times more than its average annual profits from 2019</w:t>
      </w:r>
      <w:r>
        <w:t>–</w:t>
      </w:r>
      <w:r w:rsidRPr="00A65950">
        <w:t>21</w:t>
      </w:r>
      <w:r>
        <w:t>. It</w:t>
      </w:r>
      <w:r w:rsidRPr="00A65950">
        <w:t xml:space="preserve"> paid out 118% </w:t>
      </w:r>
      <w:r>
        <w:t xml:space="preserve">of </w:t>
      </w:r>
      <w:r w:rsidRPr="00A65950">
        <w:t>those profits to shareholders in the form of dividends</w:t>
      </w:r>
      <w:r>
        <w:t xml:space="preserve"> –</w:t>
      </w:r>
      <w:r w:rsidRPr="00A65950">
        <w:t xml:space="preserve"> more than three times what </w:t>
      </w:r>
      <w:r>
        <w:t>Petrobras</w:t>
      </w:r>
      <w:r w:rsidRPr="00A65950">
        <w:t xml:space="preserve"> invested in capital expenditure.</w:t>
      </w:r>
    </w:p>
    <w:p w14:paraId="65AABC21" w14:textId="77777777" w:rsidR="00EA26FF" w:rsidRPr="00A65950" w:rsidRDefault="00EA26FF" w:rsidP="00EA26FF">
      <w:pPr>
        <w:pStyle w:val="Boxtext"/>
      </w:pPr>
      <w:r w:rsidRPr="00D17046">
        <w:rPr>
          <w:b/>
          <w:bCs/>
        </w:rPr>
        <w:t>2.9.</w:t>
      </w:r>
      <w:r>
        <w:t xml:space="preserve"> </w:t>
      </w:r>
      <w:r w:rsidRPr="626B8B7D">
        <w:t xml:space="preserve">If the amount companies spent on dividends and shareholder buybacks for the richest 10% in 2022 </w:t>
      </w:r>
      <w:r w:rsidRPr="41A02E7C">
        <w:t>was</w:t>
      </w:r>
      <w:r w:rsidRPr="626B8B7D">
        <w:t xml:space="preserve"> redistributed to the bottom 40% of the income distribution, global income inequality as measured by the Palma ratio could decrease by 21.5% – equivalent to the actual drop in the Palma ratio observed over 41 years. </w:t>
      </w:r>
    </w:p>
    <w:p w14:paraId="62001FD8" w14:textId="44EA3EE4" w:rsidR="00EA26FF" w:rsidRPr="00A65950" w:rsidRDefault="00EA26FF" w:rsidP="00EA26FF">
      <w:pPr>
        <w:pStyle w:val="Boxtext"/>
      </w:pPr>
      <w:r w:rsidRPr="00D17046">
        <w:rPr>
          <w:b/>
          <w:bCs/>
        </w:rPr>
        <w:t>2.10.</w:t>
      </w:r>
      <w:r w:rsidR="00D17046">
        <w:t xml:space="preserve"> </w:t>
      </w:r>
      <w:r w:rsidRPr="00A65950">
        <w:t xml:space="preserve">Just half of the </w:t>
      </w:r>
      <w:r>
        <w:t xml:space="preserve">amount from </w:t>
      </w:r>
      <w:proofErr w:type="spellStart"/>
      <w:r w:rsidRPr="00A65950">
        <w:t>payouts</w:t>
      </w:r>
      <w:proofErr w:type="spellEnd"/>
      <w:r w:rsidRPr="00A65950">
        <w:t xml:space="preserve"> to the </w:t>
      </w:r>
      <w:r>
        <w:t>top</w:t>
      </w:r>
      <w:r w:rsidRPr="00A65950">
        <w:t xml:space="preserve"> 10% in 2022 could </w:t>
      </w:r>
      <w:r w:rsidR="005021C3">
        <w:t xml:space="preserve">reduce </w:t>
      </w:r>
      <w:r w:rsidRPr="00A65950">
        <w:t xml:space="preserve">global poverty (defined </w:t>
      </w:r>
      <w:r>
        <w:t>as</w:t>
      </w:r>
      <w:r w:rsidRPr="00A65950">
        <w:t xml:space="preserve"> US$6.85 </w:t>
      </w:r>
      <w:r>
        <w:t xml:space="preserve">a day, </w:t>
      </w:r>
      <w:r w:rsidRPr="00A65950">
        <w:t xml:space="preserve">2017 PPP), and a mere 1.6% of </w:t>
      </w:r>
      <w:r>
        <w:t>the</w:t>
      </w:r>
      <w:r w:rsidRPr="00A65950">
        <w:t xml:space="preserve"> </w:t>
      </w:r>
      <w:proofErr w:type="spellStart"/>
      <w:r w:rsidRPr="00A65950">
        <w:t>payouts</w:t>
      </w:r>
      <w:proofErr w:type="spellEnd"/>
      <w:r w:rsidRPr="00A65950">
        <w:t xml:space="preserve"> could eliminate extreme poverty as defined by the World Bank (US$2.15 </w:t>
      </w:r>
      <w:r>
        <w:t xml:space="preserve">a day, </w:t>
      </w:r>
      <w:r w:rsidRPr="00A65950">
        <w:t xml:space="preserve">2017 PPP). </w:t>
      </w:r>
    </w:p>
    <w:p w14:paraId="39D283DA" w14:textId="77777777" w:rsidR="00EA26FF" w:rsidRPr="00A65950" w:rsidRDefault="00EA26FF" w:rsidP="00EA26FF">
      <w:pPr>
        <w:pStyle w:val="Boxtext"/>
      </w:pPr>
      <w:r w:rsidRPr="00D17046">
        <w:rPr>
          <w:b/>
          <w:bCs/>
        </w:rPr>
        <w:t>2.11.</w:t>
      </w:r>
      <w:r>
        <w:t xml:space="preserve"> </w:t>
      </w:r>
      <w:r w:rsidRPr="00A65950">
        <w:t xml:space="preserve">The world’s five largest corporations combined are valued </w:t>
      </w:r>
      <w:r>
        <w:t xml:space="preserve">at </w:t>
      </w:r>
      <w:r w:rsidRPr="00A65950">
        <w:t>more than all the GDP of economies in Africa, Latin America and the Caribbean combined.</w:t>
      </w:r>
    </w:p>
    <w:p w14:paraId="5C1908A0" w14:textId="77777777" w:rsidR="00EA26FF" w:rsidRPr="00A65950" w:rsidRDefault="00EA26FF" w:rsidP="00EA26FF">
      <w:pPr>
        <w:pStyle w:val="Boxtext"/>
      </w:pPr>
      <w:r w:rsidRPr="00D17046">
        <w:rPr>
          <w:b/>
          <w:bCs/>
        </w:rPr>
        <w:t>3.0.</w:t>
      </w:r>
      <w:r>
        <w:t xml:space="preserve"> </w:t>
      </w:r>
      <w:r w:rsidRPr="00A65950">
        <w:t>Of the 10 largest listed companies in the world</w:t>
      </w:r>
      <w:r>
        <w:t>,</w:t>
      </w:r>
      <w:r w:rsidRPr="00A65950">
        <w:t xml:space="preserve"> seven have a billionaire as either a principal shareholder or CEO. The total value (market capitali</w:t>
      </w:r>
      <w:r>
        <w:t>z</w:t>
      </w:r>
      <w:r w:rsidRPr="00A65950">
        <w:t>ation) of these companies is $10.2 trillion.</w:t>
      </w:r>
    </w:p>
    <w:p w14:paraId="476CD870" w14:textId="77777777" w:rsidR="00EA26FF" w:rsidRPr="00A65950" w:rsidRDefault="00EA26FF" w:rsidP="00EA26FF">
      <w:pPr>
        <w:pStyle w:val="Boxtext"/>
      </w:pPr>
      <w:r w:rsidRPr="00D17046">
        <w:rPr>
          <w:b/>
          <w:bCs/>
        </w:rPr>
        <w:t>3.1.</w:t>
      </w:r>
      <w:r>
        <w:t xml:space="preserve"> </w:t>
      </w:r>
      <w:r w:rsidRPr="00A65950">
        <w:t>Of the 50 largest listed companies in the world</w:t>
      </w:r>
      <w:r>
        <w:t>,</w:t>
      </w:r>
      <w:r w:rsidRPr="00A65950">
        <w:t xml:space="preserve"> 17 (34%) have a billionaire as either a principal shareholder or CEO. The total value (market capitali</w:t>
      </w:r>
      <w:r>
        <w:t>z</w:t>
      </w:r>
      <w:r w:rsidRPr="00A65950">
        <w:t>ation) of these companies is $13.3 trillion.</w:t>
      </w:r>
    </w:p>
    <w:p w14:paraId="49BF4308" w14:textId="77777777" w:rsidR="00EA26FF" w:rsidRDefault="00EA26FF">
      <w:pPr>
        <w:spacing w:after="0"/>
        <w:rPr>
          <w:rFonts w:cs="Arial"/>
          <w:color w:val="000000"/>
          <w:szCs w:val="22"/>
          <w:lang w:bidi="en-US"/>
        </w:rPr>
      </w:pPr>
    </w:p>
    <w:p w14:paraId="511A9C64" w14:textId="1A1887E8" w:rsidR="00735E8E" w:rsidRDefault="00735E8E">
      <w:pPr>
        <w:spacing w:after="0"/>
        <w:rPr>
          <w:rFonts w:cs="Arial"/>
          <w:color w:val="000000"/>
          <w:szCs w:val="22"/>
          <w:lang w:bidi="en-US"/>
        </w:rPr>
      </w:pPr>
      <w:r>
        <w:br w:type="page"/>
      </w:r>
    </w:p>
    <w:p w14:paraId="3ECDA536" w14:textId="129F8479" w:rsidR="008D2C9D" w:rsidRDefault="00907030" w:rsidP="00FA61CB">
      <w:pPr>
        <w:pStyle w:val="Heading1"/>
      </w:pPr>
      <w:bookmarkStart w:id="1" w:name="_Toc154070025"/>
      <w:r w:rsidRPr="00907030">
        <w:lastRenderedPageBreak/>
        <w:t xml:space="preserve">1.  </w:t>
      </w:r>
      <w:r w:rsidR="009F3702">
        <w:t xml:space="preserve"> </w:t>
      </w:r>
      <w:r w:rsidR="00F941D9" w:rsidRPr="00907030">
        <w:t xml:space="preserve">Methodology on </w:t>
      </w:r>
      <w:r w:rsidR="00FB272D" w:rsidRPr="00907030">
        <w:t>w</w:t>
      </w:r>
      <w:r w:rsidR="00F941D9" w:rsidRPr="00907030">
        <w:t>ealth and income statistics</w:t>
      </w:r>
      <w:bookmarkEnd w:id="1"/>
    </w:p>
    <w:p w14:paraId="04E3E0D2" w14:textId="2B8595B9" w:rsidR="008D2C9D" w:rsidRPr="00A359DB" w:rsidRDefault="008D2C9D" w:rsidP="008D2C9D">
      <w:pPr>
        <w:pStyle w:val="Boxtext"/>
      </w:pPr>
      <w:r w:rsidRPr="005021C3">
        <w:rPr>
          <w:b/>
          <w:bCs/>
        </w:rPr>
        <w:t>1.0.</w:t>
      </w:r>
      <w:r>
        <w:t xml:space="preserve"> </w:t>
      </w:r>
      <w:r w:rsidRPr="00662C97">
        <w:t>Since 2020, and the beginning of this decade of division, the five richest men have seen their fortunes more than double, whil</w:t>
      </w:r>
      <w:r>
        <w:t>e</w:t>
      </w:r>
      <w:r w:rsidRPr="00662C97">
        <w:t xml:space="preserve"> </w:t>
      </w:r>
      <w:r>
        <w:t>almost five</w:t>
      </w:r>
      <w:r w:rsidRPr="00662C97">
        <w:t xml:space="preserve"> billion </w:t>
      </w:r>
      <w:r w:rsidRPr="00A359DB">
        <w:t xml:space="preserve">people have seen their wealth fall. </w:t>
      </w:r>
    </w:p>
    <w:p w14:paraId="353493B5" w14:textId="77777777" w:rsidR="008D2C9D" w:rsidRDefault="008D2C9D" w:rsidP="008D2C9D">
      <w:pPr>
        <w:pStyle w:val="Boxtext"/>
      </w:pPr>
      <w:r w:rsidRPr="005021C3">
        <w:rPr>
          <w:b/>
          <w:bCs/>
        </w:rPr>
        <w:t>1.1.</w:t>
      </w:r>
      <w:r>
        <w:t xml:space="preserve"> </w:t>
      </w:r>
      <w:r w:rsidRPr="00A359DB">
        <w:t>791 million workers have seen their wages fail to keep up with inflation and have lost US$1.5 trillion over the last two years, equivalent to nearly a month (25 days) of lost wages</w:t>
      </w:r>
      <w:r>
        <w:t xml:space="preserve"> </w:t>
      </w:r>
      <w:r w:rsidRPr="00882374">
        <w:t>for each worker</w:t>
      </w:r>
      <w:r w:rsidRPr="00882DB3">
        <w:t>.</w:t>
      </w:r>
    </w:p>
    <w:p w14:paraId="3D13622B" w14:textId="77777777" w:rsidR="008D2C9D" w:rsidRDefault="008D2C9D" w:rsidP="008D2C9D">
      <w:pPr>
        <w:pStyle w:val="Boxtext"/>
      </w:pPr>
      <w:r w:rsidRPr="005021C3">
        <w:rPr>
          <w:b/>
          <w:bCs/>
        </w:rPr>
        <w:t>1.2.</w:t>
      </w:r>
      <w:r>
        <w:t xml:space="preserve"> </w:t>
      </w:r>
      <w:r w:rsidRPr="00A359DB">
        <w:t xml:space="preserve">Billionaires are US$3.3 trillion or 34% richer </w:t>
      </w:r>
      <w:r>
        <w:t>than they were at</w:t>
      </w:r>
      <w:r w:rsidRPr="00A359DB">
        <w:t xml:space="preserve"> the beginning of this decade of crisis, with their wealth growing three times as fast as the rate of inflation. </w:t>
      </w:r>
    </w:p>
    <w:p w14:paraId="2BA9D62D" w14:textId="078FA451" w:rsidR="008D2C9D" w:rsidRDefault="008D2C9D" w:rsidP="008D2C9D">
      <w:pPr>
        <w:pStyle w:val="Boxtext"/>
      </w:pPr>
      <w:r w:rsidRPr="005021C3">
        <w:rPr>
          <w:b/>
          <w:bCs/>
        </w:rPr>
        <w:t>1.3.</w:t>
      </w:r>
      <w:r>
        <w:t xml:space="preserve"> </w:t>
      </w:r>
      <w:r w:rsidRPr="00443B91">
        <w:t>Despite representing</w:t>
      </w:r>
      <w:r w:rsidR="005021C3">
        <w:t xml:space="preserve"> only</w:t>
      </w:r>
      <w:r w:rsidRPr="00443B91">
        <w:t xml:space="preserve"> </w:t>
      </w:r>
      <w:r>
        <w:t>21</w:t>
      </w:r>
      <w:r w:rsidRPr="00443B91">
        <w:t>% of the world population, countries in the Global North own 6</w:t>
      </w:r>
      <w:r>
        <w:t>9</w:t>
      </w:r>
      <w:r w:rsidRPr="00443B91">
        <w:t>% of global wealth and are home to 7</w:t>
      </w:r>
      <w:r>
        <w:t>4</w:t>
      </w:r>
      <w:r w:rsidRPr="00443B91">
        <w:t>% of the world’s billionaire wealth.</w:t>
      </w:r>
    </w:p>
    <w:p w14:paraId="2D8A4BEC" w14:textId="2A1B6E0E" w:rsidR="008D2C9D" w:rsidRDefault="008D2C9D" w:rsidP="008D2C9D">
      <w:pPr>
        <w:pStyle w:val="Boxtext"/>
      </w:pPr>
      <w:r w:rsidRPr="005021C3">
        <w:rPr>
          <w:b/>
          <w:bCs/>
        </w:rPr>
        <w:t>1.4.</w:t>
      </w:r>
      <w:r>
        <w:t xml:space="preserve"> </w:t>
      </w:r>
      <w:r w:rsidRPr="00431607">
        <w:t xml:space="preserve">Globally, men own </w:t>
      </w:r>
      <w:r w:rsidR="005021C3">
        <w:t>US</w:t>
      </w:r>
      <w:r w:rsidRPr="00431607">
        <w:t xml:space="preserve">$105 trillion more wealth than women – equivalent to four times the size of </w:t>
      </w:r>
      <w:r>
        <w:t xml:space="preserve">the </w:t>
      </w:r>
      <w:r w:rsidRPr="00431607">
        <w:t>US economy.</w:t>
      </w:r>
    </w:p>
    <w:p w14:paraId="2D8F72D4" w14:textId="77777777" w:rsidR="008D2C9D" w:rsidRDefault="008D2C9D" w:rsidP="008D2C9D">
      <w:pPr>
        <w:pStyle w:val="Boxtext"/>
      </w:pPr>
      <w:r w:rsidRPr="005021C3">
        <w:rPr>
          <w:b/>
          <w:bCs/>
        </w:rPr>
        <w:t>1.5.</w:t>
      </w:r>
      <w:r>
        <w:t xml:space="preserve"> </w:t>
      </w:r>
      <w:r w:rsidRPr="00EC476D">
        <w:t>If the current</w:t>
      </w:r>
      <w:r w:rsidRPr="00685D85">
        <w:t xml:space="preserve"> trend continue</w:t>
      </w:r>
      <w:r>
        <w:t>s</w:t>
      </w:r>
      <w:r w:rsidRPr="00685D85">
        <w:t xml:space="preserve">, we will see the first trillionaire in </w:t>
      </w:r>
      <w:r>
        <w:t>10</w:t>
      </w:r>
      <w:r w:rsidRPr="00685D85">
        <w:t xml:space="preserve"> years, but</w:t>
      </w:r>
      <w:r w:rsidRPr="00431607">
        <w:t xml:space="preserve"> we</w:t>
      </w:r>
      <w:r w:rsidRPr="00B06056">
        <w:t xml:space="preserve"> will not eliminate poverty for 230 years</w:t>
      </w:r>
      <w:r>
        <w:t>.</w:t>
      </w:r>
    </w:p>
    <w:p w14:paraId="7334FD8A" w14:textId="77777777" w:rsidR="008D2C9D" w:rsidRDefault="008D2C9D" w:rsidP="008D2C9D">
      <w:pPr>
        <w:pStyle w:val="Boxtext"/>
      </w:pPr>
      <w:r w:rsidRPr="005021C3">
        <w:rPr>
          <w:b/>
          <w:bCs/>
        </w:rPr>
        <w:t>1.6.</w:t>
      </w:r>
      <w:r>
        <w:t xml:space="preserve"> </w:t>
      </w:r>
      <w:r w:rsidRPr="000B4597">
        <w:t xml:space="preserve">If each of the five wealthiest men were to spend a million dollars daily, they would take 476 years to exhaust their combined wealth. </w:t>
      </w:r>
    </w:p>
    <w:p w14:paraId="52EF7EC2" w14:textId="77777777" w:rsidR="008D2C9D" w:rsidRDefault="008D2C9D" w:rsidP="008D2C9D">
      <w:pPr>
        <w:pStyle w:val="Boxtext"/>
      </w:pPr>
      <w:r w:rsidRPr="005021C3">
        <w:rPr>
          <w:b/>
          <w:bCs/>
        </w:rPr>
        <w:t>1.7.</w:t>
      </w:r>
      <w:r>
        <w:t xml:space="preserve"> </w:t>
      </w:r>
      <w:r w:rsidRPr="00EC476D">
        <w:t xml:space="preserve">It </w:t>
      </w:r>
      <w:r>
        <w:t>would</w:t>
      </w:r>
      <w:r w:rsidRPr="00EC476D">
        <w:t xml:space="preserve"> take 1</w:t>
      </w:r>
      <w:r>
        <w:t>,</w:t>
      </w:r>
      <w:r w:rsidRPr="00EC476D">
        <w:t>200 years for a female worker in the health and social sector</w:t>
      </w:r>
      <w:r w:rsidRPr="00F87F56">
        <w:t xml:space="preserve"> to earn what a CEO in the biggest </w:t>
      </w:r>
      <w:r>
        <w:t xml:space="preserve">Fortune </w:t>
      </w:r>
      <w:r w:rsidRPr="00F87F56">
        <w:t>100 companies earn</w:t>
      </w:r>
      <w:r>
        <w:t>s</w:t>
      </w:r>
      <w:r w:rsidRPr="00F87F56">
        <w:t xml:space="preserve"> on average</w:t>
      </w:r>
      <w:r>
        <w:t xml:space="preserve"> in one year</w:t>
      </w:r>
      <w:r w:rsidRPr="00F87F56">
        <w:t>.</w:t>
      </w:r>
    </w:p>
    <w:p w14:paraId="48DEBA68" w14:textId="3A6D8BCD" w:rsidR="008D2C9D" w:rsidRDefault="008D2C9D" w:rsidP="008D2C9D">
      <w:pPr>
        <w:pStyle w:val="Boxtext"/>
      </w:pPr>
      <w:r w:rsidRPr="005021C3">
        <w:rPr>
          <w:b/>
          <w:bCs/>
        </w:rPr>
        <w:t>1.8.</w:t>
      </w:r>
      <w:r>
        <w:t xml:space="preserve"> </w:t>
      </w:r>
      <w:r w:rsidRPr="002E553B">
        <w:t xml:space="preserve">The richest 1% own </w:t>
      </w:r>
      <w:r w:rsidR="00E37E49">
        <w:t>43</w:t>
      </w:r>
      <w:r w:rsidRPr="002E553B">
        <w:t xml:space="preserve">% of all global financial assets. </w:t>
      </w:r>
    </w:p>
    <w:p w14:paraId="23A21122" w14:textId="6FC1DB57" w:rsidR="008D2C9D" w:rsidRPr="00841918" w:rsidRDefault="008D2C9D" w:rsidP="008D2C9D">
      <w:pPr>
        <w:pStyle w:val="Boxtext"/>
      </w:pPr>
      <w:r w:rsidRPr="005021C3">
        <w:rPr>
          <w:b/>
          <w:bCs/>
        </w:rPr>
        <w:t>1.9.</w:t>
      </w:r>
      <w:r>
        <w:t xml:space="preserve"> </w:t>
      </w:r>
      <w:r w:rsidRPr="00841918">
        <w:t>A wealth tax on the world’s millionaires and billionaires could generate US$</w:t>
      </w:r>
      <w:r w:rsidR="00E37E49">
        <w:t>1.8</w:t>
      </w:r>
      <w:r w:rsidRPr="00841918">
        <w:t xml:space="preserve"> trillion dollars each year.</w:t>
      </w:r>
    </w:p>
    <w:p w14:paraId="44423D0F" w14:textId="5612EBD3" w:rsidR="000A2506" w:rsidRPr="000A2506" w:rsidRDefault="001637E8" w:rsidP="00351F0F">
      <w:pPr>
        <w:pStyle w:val="Text"/>
        <w:rPr>
          <w:rFonts w:eastAsia="Calibri"/>
          <w:b/>
          <w:bCs/>
        </w:rPr>
      </w:pPr>
      <w:bookmarkStart w:id="2" w:name="_Hlk150411393"/>
      <w:r w:rsidRPr="000A2506">
        <w:rPr>
          <w:rFonts w:eastAsia="Calibri"/>
          <w:b/>
          <w:bCs/>
        </w:rPr>
        <w:t>1.0</w:t>
      </w:r>
      <w:r w:rsidR="005021C3">
        <w:rPr>
          <w:rFonts w:eastAsia="Calibri"/>
          <w:b/>
          <w:bCs/>
        </w:rPr>
        <w:t>.</w:t>
      </w:r>
      <w:r w:rsidR="00282D66" w:rsidRPr="000A2506">
        <w:rPr>
          <w:rFonts w:eastAsia="Calibri"/>
          <w:b/>
          <w:bCs/>
        </w:rPr>
        <w:t xml:space="preserve"> </w:t>
      </w:r>
      <w:r w:rsidR="00662C97" w:rsidRPr="000A2506">
        <w:rPr>
          <w:rFonts w:eastAsia="Calibri"/>
          <w:b/>
          <w:bCs/>
        </w:rPr>
        <w:t>Since 2020, and the beginning of this decade of division, the five richest men have seen their fortunes more than double, whil</w:t>
      </w:r>
      <w:r w:rsidR="00486923" w:rsidRPr="000A2506">
        <w:rPr>
          <w:rFonts w:eastAsia="Calibri"/>
          <w:b/>
          <w:bCs/>
        </w:rPr>
        <w:t>e</w:t>
      </w:r>
      <w:r w:rsidR="00662C97" w:rsidRPr="000A2506">
        <w:rPr>
          <w:rFonts w:eastAsia="Calibri"/>
          <w:b/>
          <w:bCs/>
        </w:rPr>
        <w:t xml:space="preserve"> </w:t>
      </w:r>
      <w:r w:rsidR="006C1408" w:rsidRPr="000A2506">
        <w:rPr>
          <w:rFonts w:eastAsia="Calibri"/>
          <w:b/>
          <w:bCs/>
        </w:rPr>
        <w:t xml:space="preserve">almost </w:t>
      </w:r>
      <w:r w:rsidR="00486923" w:rsidRPr="000A2506">
        <w:rPr>
          <w:rFonts w:eastAsia="Calibri"/>
          <w:b/>
          <w:bCs/>
        </w:rPr>
        <w:t>five</w:t>
      </w:r>
      <w:r w:rsidR="00662C97" w:rsidRPr="000A2506">
        <w:rPr>
          <w:rFonts w:eastAsia="Calibri"/>
          <w:b/>
          <w:bCs/>
        </w:rPr>
        <w:t xml:space="preserve"> billion people have seen their wealth fall. </w:t>
      </w:r>
    </w:p>
    <w:p w14:paraId="407997AD" w14:textId="2EEDD937" w:rsidR="000A2506" w:rsidRPr="000A2506" w:rsidRDefault="00BC1FDF" w:rsidP="000A2506">
      <w:pPr>
        <w:pStyle w:val="Text"/>
        <w:rPr>
          <w:b/>
          <w:bCs/>
        </w:rPr>
      </w:pPr>
      <w:r w:rsidRPr="000A2506">
        <w:rPr>
          <w:b/>
          <w:bCs/>
        </w:rPr>
        <w:t>a)</w:t>
      </w:r>
      <w:r w:rsidR="007E5713" w:rsidRPr="000A2506">
        <w:rPr>
          <w:b/>
          <w:bCs/>
        </w:rPr>
        <w:t xml:space="preserve"> Calculating the development of the wealth of the five richest billionaires since early 2020</w:t>
      </w:r>
      <w:r w:rsidR="005021C3">
        <w:rPr>
          <w:b/>
          <w:bCs/>
        </w:rPr>
        <w:t>.</w:t>
      </w:r>
    </w:p>
    <w:p w14:paraId="3E530117" w14:textId="5CBE7031" w:rsidR="00242F7F" w:rsidRDefault="001637E8" w:rsidP="000A2506">
      <w:pPr>
        <w:pStyle w:val="Text"/>
      </w:pPr>
      <w:r w:rsidRPr="000879F7">
        <w:t xml:space="preserve">The top </w:t>
      </w:r>
      <w:r w:rsidR="00282D66">
        <w:t xml:space="preserve">five </w:t>
      </w:r>
      <w:r w:rsidRPr="000879F7">
        <w:t xml:space="preserve">richest billionaires are from </w:t>
      </w:r>
      <w:r>
        <w:t>the</w:t>
      </w:r>
      <w:r w:rsidRPr="000879F7">
        <w:t xml:space="preserve"> Forbes real</w:t>
      </w:r>
      <w:r w:rsidR="00486923">
        <w:t>-</w:t>
      </w:r>
      <w:r w:rsidRPr="000879F7">
        <w:t xml:space="preserve">time billionaires list </w:t>
      </w:r>
      <w:r w:rsidRPr="00D95844">
        <w:t xml:space="preserve">as of </w:t>
      </w:r>
      <w:r w:rsidR="009E3587" w:rsidRPr="00D95844">
        <w:t>the end of November</w:t>
      </w:r>
      <w:r w:rsidRPr="00D95844">
        <w:t xml:space="preserve"> 2023.</w:t>
      </w:r>
      <w:r w:rsidRPr="00D95844">
        <w:rPr>
          <w:rStyle w:val="EndnoteReference"/>
          <w:rFonts w:cstheme="minorHAnsi"/>
        </w:rPr>
        <w:endnoteReference w:id="2"/>
      </w:r>
      <w:r w:rsidRPr="00D95844">
        <w:t xml:space="preserve"> </w:t>
      </w:r>
      <w:r w:rsidR="00A71B3F" w:rsidRPr="00D95844">
        <w:t>We</w:t>
      </w:r>
      <w:r w:rsidR="00A71B3F">
        <w:t xml:space="preserve"> look at their wealth development between March 2020 </w:t>
      </w:r>
      <w:r w:rsidR="005021C3">
        <w:t>(</w:t>
      </w:r>
      <w:r w:rsidR="008526BC">
        <w:t xml:space="preserve">using </w:t>
      </w:r>
      <w:r w:rsidR="00486923">
        <w:t xml:space="preserve">the </w:t>
      </w:r>
      <w:r w:rsidR="008526BC">
        <w:t xml:space="preserve">Forbes </w:t>
      </w:r>
      <w:r w:rsidR="0020475A">
        <w:t xml:space="preserve">2020 </w:t>
      </w:r>
      <w:r w:rsidR="008526BC">
        <w:t>annual list</w:t>
      </w:r>
      <w:r w:rsidR="005021C3">
        <w:t>)</w:t>
      </w:r>
      <w:r w:rsidR="008526BC">
        <w:t xml:space="preserve"> </w:t>
      </w:r>
      <w:r w:rsidR="00A71B3F">
        <w:t xml:space="preserve">and </w:t>
      </w:r>
      <w:r w:rsidR="00486923">
        <w:t xml:space="preserve">the </w:t>
      </w:r>
      <w:r w:rsidR="00242F7F">
        <w:t>end of November 2023</w:t>
      </w:r>
      <w:r w:rsidR="008526BC">
        <w:t xml:space="preserve"> </w:t>
      </w:r>
      <w:r w:rsidR="005021C3">
        <w:t>(</w:t>
      </w:r>
      <w:r w:rsidR="008526BC">
        <w:t xml:space="preserve">using </w:t>
      </w:r>
      <w:r w:rsidR="00486923">
        <w:t xml:space="preserve">the </w:t>
      </w:r>
      <w:r w:rsidR="008526BC">
        <w:t>real-time billionaires list</w:t>
      </w:r>
      <w:r w:rsidR="005021C3">
        <w:t>)</w:t>
      </w:r>
      <w:r w:rsidR="008526BC">
        <w:t xml:space="preserve">. </w:t>
      </w:r>
    </w:p>
    <w:p w14:paraId="36A6DC00" w14:textId="7C5B626B" w:rsidR="001637E8" w:rsidRDefault="001637E8" w:rsidP="000A2506">
      <w:pPr>
        <w:pStyle w:val="Text"/>
      </w:pPr>
      <w:r w:rsidRPr="000879F7">
        <w:t xml:space="preserve">The total wealth of these </w:t>
      </w:r>
      <w:r w:rsidR="008D1CFE">
        <w:t>five</w:t>
      </w:r>
      <w:r w:rsidRPr="000879F7">
        <w:t xml:space="preserve"> billionaires as of </w:t>
      </w:r>
      <w:r w:rsidR="00486923">
        <w:t>3</w:t>
      </w:r>
      <w:r w:rsidR="002451C0">
        <w:t>0</w:t>
      </w:r>
      <w:r w:rsidR="00486923">
        <w:t xml:space="preserve"> </w:t>
      </w:r>
      <w:r w:rsidR="009E3587">
        <w:t>Novembe</w:t>
      </w:r>
      <w:r w:rsidR="0098019F">
        <w:t>r</w:t>
      </w:r>
      <w:r w:rsidRPr="000879F7">
        <w:t xml:space="preserve"> 2023 was US$</w:t>
      </w:r>
      <w:r w:rsidR="00A12080">
        <w:t>869</w:t>
      </w:r>
      <w:r w:rsidR="00486923">
        <w:t>bn</w:t>
      </w:r>
      <w:r>
        <w:t>, up</w:t>
      </w:r>
      <w:r w:rsidRPr="000879F7">
        <w:t xml:space="preserve"> from US$</w:t>
      </w:r>
      <w:r w:rsidR="00E8166C">
        <w:t>340</w:t>
      </w:r>
      <w:r w:rsidR="00486923">
        <w:t>bn</w:t>
      </w:r>
      <w:r w:rsidRPr="000879F7">
        <w:t xml:space="preserve"> in </w:t>
      </w:r>
      <w:r w:rsidR="00A12080">
        <w:t>March 2020</w:t>
      </w:r>
      <w:r w:rsidRPr="000879F7">
        <w:t>, a nominal increase of US$</w:t>
      </w:r>
      <w:r w:rsidR="003E4276">
        <w:t>456</w:t>
      </w:r>
      <w:r w:rsidR="00486923">
        <w:t>bn</w:t>
      </w:r>
      <w:r w:rsidR="00476B20">
        <w:t>,</w:t>
      </w:r>
      <w:r w:rsidRPr="000879F7">
        <w:t xml:space="preserve"> or </w:t>
      </w:r>
      <w:r>
        <w:t>1</w:t>
      </w:r>
      <w:r w:rsidR="00B07241">
        <w:t>55</w:t>
      </w:r>
      <w:r w:rsidR="006C341F">
        <w:t>%</w:t>
      </w:r>
      <w:r>
        <w:t>.</w:t>
      </w:r>
      <w:r w:rsidRPr="000879F7">
        <w:t xml:space="preserve"> </w:t>
      </w:r>
    </w:p>
    <w:p w14:paraId="706A7923" w14:textId="6EACEE92" w:rsidR="000A2506" w:rsidRPr="000A2506" w:rsidRDefault="001637E8" w:rsidP="000A2506">
      <w:pPr>
        <w:pStyle w:val="Text"/>
      </w:pPr>
      <w:r w:rsidRPr="000A2506">
        <w:t xml:space="preserve">To calculate the growth in real terms (taking inflation into account), we use the US </w:t>
      </w:r>
      <w:r w:rsidR="00AB06B2" w:rsidRPr="000A2506">
        <w:t>consumer price index (</w:t>
      </w:r>
      <w:r w:rsidRPr="000A2506">
        <w:t>CPI</w:t>
      </w:r>
      <w:r w:rsidR="00AB06B2" w:rsidRPr="000A2506">
        <w:t>)</w:t>
      </w:r>
      <w:r w:rsidRPr="000A2506">
        <w:t xml:space="preserve"> for the months of </w:t>
      </w:r>
      <w:r w:rsidR="00B07241" w:rsidRPr="000A2506">
        <w:t>October</w:t>
      </w:r>
      <w:r w:rsidRPr="000A2506">
        <w:t xml:space="preserve"> 2023 and March </w:t>
      </w:r>
      <w:r w:rsidRPr="000A2506">
        <w:lastRenderedPageBreak/>
        <w:t>2020</w:t>
      </w:r>
      <w:r w:rsidR="00FA61CB">
        <w:t xml:space="preserve">. </w:t>
      </w:r>
      <w:r w:rsidR="00476B20" w:rsidRPr="000A2506">
        <w:t>O</w:t>
      </w:r>
      <w:r w:rsidR="009151B1" w:rsidRPr="000A2506">
        <w:t>ur calculation shows that in real term</w:t>
      </w:r>
      <w:r w:rsidR="00486923" w:rsidRPr="000A2506">
        <w:t>s</w:t>
      </w:r>
      <w:r w:rsidR="009151B1" w:rsidRPr="000A2506">
        <w:t xml:space="preserve">, </w:t>
      </w:r>
      <w:r w:rsidR="00CC12B5" w:rsidRPr="000A2506">
        <w:t xml:space="preserve">the </w:t>
      </w:r>
      <w:r w:rsidR="004A2564" w:rsidRPr="000A2506">
        <w:t xml:space="preserve">wealth of the richest five billionaires (as of </w:t>
      </w:r>
      <w:r w:rsidR="00486923" w:rsidRPr="000A2506">
        <w:t xml:space="preserve">the </w:t>
      </w:r>
      <w:r w:rsidR="004A2564" w:rsidRPr="000A2506">
        <w:t xml:space="preserve">end of November 2023) </w:t>
      </w:r>
      <w:r w:rsidR="004D4510" w:rsidRPr="000A2506">
        <w:t xml:space="preserve">has </w:t>
      </w:r>
      <w:r w:rsidR="00A00FCE" w:rsidRPr="000A2506">
        <w:t>increased by US$464</w:t>
      </w:r>
      <w:r w:rsidR="00486923" w:rsidRPr="000A2506">
        <w:t>bn,</w:t>
      </w:r>
      <w:r w:rsidR="00A00FCE" w:rsidRPr="000A2506">
        <w:t xml:space="preserve"> or 114%</w:t>
      </w:r>
      <w:r w:rsidR="005021C3">
        <w:t>,</w:t>
      </w:r>
      <w:r w:rsidR="00A00FCE" w:rsidRPr="000A2506">
        <w:t xml:space="preserve"> since 2020.</w:t>
      </w:r>
    </w:p>
    <w:p w14:paraId="15F3B9DE" w14:textId="5DBAA9BF" w:rsidR="001637E8" w:rsidRPr="00765FF0" w:rsidRDefault="001637E8" w:rsidP="000A2506">
      <w:pPr>
        <w:pStyle w:val="Tablecaption"/>
      </w:pPr>
      <w:r>
        <w:t>Table 1.0</w:t>
      </w:r>
      <w:r w:rsidR="00B37C67">
        <w:t>:</w:t>
      </w:r>
      <w:r>
        <w:t xml:space="preserve"> </w:t>
      </w:r>
      <w:r w:rsidR="00E848A4">
        <w:t xml:space="preserve">Change in wealth of the five </w:t>
      </w:r>
      <w:r w:rsidRPr="00765FF0">
        <w:t xml:space="preserve">richest billionaires </w:t>
      </w:r>
      <w:r w:rsidR="002451C0">
        <w:t>from March 2020 to</w:t>
      </w:r>
      <w:r w:rsidRPr="00765FF0">
        <w:t xml:space="preserve"> </w:t>
      </w:r>
      <w:r w:rsidR="005021C3">
        <w:t xml:space="preserve">the </w:t>
      </w:r>
      <w:r w:rsidR="00A2404C">
        <w:t>end</w:t>
      </w:r>
      <w:r w:rsidR="00AB06B2">
        <w:t xml:space="preserve"> of</w:t>
      </w:r>
      <w:r w:rsidR="00A2404C">
        <w:t xml:space="preserve"> November 2023</w:t>
      </w:r>
    </w:p>
    <w:tbl>
      <w:tblPr>
        <w:tblStyle w:val="TableGrid"/>
        <w:tblW w:w="8364" w:type="dxa"/>
        <w:tblInd w:w="-5" w:type="dxa"/>
        <w:tblLook w:val="04A0" w:firstRow="1" w:lastRow="0" w:firstColumn="1" w:lastColumn="0" w:noHBand="0" w:noVBand="1"/>
      </w:tblPr>
      <w:tblGrid>
        <w:gridCol w:w="1560"/>
        <w:gridCol w:w="1134"/>
        <w:gridCol w:w="992"/>
        <w:gridCol w:w="1701"/>
        <w:gridCol w:w="1701"/>
        <w:gridCol w:w="1276"/>
      </w:tblGrid>
      <w:tr w:rsidR="00A2404C" w:rsidRPr="00A2404C" w14:paraId="6FF74876" w14:textId="77777777" w:rsidTr="00FA61CB">
        <w:trPr>
          <w:trHeight w:val="870"/>
        </w:trPr>
        <w:tc>
          <w:tcPr>
            <w:tcW w:w="1560" w:type="dxa"/>
            <w:noWrap/>
            <w:hideMark/>
          </w:tcPr>
          <w:p w14:paraId="57F2600A" w14:textId="77777777" w:rsidR="00A2404C" w:rsidRPr="00A2404C" w:rsidRDefault="00A2404C" w:rsidP="00A2404C">
            <w:pPr>
              <w:spacing w:line="259" w:lineRule="auto"/>
              <w:rPr>
                <w:rFonts w:cstheme="minorHAnsi"/>
                <w:b/>
                <w:bCs/>
              </w:rPr>
            </w:pPr>
            <w:r w:rsidRPr="00A2404C">
              <w:rPr>
                <w:rFonts w:cstheme="minorHAnsi"/>
                <w:b/>
                <w:bCs/>
              </w:rPr>
              <w:t> </w:t>
            </w:r>
          </w:p>
        </w:tc>
        <w:tc>
          <w:tcPr>
            <w:tcW w:w="1134" w:type="dxa"/>
            <w:hideMark/>
          </w:tcPr>
          <w:p w14:paraId="085B46BD" w14:textId="4FD6584D" w:rsidR="00A2404C" w:rsidRPr="00A2404C" w:rsidRDefault="00A01530" w:rsidP="000A2506">
            <w:pPr>
              <w:pStyle w:val="Tableheading1"/>
            </w:pPr>
            <w:r>
              <w:t>30 Nov</w:t>
            </w:r>
            <w:r w:rsidR="00A2404C" w:rsidRPr="00A2404C">
              <w:t xml:space="preserve"> </w:t>
            </w:r>
            <w:r w:rsidR="00486923">
              <w:t>20</w:t>
            </w:r>
            <w:r w:rsidR="00A2404C" w:rsidRPr="00A2404C">
              <w:t xml:space="preserve">23, </w:t>
            </w:r>
            <w:proofErr w:type="spellStart"/>
            <w:r w:rsidR="00A2404C" w:rsidRPr="00A2404C">
              <w:t>US$bn</w:t>
            </w:r>
            <w:proofErr w:type="spellEnd"/>
          </w:p>
        </w:tc>
        <w:tc>
          <w:tcPr>
            <w:tcW w:w="992" w:type="dxa"/>
            <w:hideMark/>
          </w:tcPr>
          <w:p w14:paraId="30B571BD" w14:textId="4A252721" w:rsidR="00A2404C" w:rsidRPr="00A2404C" w:rsidRDefault="00AC7AF2" w:rsidP="000A2506">
            <w:pPr>
              <w:pStyle w:val="Tableheading1"/>
            </w:pPr>
            <w:r>
              <w:t xml:space="preserve">18 </w:t>
            </w:r>
            <w:r w:rsidR="00A2404C" w:rsidRPr="00A2404C">
              <w:t>March 20</w:t>
            </w:r>
            <w:r w:rsidR="00486923">
              <w:t>20</w:t>
            </w:r>
            <w:r w:rsidR="00A2404C" w:rsidRPr="00A2404C">
              <w:t xml:space="preserve">, </w:t>
            </w:r>
            <w:proofErr w:type="spellStart"/>
            <w:r w:rsidR="00A2404C" w:rsidRPr="00A2404C">
              <w:t>US$bn</w:t>
            </w:r>
            <w:proofErr w:type="spellEnd"/>
          </w:p>
        </w:tc>
        <w:tc>
          <w:tcPr>
            <w:tcW w:w="1701" w:type="dxa"/>
            <w:hideMark/>
          </w:tcPr>
          <w:p w14:paraId="3BD93887" w14:textId="3D769119" w:rsidR="00A2404C" w:rsidRPr="00A2404C" w:rsidRDefault="00A2404C" w:rsidP="000A2506">
            <w:pPr>
              <w:pStyle w:val="Tableheading1"/>
            </w:pPr>
            <w:r w:rsidRPr="00A2404C">
              <w:t>March 2020 adjusted for inflation</w:t>
            </w:r>
            <w:r w:rsidR="002451C0">
              <w:t>,</w:t>
            </w:r>
            <w:r w:rsidRPr="00A2404C">
              <w:t xml:space="preserve"> </w:t>
            </w:r>
            <w:proofErr w:type="spellStart"/>
            <w:r w:rsidRPr="00A2404C">
              <w:t>US$bn</w:t>
            </w:r>
            <w:proofErr w:type="spellEnd"/>
          </w:p>
        </w:tc>
        <w:tc>
          <w:tcPr>
            <w:tcW w:w="1701" w:type="dxa"/>
            <w:hideMark/>
          </w:tcPr>
          <w:p w14:paraId="175A56DB" w14:textId="77777777" w:rsidR="00A2404C" w:rsidRPr="00A2404C" w:rsidRDefault="00A2404C" w:rsidP="000A2506">
            <w:pPr>
              <w:pStyle w:val="Tableheading1"/>
            </w:pPr>
            <w:r w:rsidRPr="00A2404C">
              <w:t xml:space="preserve">Real changes (accounting for inflation), </w:t>
            </w:r>
            <w:proofErr w:type="spellStart"/>
            <w:r w:rsidRPr="00A2404C">
              <w:t>US$bn</w:t>
            </w:r>
            <w:proofErr w:type="spellEnd"/>
          </w:p>
        </w:tc>
        <w:tc>
          <w:tcPr>
            <w:tcW w:w="1276" w:type="dxa"/>
            <w:hideMark/>
          </w:tcPr>
          <w:p w14:paraId="7FC2D1CB" w14:textId="27603901" w:rsidR="00A2404C" w:rsidRPr="00A2404C" w:rsidRDefault="00885185" w:rsidP="000A2506">
            <w:pPr>
              <w:pStyle w:val="Tableheading1"/>
            </w:pPr>
            <w:r>
              <w:t>R</w:t>
            </w:r>
            <w:r w:rsidR="00A2404C" w:rsidRPr="00A2404C">
              <w:t>eal change</w:t>
            </w:r>
            <w:r>
              <w:t>, %</w:t>
            </w:r>
          </w:p>
        </w:tc>
      </w:tr>
      <w:tr w:rsidR="00A2404C" w:rsidRPr="00A2404C" w14:paraId="0AD0B5B1" w14:textId="77777777" w:rsidTr="00FA61CB">
        <w:trPr>
          <w:trHeight w:val="290"/>
        </w:trPr>
        <w:tc>
          <w:tcPr>
            <w:tcW w:w="1560" w:type="dxa"/>
            <w:noWrap/>
            <w:hideMark/>
          </w:tcPr>
          <w:p w14:paraId="7CA3D079" w14:textId="77777777" w:rsidR="00A2404C" w:rsidRPr="00A2404C" w:rsidRDefault="00A2404C" w:rsidP="000A2506">
            <w:pPr>
              <w:pStyle w:val="Tableheading2"/>
            </w:pPr>
            <w:r w:rsidRPr="00A2404C">
              <w:t>Elon Musk</w:t>
            </w:r>
          </w:p>
        </w:tc>
        <w:tc>
          <w:tcPr>
            <w:tcW w:w="1134" w:type="dxa"/>
            <w:noWrap/>
            <w:hideMark/>
          </w:tcPr>
          <w:p w14:paraId="3381AAAB" w14:textId="77777777" w:rsidR="00A2404C" w:rsidRPr="00A2404C" w:rsidRDefault="00A2404C" w:rsidP="000A2506">
            <w:pPr>
              <w:pStyle w:val="Tabletext"/>
            </w:pPr>
            <w:r w:rsidRPr="00A2404C">
              <w:t>245.5</w:t>
            </w:r>
          </w:p>
        </w:tc>
        <w:tc>
          <w:tcPr>
            <w:tcW w:w="992" w:type="dxa"/>
            <w:noWrap/>
            <w:hideMark/>
          </w:tcPr>
          <w:p w14:paraId="107D2D94" w14:textId="77777777" w:rsidR="00A2404C" w:rsidRPr="00A2404C" w:rsidRDefault="00A2404C" w:rsidP="000A2506">
            <w:pPr>
              <w:pStyle w:val="Tabletext"/>
            </w:pPr>
            <w:r w:rsidRPr="00A2404C">
              <w:t>24.6</w:t>
            </w:r>
          </w:p>
        </w:tc>
        <w:tc>
          <w:tcPr>
            <w:tcW w:w="1701" w:type="dxa"/>
            <w:noWrap/>
            <w:hideMark/>
          </w:tcPr>
          <w:p w14:paraId="2D4A36DF" w14:textId="77777777" w:rsidR="00A2404C" w:rsidRPr="00A2404C" w:rsidRDefault="00A2404C" w:rsidP="000A2506">
            <w:pPr>
              <w:pStyle w:val="Tabletext"/>
            </w:pPr>
            <w:r w:rsidRPr="00A2404C">
              <w:t>29.3</w:t>
            </w:r>
          </w:p>
        </w:tc>
        <w:tc>
          <w:tcPr>
            <w:tcW w:w="1701" w:type="dxa"/>
            <w:noWrap/>
            <w:hideMark/>
          </w:tcPr>
          <w:p w14:paraId="1327D405" w14:textId="77777777" w:rsidR="00A2404C" w:rsidRPr="00A2404C" w:rsidRDefault="00A2404C" w:rsidP="000A2506">
            <w:pPr>
              <w:pStyle w:val="Tabletext"/>
            </w:pPr>
            <w:r w:rsidRPr="00A2404C">
              <w:t>216.2</w:t>
            </w:r>
          </w:p>
        </w:tc>
        <w:tc>
          <w:tcPr>
            <w:tcW w:w="1276" w:type="dxa"/>
            <w:noWrap/>
            <w:hideMark/>
          </w:tcPr>
          <w:p w14:paraId="79FD7078" w14:textId="6A38B653" w:rsidR="00A2404C" w:rsidRPr="00A2404C" w:rsidRDefault="00A2404C" w:rsidP="000A2506">
            <w:pPr>
              <w:pStyle w:val="Tabletext"/>
            </w:pPr>
            <w:r w:rsidRPr="00A2404C">
              <w:t>737</w:t>
            </w:r>
          </w:p>
        </w:tc>
      </w:tr>
      <w:tr w:rsidR="00A2404C" w:rsidRPr="00A2404C" w14:paraId="633C2324" w14:textId="77777777" w:rsidTr="00FA61CB">
        <w:trPr>
          <w:trHeight w:val="290"/>
        </w:trPr>
        <w:tc>
          <w:tcPr>
            <w:tcW w:w="1560" w:type="dxa"/>
            <w:noWrap/>
            <w:hideMark/>
          </w:tcPr>
          <w:p w14:paraId="03D6F1CA" w14:textId="4B5C24EA" w:rsidR="00A2404C" w:rsidRPr="00A2404C" w:rsidRDefault="00A2404C" w:rsidP="000A2506">
            <w:pPr>
              <w:pStyle w:val="Tableheading2"/>
            </w:pPr>
            <w:r w:rsidRPr="00A2404C">
              <w:t xml:space="preserve">Bernard </w:t>
            </w:r>
            <w:proofErr w:type="spellStart"/>
            <w:r w:rsidRPr="00A2404C">
              <w:t>Arnault</w:t>
            </w:r>
            <w:proofErr w:type="spellEnd"/>
            <w:r w:rsidRPr="00A2404C">
              <w:t xml:space="preserve"> </w:t>
            </w:r>
            <w:r w:rsidR="00486923">
              <w:t>and</w:t>
            </w:r>
            <w:r w:rsidRPr="00A2404C">
              <w:t xml:space="preserve"> family</w:t>
            </w:r>
          </w:p>
        </w:tc>
        <w:tc>
          <w:tcPr>
            <w:tcW w:w="1134" w:type="dxa"/>
            <w:noWrap/>
            <w:hideMark/>
          </w:tcPr>
          <w:p w14:paraId="6806857B" w14:textId="77777777" w:rsidR="00A2404C" w:rsidRPr="00A2404C" w:rsidRDefault="00A2404C" w:rsidP="000A2506">
            <w:pPr>
              <w:pStyle w:val="Tabletext"/>
            </w:pPr>
            <w:r w:rsidRPr="00A2404C">
              <w:t>191.3</w:t>
            </w:r>
          </w:p>
        </w:tc>
        <w:tc>
          <w:tcPr>
            <w:tcW w:w="992" w:type="dxa"/>
            <w:noWrap/>
            <w:hideMark/>
          </w:tcPr>
          <w:p w14:paraId="5D3BBB3D" w14:textId="77777777" w:rsidR="00A2404C" w:rsidRPr="00A2404C" w:rsidRDefault="00A2404C" w:rsidP="000A2506">
            <w:pPr>
              <w:pStyle w:val="Tabletext"/>
            </w:pPr>
            <w:r w:rsidRPr="00A2404C">
              <w:t>76</w:t>
            </w:r>
          </w:p>
        </w:tc>
        <w:tc>
          <w:tcPr>
            <w:tcW w:w="1701" w:type="dxa"/>
            <w:noWrap/>
            <w:hideMark/>
          </w:tcPr>
          <w:p w14:paraId="578B0127" w14:textId="77777777" w:rsidR="00A2404C" w:rsidRPr="00A2404C" w:rsidRDefault="00A2404C" w:rsidP="000A2506">
            <w:pPr>
              <w:pStyle w:val="Tabletext"/>
            </w:pPr>
            <w:r w:rsidRPr="00A2404C">
              <w:t>90.6</w:t>
            </w:r>
          </w:p>
        </w:tc>
        <w:tc>
          <w:tcPr>
            <w:tcW w:w="1701" w:type="dxa"/>
            <w:noWrap/>
            <w:hideMark/>
          </w:tcPr>
          <w:p w14:paraId="0AB827E3" w14:textId="77777777" w:rsidR="00A2404C" w:rsidRPr="00A2404C" w:rsidRDefault="00A2404C" w:rsidP="000A2506">
            <w:pPr>
              <w:pStyle w:val="Tabletext"/>
            </w:pPr>
            <w:r w:rsidRPr="00A2404C">
              <w:t>100.7</w:t>
            </w:r>
          </w:p>
        </w:tc>
        <w:tc>
          <w:tcPr>
            <w:tcW w:w="1276" w:type="dxa"/>
            <w:noWrap/>
            <w:hideMark/>
          </w:tcPr>
          <w:p w14:paraId="55DEE676" w14:textId="6DC1FD79" w:rsidR="00A2404C" w:rsidRPr="00A2404C" w:rsidRDefault="00A2404C" w:rsidP="000A2506">
            <w:pPr>
              <w:pStyle w:val="Tabletext"/>
            </w:pPr>
            <w:r w:rsidRPr="00A2404C">
              <w:t>111</w:t>
            </w:r>
          </w:p>
        </w:tc>
      </w:tr>
      <w:tr w:rsidR="00A2404C" w:rsidRPr="00A2404C" w14:paraId="0C8A067E" w14:textId="77777777" w:rsidTr="00FA61CB">
        <w:trPr>
          <w:trHeight w:val="290"/>
        </w:trPr>
        <w:tc>
          <w:tcPr>
            <w:tcW w:w="1560" w:type="dxa"/>
            <w:noWrap/>
            <w:hideMark/>
          </w:tcPr>
          <w:p w14:paraId="151D19F6" w14:textId="77777777" w:rsidR="00A2404C" w:rsidRPr="00A2404C" w:rsidRDefault="00A2404C" w:rsidP="000A2506">
            <w:pPr>
              <w:pStyle w:val="Tableheading2"/>
            </w:pPr>
            <w:r w:rsidRPr="00A2404C">
              <w:t>Jeff Bezos</w:t>
            </w:r>
          </w:p>
        </w:tc>
        <w:tc>
          <w:tcPr>
            <w:tcW w:w="1134" w:type="dxa"/>
            <w:noWrap/>
            <w:hideMark/>
          </w:tcPr>
          <w:p w14:paraId="1879ABD7" w14:textId="77777777" w:rsidR="00A2404C" w:rsidRPr="00A2404C" w:rsidRDefault="00A2404C" w:rsidP="000A2506">
            <w:pPr>
              <w:pStyle w:val="Tabletext"/>
            </w:pPr>
            <w:r w:rsidRPr="00A2404C">
              <w:t>167.4</w:t>
            </w:r>
          </w:p>
        </w:tc>
        <w:tc>
          <w:tcPr>
            <w:tcW w:w="992" w:type="dxa"/>
            <w:noWrap/>
            <w:hideMark/>
          </w:tcPr>
          <w:p w14:paraId="0EC216CC" w14:textId="77777777" w:rsidR="00A2404C" w:rsidRPr="00A2404C" w:rsidRDefault="00A2404C" w:rsidP="000A2506">
            <w:pPr>
              <w:pStyle w:val="Tabletext"/>
            </w:pPr>
            <w:r w:rsidRPr="00A2404C">
              <w:t>113</w:t>
            </w:r>
          </w:p>
        </w:tc>
        <w:tc>
          <w:tcPr>
            <w:tcW w:w="1701" w:type="dxa"/>
            <w:noWrap/>
            <w:hideMark/>
          </w:tcPr>
          <w:p w14:paraId="46F152B8" w14:textId="77777777" w:rsidR="00A2404C" w:rsidRPr="00A2404C" w:rsidRDefault="00A2404C" w:rsidP="000A2506">
            <w:pPr>
              <w:pStyle w:val="Tabletext"/>
            </w:pPr>
            <w:r w:rsidRPr="00A2404C">
              <w:t>134.7</w:t>
            </w:r>
          </w:p>
        </w:tc>
        <w:tc>
          <w:tcPr>
            <w:tcW w:w="1701" w:type="dxa"/>
            <w:noWrap/>
            <w:hideMark/>
          </w:tcPr>
          <w:p w14:paraId="32FF490B" w14:textId="77777777" w:rsidR="00A2404C" w:rsidRPr="00A2404C" w:rsidRDefault="00A2404C" w:rsidP="000A2506">
            <w:pPr>
              <w:pStyle w:val="Tabletext"/>
            </w:pPr>
            <w:r w:rsidRPr="00A2404C">
              <w:t>32.7</w:t>
            </w:r>
          </w:p>
        </w:tc>
        <w:tc>
          <w:tcPr>
            <w:tcW w:w="1276" w:type="dxa"/>
            <w:noWrap/>
            <w:hideMark/>
          </w:tcPr>
          <w:p w14:paraId="06A1E991" w14:textId="0CBCA029" w:rsidR="00A2404C" w:rsidRPr="00A2404C" w:rsidRDefault="00A2404C" w:rsidP="000A2506">
            <w:pPr>
              <w:pStyle w:val="Tabletext"/>
            </w:pPr>
            <w:r w:rsidRPr="00A2404C">
              <w:t>24</w:t>
            </w:r>
          </w:p>
        </w:tc>
      </w:tr>
      <w:tr w:rsidR="00A2404C" w:rsidRPr="00A2404C" w14:paraId="4253A09A" w14:textId="77777777" w:rsidTr="00FA61CB">
        <w:trPr>
          <w:trHeight w:val="290"/>
        </w:trPr>
        <w:tc>
          <w:tcPr>
            <w:tcW w:w="1560" w:type="dxa"/>
            <w:noWrap/>
            <w:hideMark/>
          </w:tcPr>
          <w:p w14:paraId="2627C6B3" w14:textId="77777777" w:rsidR="00A2404C" w:rsidRPr="00A2404C" w:rsidRDefault="00A2404C" w:rsidP="000A2506">
            <w:pPr>
              <w:pStyle w:val="Tableheading2"/>
            </w:pPr>
            <w:r w:rsidRPr="00A2404C">
              <w:t>Larry Ellison</w:t>
            </w:r>
          </w:p>
        </w:tc>
        <w:tc>
          <w:tcPr>
            <w:tcW w:w="1134" w:type="dxa"/>
            <w:noWrap/>
            <w:hideMark/>
          </w:tcPr>
          <w:p w14:paraId="5EFE79F9" w14:textId="77777777" w:rsidR="00A2404C" w:rsidRPr="00A2404C" w:rsidRDefault="00A2404C" w:rsidP="000A2506">
            <w:pPr>
              <w:pStyle w:val="Tabletext"/>
            </w:pPr>
            <w:r w:rsidRPr="00A2404C">
              <w:t>145.5</w:t>
            </w:r>
          </w:p>
        </w:tc>
        <w:tc>
          <w:tcPr>
            <w:tcW w:w="992" w:type="dxa"/>
            <w:noWrap/>
            <w:hideMark/>
          </w:tcPr>
          <w:p w14:paraId="639A2118" w14:textId="77777777" w:rsidR="00A2404C" w:rsidRPr="00A2404C" w:rsidRDefault="00A2404C" w:rsidP="000A2506">
            <w:pPr>
              <w:pStyle w:val="Tabletext"/>
            </w:pPr>
            <w:r w:rsidRPr="00A2404C">
              <w:t>59</w:t>
            </w:r>
          </w:p>
        </w:tc>
        <w:tc>
          <w:tcPr>
            <w:tcW w:w="1701" w:type="dxa"/>
            <w:noWrap/>
            <w:hideMark/>
          </w:tcPr>
          <w:p w14:paraId="2AF4752E" w14:textId="77777777" w:rsidR="00A2404C" w:rsidRPr="00A2404C" w:rsidRDefault="00A2404C" w:rsidP="000A2506">
            <w:pPr>
              <w:pStyle w:val="Tabletext"/>
            </w:pPr>
            <w:r w:rsidRPr="00A2404C">
              <w:t>70.3</w:t>
            </w:r>
          </w:p>
        </w:tc>
        <w:tc>
          <w:tcPr>
            <w:tcW w:w="1701" w:type="dxa"/>
            <w:noWrap/>
            <w:hideMark/>
          </w:tcPr>
          <w:p w14:paraId="7F4028EB" w14:textId="77777777" w:rsidR="00A2404C" w:rsidRPr="00A2404C" w:rsidRDefault="00A2404C" w:rsidP="000A2506">
            <w:pPr>
              <w:pStyle w:val="Tabletext"/>
            </w:pPr>
            <w:r w:rsidRPr="00A2404C">
              <w:t>75.2</w:t>
            </w:r>
          </w:p>
        </w:tc>
        <w:tc>
          <w:tcPr>
            <w:tcW w:w="1276" w:type="dxa"/>
            <w:noWrap/>
            <w:hideMark/>
          </w:tcPr>
          <w:p w14:paraId="5B6EBCF3" w14:textId="6C0EBB2A" w:rsidR="00A2404C" w:rsidRPr="00A2404C" w:rsidRDefault="00A2404C" w:rsidP="000A2506">
            <w:pPr>
              <w:pStyle w:val="Tabletext"/>
            </w:pPr>
            <w:r w:rsidRPr="00A2404C">
              <w:t>107</w:t>
            </w:r>
          </w:p>
        </w:tc>
      </w:tr>
      <w:tr w:rsidR="00A2404C" w:rsidRPr="00A2404C" w14:paraId="610626C9" w14:textId="77777777" w:rsidTr="00FA61CB">
        <w:trPr>
          <w:trHeight w:val="290"/>
        </w:trPr>
        <w:tc>
          <w:tcPr>
            <w:tcW w:w="1560" w:type="dxa"/>
            <w:noWrap/>
            <w:hideMark/>
          </w:tcPr>
          <w:p w14:paraId="1D45041F" w14:textId="77777777" w:rsidR="00A2404C" w:rsidRPr="00A2404C" w:rsidRDefault="00A2404C" w:rsidP="000A2506">
            <w:pPr>
              <w:pStyle w:val="Tableheading2"/>
            </w:pPr>
            <w:r w:rsidRPr="00A2404C">
              <w:t>Warren Buffett</w:t>
            </w:r>
          </w:p>
        </w:tc>
        <w:tc>
          <w:tcPr>
            <w:tcW w:w="1134" w:type="dxa"/>
            <w:noWrap/>
            <w:hideMark/>
          </w:tcPr>
          <w:p w14:paraId="7BBBDA5F" w14:textId="77777777" w:rsidR="00A2404C" w:rsidRPr="00A2404C" w:rsidRDefault="00A2404C" w:rsidP="000A2506">
            <w:pPr>
              <w:pStyle w:val="Tabletext"/>
            </w:pPr>
            <w:r w:rsidRPr="00A2404C">
              <w:t>119.2</w:t>
            </w:r>
          </w:p>
        </w:tc>
        <w:tc>
          <w:tcPr>
            <w:tcW w:w="992" w:type="dxa"/>
            <w:noWrap/>
            <w:hideMark/>
          </w:tcPr>
          <w:p w14:paraId="70B568CB" w14:textId="77777777" w:rsidR="00A2404C" w:rsidRPr="00A2404C" w:rsidRDefault="00A2404C" w:rsidP="000A2506">
            <w:pPr>
              <w:pStyle w:val="Tabletext"/>
            </w:pPr>
            <w:r w:rsidRPr="00A2404C">
              <w:t>67.5</w:t>
            </w:r>
          </w:p>
        </w:tc>
        <w:tc>
          <w:tcPr>
            <w:tcW w:w="1701" w:type="dxa"/>
            <w:noWrap/>
            <w:hideMark/>
          </w:tcPr>
          <w:p w14:paraId="7A821E5E" w14:textId="77777777" w:rsidR="00A2404C" w:rsidRPr="00A2404C" w:rsidRDefault="00A2404C" w:rsidP="000A2506">
            <w:pPr>
              <w:pStyle w:val="Tabletext"/>
            </w:pPr>
            <w:r w:rsidRPr="00A2404C">
              <w:t>80.5</w:t>
            </w:r>
          </w:p>
        </w:tc>
        <w:tc>
          <w:tcPr>
            <w:tcW w:w="1701" w:type="dxa"/>
            <w:noWrap/>
            <w:hideMark/>
          </w:tcPr>
          <w:p w14:paraId="6CD3E844" w14:textId="77777777" w:rsidR="00A2404C" w:rsidRPr="00A2404C" w:rsidRDefault="00A2404C" w:rsidP="000A2506">
            <w:pPr>
              <w:pStyle w:val="Tabletext"/>
            </w:pPr>
            <w:r w:rsidRPr="00A2404C">
              <w:t>38.7</w:t>
            </w:r>
          </w:p>
        </w:tc>
        <w:tc>
          <w:tcPr>
            <w:tcW w:w="1276" w:type="dxa"/>
            <w:noWrap/>
            <w:hideMark/>
          </w:tcPr>
          <w:p w14:paraId="18827D1B" w14:textId="0C2F282E" w:rsidR="00A2404C" w:rsidRPr="00A2404C" w:rsidRDefault="00A2404C" w:rsidP="000A2506">
            <w:pPr>
              <w:pStyle w:val="Tabletext"/>
            </w:pPr>
            <w:r w:rsidRPr="00A2404C">
              <w:t>48</w:t>
            </w:r>
          </w:p>
        </w:tc>
      </w:tr>
      <w:tr w:rsidR="00A2404C" w:rsidRPr="00A2404C" w14:paraId="2E268002" w14:textId="77777777" w:rsidTr="00FA61CB">
        <w:trPr>
          <w:trHeight w:val="290"/>
        </w:trPr>
        <w:tc>
          <w:tcPr>
            <w:tcW w:w="1560" w:type="dxa"/>
            <w:noWrap/>
            <w:hideMark/>
          </w:tcPr>
          <w:p w14:paraId="440ACCC7" w14:textId="77777777" w:rsidR="00A2404C" w:rsidRPr="00A2404C" w:rsidRDefault="00A2404C" w:rsidP="00FA61CB">
            <w:pPr>
              <w:pStyle w:val="Tableheading1"/>
            </w:pPr>
            <w:r w:rsidRPr="00A2404C">
              <w:t>Total</w:t>
            </w:r>
          </w:p>
        </w:tc>
        <w:tc>
          <w:tcPr>
            <w:tcW w:w="1134" w:type="dxa"/>
            <w:noWrap/>
            <w:hideMark/>
          </w:tcPr>
          <w:p w14:paraId="6D5ECD60" w14:textId="29010C56" w:rsidR="00A2404C" w:rsidRPr="00A2404C" w:rsidRDefault="00A2404C" w:rsidP="000A2506">
            <w:pPr>
              <w:pStyle w:val="Tableheading1"/>
            </w:pPr>
            <w:r w:rsidRPr="00A2404C">
              <w:t xml:space="preserve">869 </w:t>
            </w:r>
          </w:p>
        </w:tc>
        <w:tc>
          <w:tcPr>
            <w:tcW w:w="992" w:type="dxa"/>
            <w:noWrap/>
            <w:hideMark/>
          </w:tcPr>
          <w:p w14:paraId="68F9C8F8" w14:textId="2843053A" w:rsidR="00A2404C" w:rsidRPr="00A2404C" w:rsidRDefault="00A2404C" w:rsidP="000A2506">
            <w:pPr>
              <w:pStyle w:val="Tableheading1"/>
            </w:pPr>
            <w:r w:rsidRPr="00A2404C">
              <w:t xml:space="preserve">340 </w:t>
            </w:r>
          </w:p>
        </w:tc>
        <w:tc>
          <w:tcPr>
            <w:tcW w:w="1701" w:type="dxa"/>
            <w:noWrap/>
            <w:hideMark/>
          </w:tcPr>
          <w:p w14:paraId="519FBDEA" w14:textId="2E2C4E93" w:rsidR="00A2404C" w:rsidRPr="00A2404C" w:rsidRDefault="00A2404C" w:rsidP="000A2506">
            <w:pPr>
              <w:pStyle w:val="Tableheading1"/>
            </w:pPr>
            <w:r w:rsidRPr="00A2404C">
              <w:t xml:space="preserve">405 </w:t>
            </w:r>
          </w:p>
        </w:tc>
        <w:tc>
          <w:tcPr>
            <w:tcW w:w="1701" w:type="dxa"/>
            <w:noWrap/>
            <w:hideMark/>
          </w:tcPr>
          <w:p w14:paraId="7845A274" w14:textId="74CF2255" w:rsidR="00A2404C" w:rsidRPr="00A2404C" w:rsidRDefault="00A2404C" w:rsidP="000A2506">
            <w:pPr>
              <w:pStyle w:val="Tableheading1"/>
            </w:pPr>
            <w:r w:rsidRPr="00A2404C">
              <w:t xml:space="preserve">464 </w:t>
            </w:r>
          </w:p>
        </w:tc>
        <w:tc>
          <w:tcPr>
            <w:tcW w:w="1276" w:type="dxa"/>
            <w:noWrap/>
            <w:hideMark/>
          </w:tcPr>
          <w:p w14:paraId="2276444A" w14:textId="15FCD1E8" w:rsidR="00A2404C" w:rsidRPr="00A2404C" w:rsidRDefault="00A2404C" w:rsidP="000A2506">
            <w:pPr>
              <w:pStyle w:val="Tableheading1"/>
            </w:pPr>
            <w:r w:rsidRPr="00A2404C">
              <w:t>114</w:t>
            </w:r>
          </w:p>
        </w:tc>
      </w:tr>
    </w:tbl>
    <w:p w14:paraId="198018CA" w14:textId="61B5CAF0" w:rsidR="00101337" w:rsidRPr="005B4C27" w:rsidRDefault="00156435" w:rsidP="005B4C27">
      <w:pPr>
        <w:pStyle w:val="Text"/>
        <w:rPr>
          <w:b/>
          <w:bCs/>
        </w:rPr>
      </w:pPr>
      <w:r w:rsidRPr="005B4C27">
        <w:rPr>
          <w:b/>
          <w:bCs/>
        </w:rPr>
        <w:t xml:space="preserve">b) </w:t>
      </w:r>
      <w:r w:rsidR="00486923" w:rsidRPr="005B4C27">
        <w:rPr>
          <w:b/>
          <w:bCs/>
        </w:rPr>
        <w:t>E</w:t>
      </w:r>
      <w:r w:rsidRPr="005B4C27">
        <w:rPr>
          <w:b/>
          <w:bCs/>
        </w:rPr>
        <w:t xml:space="preserve">stimating the </w:t>
      </w:r>
      <w:r w:rsidR="00101337" w:rsidRPr="005B4C27">
        <w:rPr>
          <w:b/>
          <w:bCs/>
        </w:rPr>
        <w:t>development in the wealth of the bottom 60%</w:t>
      </w:r>
      <w:r w:rsidR="00922515">
        <w:rPr>
          <w:b/>
          <w:bCs/>
        </w:rPr>
        <w:t>.</w:t>
      </w:r>
    </w:p>
    <w:p w14:paraId="6EBEF5CA" w14:textId="28B7112D" w:rsidR="00790A29" w:rsidRDefault="001637E8" w:rsidP="005B4C27">
      <w:pPr>
        <w:pStyle w:val="Text"/>
      </w:pPr>
      <w:r>
        <w:t xml:space="preserve">The wealth of the </w:t>
      </w:r>
      <w:r w:rsidR="00486923">
        <w:t>b</w:t>
      </w:r>
      <w:r>
        <w:t xml:space="preserve">ottom </w:t>
      </w:r>
      <w:r w:rsidR="00A07CE2">
        <w:t>6</w:t>
      </w:r>
      <w:r>
        <w:t xml:space="preserve">0% in 2022 is from the </w:t>
      </w:r>
      <w:r w:rsidRPr="00922515">
        <w:t>UBS</w:t>
      </w:r>
      <w:r w:rsidRPr="00922515">
        <w:rPr>
          <w:i/>
          <w:iCs/>
        </w:rPr>
        <w:t xml:space="preserve"> Global Wealth Report 2023</w:t>
      </w:r>
      <w:r>
        <w:t>,</w:t>
      </w:r>
      <w:r>
        <w:rPr>
          <w:rStyle w:val="EndnoteReference"/>
          <w:rFonts w:cstheme="minorHAnsi"/>
        </w:rPr>
        <w:endnoteReference w:id="3"/>
      </w:r>
      <w:r>
        <w:t xml:space="preserve"> while their wealth in 2019 is from the Credit Suisse </w:t>
      </w:r>
      <w:r w:rsidRPr="00922515">
        <w:rPr>
          <w:i/>
          <w:iCs/>
        </w:rPr>
        <w:t xml:space="preserve">Global Wealth </w:t>
      </w:r>
      <w:r w:rsidR="002451C0" w:rsidRPr="00922515">
        <w:rPr>
          <w:i/>
          <w:iCs/>
        </w:rPr>
        <w:t xml:space="preserve">Databook </w:t>
      </w:r>
      <w:r w:rsidRPr="00922515">
        <w:rPr>
          <w:i/>
          <w:iCs/>
        </w:rPr>
        <w:t>2019</w:t>
      </w:r>
      <w:r>
        <w:t>.</w:t>
      </w:r>
      <w:r>
        <w:rPr>
          <w:rStyle w:val="EndnoteReference"/>
          <w:rFonts w:cstheme="minorHAnsi"/>
        </w:rPr>
        <w:endnoteReference w:id="4"/>
      </w:r>
      <w:r>
        <w:t xml:space="preserve"> </w:t>
      </w:r>
      <w:r w:rsidR="00613449" w:rsidRPr="00613449">
        <w:t xml:space="preserve">The 2019 and 2022 </w:t>
      </w:r>
      <w:r w:rsidR="00950B33">
        <w:t xml:space="preserve">wealth reports </w:t>
      </w:r>
      <w:r w:rsidR="00613449" w:rsidRPr="00613449">
        <w:t>use the same methodology</w:t>
      </w:r>
      <w:r w:rsidR="00613449">
        <w:t>.</w:t>
      </w:r>
    </w:p>
    <w:p w14:paraId="44AF4A0B" w14:textId="2E97A731" w:rsidR="00434EC9" w:rsidRDefault="001637E8" w:rsidP="005B4C27">
      <w:pPr>
        <w:pStyle w:val="Text"/>
      </w:pPr>
      <w:r w:rsidRPr="000879F7">
        <w:t xml:space="preserve">Total global wealth in 2022 was US$454.385 trillion. The wealth share of the bottom </w:t>
      </w:r>
      <w:r w:rsidR="00FD54D2">
        <w:t>6</w:t>
      </w:r>
      <w:r w:rsidRPr="000879F7">
        <w:t xml:space="preserve">0% was </w:t>
      </w:r>
      <w:r w:rsidR="00D9351E">
        <w:t>2.23%</w:t>
      </w:r>
      <w:r w:rsidRPr="000879F7">
        <w:t>, equivalent to US$</w:t>
      </w:r>
      <w:r w:rsidR="00572F55">
        <w:t>10.1</w:t>
      </w:r>
      <w:r w:rsidR="001600D3">
        <w:t>33</w:t>
      </w:r>
      <w:r w:rsidRPr="000879F7">
        <w:t xml:space="preserve"> trillion. In 2019, the total global wealth was US$388.689 trillion. The share of wealth of the bottom </w:t>
      </w:r>
      <w:r w:rsidR="00F5637F">
        <w:t>6</w:t>
      </w:r>
      <w:r w:rsidRPr="000879F7">
        <w:t xml:space="preserve">0% was </w:t>
      </w:r>
      <w:r w:rsidR="00F5637F">
        <w:t>2.26</w:t>
      </w:r>
      <w:r w:rsidRPr="000879F7">
        <w:t>%, equivalent to US$</w:t>
      </w:r>
      <w:r w:rsidR="00BD14D0">
        <w:t>8.8</w:t>
      </w:r>
      <w:r w:rsidRPr="000879F7">
        <w:t xml:space="preserve"> trillion. The wealth of the bottom </w:t>
      </w:r>
      <w:r w:rsidR="00BD14D0">
        <w:t>6</w:t>
      </w:r>
      <w:r w:rsidRPr="000879F7">
        <w:t>0% increase</w:t>
      </w:r>
      <w:r>
        <w:t>d</w:t>
      </w:r>
      <w:r w:rsidRPr="000879F7">
        <w:t xml:space="preserve"> by US$</w:t>
      </w:r>
      <w:r w:rsidR="00434EC9">
        <w:t>1.3</w:t>
      </w:r>
      <w:r w:rsidRPr="000879F7">
        <w:t xml:space="preserve"> </w:t>
      </w:r>
      <w:r w:rsidR="00434EC9">
        <w:t>trillion</w:t>
      </w:r>
      <w:r w:rsidRPr="000879F7">
        <w:t xml:space="preserve"> between 2019 and 2022</w:t>
      </w:r>
      <w:r>
        <w:t xml:space="preserve"> in nominal terms</w:t>
      </w:r>
      <w:r w:rsidRPr="000879F7">
        <w:t xml:space="preserve">. </w:t>
      </w:r>
    </w:p>
    <w:p w14:paraId="32AC884E" w14:textId="121AAA97" w:rsidR="001637E8" w:rsidRDefault="001637E8" w:rsidP="005B4C27">
      <w:pPr>
        <w:pStyle w:val="Text"/>
      </w:pPr>
      <w:r>
        <w:t>To calculate the changes in real terms</w:t>
      </w:r>
      <w:r w:rsidR="00434EC9">
        <w:t xml:space="preserve"> (taking inflation into account)</w:t>
      </w:r>
      <w:r>
        <w:t>, w</w:t>
      </w:r>
      <w:r w:rsidRPr="000879F7">
        <w:t>e use US CPI f</w:t>
      </w:r>
      <w:r>
        <w:t>or</w:t>
      </w:r>
      <w:r w:rsidRPr="000879F7">
        <w:t xml:space="preserve"> the months of December 2019 and </w:t>
      </w:r>
      <w:r w:rsidR="00B45D5D">
        <w:t>October 2023</w:t>
      </w:r>
      <w:r w:rsidR="00E710EC">
        <w:t xml:space="preserve"> (so that a comparison can be made with </w:t>
      </w:r>
      <w:r w:rsidR="00E459BC">
        <w:t>billionaires’</w:t>
      </w:r>
      <w:r w:rsidR="00E710EC">
        <w:t xml:space="preserve"> wealth changes)</w:t>
      </w:r>
      <w:r w:rsidRPr="000879F7">
        <w:t>.</w:t>
      </w:r>
      <w:r>
        <w:rPr>
          <w:rStyle w:val="EndnoteReference"/>
          <w:rFonts w:cstheme="minorHAnsi"/>
        </w:rPr>
        <w:endnoteReference w:id="5"/>
      </w:r>
      <w:r>
        <w:t xml:space="preserve"> </w:t>
      </w:r>
      <w:r w:rsidR="00C64D3B">
        <w:t>From this</w:t>
      </w:r>
      <w:r w:rsidR="0090144C">
        <w:t>, our calculations show that</w:t>
      </w:r>
      <w:r w:rsidRPr="000879F7">
        <w:t xml:space="preserve"> the bottom </w:t>
      </w:r>
      <w:r w:rsidR="0090144C">
        <w:t>60%</w:t>
      </w:r>
      <w:r w:rsidRPr="000879F7">
        <w:t xml:space="preserve"> </w:t>
      </w:r>
      <w:r w:rsidR="00E459BC">
        <w:t xml:space="preserve">have </w:t>
      </w:r>
      <w:r w:rsidRPr="000879F7">
        <w:t>lost US$</w:t>
      </w:r>
      <w:r w:rsidR="0090144C">
        <w:t>20</w:t>
      </w:r>
      <w:r w:rsidR="0008014E">
        <w:t>bn</w:t>
      </w:r>
      <w:r w:rsidR="00E459BC">
        <w:t>, or 0.2% of their wealth</w:t>
      </w:r>
      <w:r w:rsidR="00365B9F">
        <w:t>.</w:t>
      </w:r>
    </w:p>
    <w:p w14:paraId="6EA12FA0" w14:textId="5DB8D2BE" w:rsidR="005B4C27" w:rsidRPr="005B4C27" w:rsidRDefault="00B24049" w:rsidP="005B4C27">
      <w:pPr>
        <w:pStyle w:val="Text"/>
      </w:pPr>
      <w:r>
        <w:t xml:space="preserve">In 2022, the world population was </w:t>
      </w:r>
      <w:r w:rsidR="00023063">
        <w:t>7.95 billion people, according to the World Bank.</w:t>
      </w:r>
      <w:r w:rsidR="00F03CE1">
        <w:rPr>
          <w:rStyle w:val="EndnoteReference"/>
          <w:rFonts w:cstheme="minorHAnsi"/>
        </w:rPr>
        <w:endnoteReference w:id="6"/>
      </w:r>
      <w:r w:rsidR="00F03CE1">
        <w:t xml:space="preserve"> </w:t>
      </w:r>
      <w:r w:rsidR="00357ED0">
        <w:t>From this</w:t>
      </w:r>
      <w:r w:rsidR="00950B33">
        <w:t>,</w:t>
      </w:r>
      <w:r w:rsidR="00357ED0">
        <w:t xml:space="preserve"> </w:t>
      </w:r>
      <w:r w:rsidR="00D81365">
        <w:t>the</w:t>
      </w:r>
      <w:r w:rsidR="00357ED0">
        <w:t xml:space="preserve"> population of the bottom 60% is 4.77 billion people. </w:t>
      </w:r>
    </w:p>
    <w:p w14:paraId="30475AF0" w14:textId="1679A794" w:rsidR="00086B80" w:rsidRPr="005B4C27" w:rsidRDefault="001D40EF" w:rsidP="005B4C27">
      <w:pPr>
        <w:pStyle w:val="Tablecaption"/>
      </w:pPr>
      <w:r w:rsidRPr="00D1442A">
        <w:t>Table 1.1</w:t>
      </w:r>
      <w:r w:rsidR="00B37C67">
        <w:t>:</w:t>
      </w:r>
      <w:r w:rsidR="00D1442A" w:rsidRPr="00D1442A">
        <w:t xml:space="preserve"> Development </w:t>
      </w:r>
      <w:r w:rsidR="00BD4FED">
        <w:t xml:space="preserve">of </w:t>
      </w:r>
      <w:r w:rsidR="00D1442A" w:rsidRPr="00D1442A">
        <w:t xml:space="preserve">the wealth of the bottom 60% since </w:t>
      </w:r>
      <w:r w:rsidR="00950B33">
        <w:t xml:space="preserve">the </w:t>
      </w:r>
      <w:r w:rsidR="00BD4FED">
        <w:t xml:space="preserve">start of </w:t>
      </w:r>
      <w:r w:rsidR="00D1442A" w:rsidRPr="00D1442A">
        <w:t>2020</w:t>
      </w:r>
    </w:p>
    <w:tbl>
      <w:tblPr>
        <w:tblStyle w:val="TableGrid"/>
        <w:tblW w:w="8364" w:type="dxa"/>
        <w:tblInd w:w="-5" w:type="dxa"/>
        <w:tblLook w:val="04A0" w:firstRow="1" w:lastRow="0" w:firstColumn="1" w:lastColumn="0" w:noHBand="0" w:noVBand="1"/>
      </w:tblPr>
      <w:tblGrid>
        <w:gridCol w:w="3969"/>
        <w:gridCol w:w="4395"/>
      </w:tblGrid>
      <w:tr w:rsidR="00970E36" w:rsidRPr="00970E36" w14:paraId="48565B4C" w14:textId="77777777" w:rsidTr="00922515">
        <w:trPr>
          <w:trHeight w:val="290"/>
        </w:trPr>
        <w:tc>
          <w:tcPr>
            <w:tcW w:w="3969" w:type="dxa"/>
            <w:noWrap/>
            <w:hideMark/>
          </w:tcPr>
          <w:bookmarkEnd w:id="2"/>
          <w:p w14:paraId="3BABFDEF" w14:textId="343F5BED" w:rsidR="00970E36" w:rsidRPr="00970E36" w:rsidRDefault="00970E36" w:rsidP="005B4C27">
            <w:pPr>
              <w:pStyle w:val="Tableheading1"/>
            </w:pPr>
            <w:r w:rsidRPr="00970E36">
              <w:t>2019 wealth</w:t>
            </w:r>
            <w:r w:rsidR="0064716A">
              <w:t xml:space="preserve">, </w:t>
            </w:r>
            <w:proofErr w:type="spellStart"/>
            <w:r w:rsidR="0064716A">
              <w:t>US$</w:t>
            </w:r>
            <w:r w:rsidR="00153A37">
              <w:t>bn</w:t>
            </w:r>
            <w:proofErr w:type="spellEnd"/>
          </w:p>
        </w:tc>
        <w:tc>
          <w:tcPr>
            <w:tcW w:w="4395" w:type="dxa"/>
            <w:noWrap/>
            <w:hideMark/>
          </w:tcPr>
          <w:p w14:paraId="50397BFC" w14:textId="534D0C7D" w:rsidR="00970E36" w:rsidRPr="00970E36" w:rsidRDefault="00970E36" w:rsidP="00C35D7F">
            <w:pPr>
              <w:pStyle w:val="Tabletext"/>
              <w:jc w:val="both"/>
            </w:pPr>
            <w:r w:rsidRPr="00970E36">
              <w:t xml:space="preserve">10,514 </w:t>
            </w:r>
          </w:p>
        </w:tc>
      </w:tr>
      <w:tr w:rsidR="00970E36" w:rsidRPr="00970E36" w14:paraId="557569E2" w14:textId="77777777" w:rsidTr="00922515">
        <w:trPr>
          <w:trHeight w:val="290"/>
        </w:trPr>
        <w:tc>
          <w:tcPr>
            <w:tcW w:w="3969" w:type="dxa"/>
            <w:noWrap/>
            <w:hideMark/>
          </w:tcPr>
          <w:p w14:paraId="33F949E7" w14:textId="1032E709" w:rsidR="00970E36" w:rsidRPr="00970E36" w:rsidRDefault="00970E36" w:rsidP="005B4C27">
            <w:pPr>
              <w:pStyle w:val="Tableheading1"/>
            </w:pPr>
            <w:r w:rsidRPr="00970E36">
              <w:t xml:space="preserve">2022 </w:t>
            </w:r>
            <w:r w:rsidR="00D81365" w:rsidRPr="00970E36">
              <w:t>wealth</w:t>
            </w:r>
            <w:r w:rsidR="00D81365">
              <w:t>, US</w:t>
            </w:r>
            <w:r w:rsidR="0064716A">
              <w:t>$ trillion</w:t>
            </w:r>
          </w:p>
        </w:tc>
        <w:tc>
          <w:tcPr>
            <w:tcW w:w="4395" w:type="dxa"/>
            <w:noWrap/>
            <w:hideMark/>
          </w:tcPr>
          <w:p w14:paraId="7D94EDD8" w14:textId="66C2066F" w:rsidR="00970E36" w:rsidRPr="00970E36" w:rsidRDefault="00970E36" w:rsidP="00C35D7F">
            <w:pPr>
              <w:pStyle w:val="Tabletext"/>
              <w:jc w:val="both"/>
            </w:pPr>
            <w:r w:rsidRPr="00970E36">
              <w:t xml:space="preserve">10,494 </w:t>
            </w:r>
          </w:p>
        </w:tc>
      </w:tr>
      <w:tr w:rsidR="00970E36" w:rsidRPr="00970E36" w14:paraId="0927B68B" w14:textId="77777777" w:rsidTr="00922515">
        <w:trPr>
          <w:trHeight w:val="580"/>
        </w:trPr>
        <w:tc>
          <w:tcPr>
            <w:tcW w:w="3969" w:type="dxa"/>
            <w:hideMark/>
          </w:tcPr>
          <w:p w14:paraId="146BEB08" w14:textId="2A23ED10" w:rsidR="00970E36" w:rsidRPr="00970E36" w:rsidRDefault="0008014E" w:rsidP="005B4C27">
            <w:pPr>
              <w:pStyle w:val="Tableheading1"/>
            </w:pPr>
            <w:r>
              <w:t>20</w:t>
            </w:r>
            <w:r w:rsidR="00970E36" w:rsidRPr="00970E36">
              <w:t>19</w:t>
            </w:r>
            <w:r w:rsidR="007718C2">
              <w:t>–</w:t>
            </w:r>
            <w:r w:rsidR="00970E36" w:rsidRPr="00970E36">
              <w:t>22 change (real</w:t>
            </w:r>
            <w:r>
              <w:t xml:space="preserve"> terms</w:t>
            </w:r>
            <w:r w:rsidR="00970E36" w:rsidRPr="00970E36">
              <w:t>, Oct</w:t>
            </w:r>
            <w:r w:rsidR="00922515">
              <w:t>ober</w:t>
            </w:r>
            <w:r w:rsidR="00970E36" w:rsidRPr="00970E36">
              <w:t xml:space="preserve"> 2023 prices)</w:t>
            </w:r>
          </w:p>
        </w:tc>
        <w:tc>
          <w:tcPr>
            <w:tcW w:w="4395" w:type="dxa"/>
            <w:noWrap/>
            <w:hideMark/>
          </w:tcPr>
          <w:p w14:paraId="0B2442EA" w14:textId="43103D46" w:rsidR="00970E36" w:rsidRPr="00970E36" w:rsidRDefault="00970E36" w:rsidP="00C35D7F">
            <w:pPr>
              <w:pStyle w:val="Tabletext"/>
              <w:jc w:val="both"/>
            </w:pPr>
            <w:r w:rsidRPr="00970E36">
              <w:t xml:space="preserve">-20.05 </w:t>
            </w:r>
          </w:p>
        </w:tc>
      </w:tr>
      <w:tr w:rsidR="00970E36" w:rsidRPr="00970E36" w14:paraId="035F9E88" w14:textId="77777777" w:rsidTr="00922515">
        <w:trPr>
          <w:trHeight w:val="396"/>
        </w:trPr>
        <w:tc>
          <w:tcPr>
            <w:tcW w:w="3969" w:type="dxa"/>
            <w:hideMark/>
          </w:tcPr>
          <w:p w14:paraId="5392BA6D" w14:textId="1A032580" w:rsidR="00970E36" w:rsidRPr="00970E36" w:rsidRDefault="0008014E" w:rsidP="005B4C27">
            <w:pPr>
              <w:pStyle w:val="Tableheading1"/>
            </w:pPr>
            <w:r>
              <w:t>20</w:t>
            </w:r>
            <w:r w:rsidR="00970E36" w:rsidRPr="00970E36">
              <w:t>19</w:t>
            </w:r>
            <w:r w:rsidR="007718C2">
              <w:t>–</w:t>
            </w:r>
            <w:r w:rsidR="00970E36" w:rsidRPr="00970E36">
              <w:t>22 p</w:t>
            </w:r>
            <w:r w:rsidR="00153A37">
              <w:t>er</w:t>
            </w:r>
            <w:r w:rsidR="00970E36" w:rsidRPr="00970E36">
              <w:t>c</w:t>
            </w:r>
            <w:r w:rsidR="00153A37">
              <w:t>en</w:t>
            </w:r>
            <w:r w:rsidR="00970E36" w:rsidRPr="00970E36">
              <w:t>t change (Oct</w:t>
            </w:r>
            <w:r w:rsidR="00922515">
              <w:t>ober</w:t>
            </w:r>
            <w:r w:rsidR="00970E36" w:rsidRPr="00970E36">
              <w:t xml:space="preserve"> 2023 prices)</w:t>
            </w:r>
          </w:p>
        </w:tc>
        <w:tc>
          <w:tcPr>
            <w:tcW w:w="4395" w:type="dxa"/>
            <w:noWrap/>
            <w:hideMark/>
          </w:tcPr>
          <w:p w14:paraId="3F06CFD3" w14:textId="77777777" w:rsidR="00970E36" w:rsidRPr="00970E36" w:rsidRDefault="00970E36" w:rsidP="00C35D7F">
            <w:pPr>
              <w:pStyle w:val="Tabletext"/>
              <w:jc w:val="both"/>
            </w:pPr>
            <w:r w:rsidRPr="00970E36">
              <w:t>-0.2%</w:t>
            </w:r>
          </w:p>
        </w:tc>
      </w:tr>
      <w:tr w:rsidR="00970E36" w:rsidRPr="00970E36" w14:paraId="10AA8905" w14:textId="77777777" w:rsidTr="00922515">
        <w:trPr>
          <w:trHeight w:val="290"/>
        </w:trPr>
        <w:tc>
          <w:tcPr>
            <w:tcW w:w="3969" w:type="dxa"/>
            <w:noWrap/>
            <w:hideMark/>
          </w:tcPr>
          <w:p w14:paraId="637D77BA" w14:textId="211D7EE6" w:rsidR="00970E36" w:rsidRPr="00970E36" w:rsidRDefault="00970E36" w:rsidP="005B4C27">
            <w:pPr>
              <w:pStyle w:val="Tableheading1"/>
            </w:pPr>
            <w:r w:rsidRPr="00970E36">
              <w:t xml:space="preserve">World </w:t>
            </w:r>
            <w:r w:rsidR="0008014E">
              <w:t>p</w:t>
            </w:r>
            <w:r w:rsidRPr="00970E36">
              <w:t>opulation (billion</w:t>
            </w:r>
            <w:r w:rsidR="00922515">
              <w:t>s</w:t>
            </w:r>
            <w:r w:rsidRPr="00970E36">
              <w:t>), 2022</w:t>
            </w:r>
          </w:p>
        </w:tc>
        <w:tc>
          <w:tcPr>
            <w:tcW w:w="4395" w:type="dxa"/>
            <w:noWrap/>
            <w:hideMark/>
          </w:tcPr>
          <w:p w14:paraId="5F671557" w14:textId="2D01BA3E" w:rsidR="00970E36" w:rsidRPr="00970E36" w:rsidRDefault="00970E36" w:rsidP="00C35D7F">
            <w:pPr>
              <w:pStyle w:val="Tabletext"/>
              <w:jc w:val="both"/>
            </w:pPr>
            <w:r w:rsidRPr="00970E36">
              <w:t xml:space="preserve">7.95 </w:t>
            </w:r>
          </w:p>
        </w:tc>
      </w:tr>
      <w:tr w:rsidR="00970E36" w:rsidRPr="00970E36" w14:paraId="2C1FFE59" w14:textId="77777777" w:rsidTr="00922515">
        <w:trPr>
          <w:trHeight w:val="290"/>
        </w:trPr>
        <w:tc>
          <w:tcPr>
            <w:tcW w:w="3969" w:type="dxa"/>
            <w:noWrap/>
            <w:hideMark/>
          </w:tcPr>
          <w:p w14:paraId="79573332" w14:textId="6ED34508" w:rsidR="00970E36" w:rsidRPr="00970E36" w:rsidRDefault="001D40EF" w:rsidP="005B4C27">
            <w:pPr>
              <w:pStyle w:val="Tableheading1"/>
            </w:pPr>
            <w:r>
              <w:t>Population of bottom 60%</w:t>
            </w:r>
            <w:r w:rsidR="00970E36" w:rsidRPr="00970E36">
              <w:t xml:space="preserve"> </w:t>
            </w:r>
            <w:r w:rsidR="00AB06B2">
              <w:t>(</w:t>
            </w:r>
            <w:r w:rsidR="00970E36" w:rsidRPr="00970E36">
              <w:t>billion</w:t>
            </w:r>
            <w:r w:rsidR="00922515">
              <w:t>s</w:t>
            </w:r>
            <w:r w:rsidR="00AB06B2">
              <w:t xml:space="preserve">) </w:t>
            </w:r>
          </w:p>
        </w:tc>
        <w:tc>
          <w:tcPr>
            <w:tcW w:w="4395" w:type="dxa"/>
            <w:noWrap/>
            <w:hideMark/>
          </w:tcPr>
          <w:p w14:paraId="2153EFB7" w14:textId="1AAD9F4F" w:rsidR="00970E36" w:rsidRPr="00970E36" w:rsidRDefault="00970E36" w:rsidP="00C35D7F">
            <w:pPr>
              <w:pStyle w:val="Tabletext"/>
              <w:jc w:val="both"/>
            </w:pPr>
            <w:r w:rsidRPr="00970E36">
              <w:t xml:space="preserve">4.77 </w:t>
            </w:r>
          </w:p>
        </w:tc>
      </w:tr>
    </w:tbl>
    <w:p w14:paraId="0E428F8E" w14:textId="77777777" w:rsidR="00CD63FD" w:rsidRDefault="00CD63FD" w:rsidP="00031D64">
      <w:pPr>
        <w:pStyle w:val="Text"/>
        <w:rPr>
          <w:b/>
          <w:bCs/>
        </w:rPr>
      </w:pPr>
    </w:p>
    <w:p w14:paraId="3A115A17" w14:textId="11E4B6B9" w:rsidR="00F941D9" w:rsidRPr="00031D64" w:rsidRDefault="00F941D9" w:rsidP="00031D64">
      <w:pPr>
        <w:pStyle w:val="Text"/>
        <w:rPr>
          <w:b/>
          <w:bCs/>
        </w:rPr>
      </w:pPr>
      <w:r w:rsidRPr="00031D64">
        <w:rPr>
          <w:b/>
          <w:bCs/>
        </w:rPr>
        <w:lastRenderedPageBreak/>
        <w:t xml:space="preserve">1.1. 791 million workers have seen their wages fail to keep up with </w:t>
      </w:r>
      <w:r w:rsidR="03C6F919" w:rsidRPr="00031D64">
        <w:rPr>
          <w:b/>
          <w:bCs/>
        </w:rPr>
        <w:t>inflation</w:t>
      </w:r>
      <w:r w:rsidRPr="00031D64">
        <w:rPr>
          <w:b/>
          <w:bCs/>
        </w:rPr>
        <w:t xml:space="preserve"> and have lost US$1.5 trillion over the last two years, equivalent to nearly a month (25 days) of lost wages</w:t>
      </w:r>
      <w:r w:rsidR="00684DAF" w:rsidRPr="00031D64">
        <w:rPr>
          <w:b/>
          <w:bCs/>
        </w:rPr>
        <w:t xml:space="preserve"> for each worker</w:t>
      </w:r>
      <w:r w:rsidRPr="00031D64">
        <w:rPr>
          <w:b/>
          <w:bCs/>
        </w:rPr>
        <w:t>.</w:t>
      </w:r>
    </w:p>
    <w:p w14:paraId="1DD89AC8" w14:textId="65CC5E93" w:rsidR="00F941D9" w:rsidRPr="002D3C40" w:rsidRDefault="00F941D9" w:rsidP="00031D64">
      <w:pPr>
        <w:pStyle w:val="Text"/>
        <w:rPr>
          <w:rFonts w:eastAsia="Calibri" w:cstheme="minorBidi"/>
        </w:rPr>
      </w:pPr>
      <w:r w:rsidRPr="03C6F919">
        <w:rPr>
          <w:rFonts w:eastAsia="Calibri" w:cstheme="minorBidi"/>
        </w:rPr>
        <w:t xml:space="preserve">To produce these numbers, we have collected data on wages from different sources. </w:t>
      </w:r>
    </w:p>
    <w:p w14:paraId="19B6B224" w14:textId="19B86DE8" w:rsidR="00F941D9" w:rsidRDefault="00F941D9" w:rsidP="00031D64">
      <w:pPr>
        <w:pStyle w:val="Text"/>
        <w:rPr>
          <w:rFonts w:eastAsia="Calibri" w:cstheme="minorBidi"/>
        </w:rPr>
      </w:pPr>
      <w:r w:rsidRPr="03C6F919">
        <w:rPr>
          <w:rFonts w:eastAsia="Calibri" w:cstheme="minorBidi"/>
        </w:rPr>
        <w:t xml:space="preserve">For the European countries, we based </w:t>
      </w:r>
      <w:r w:rsidR="004C1087">
        <w:rPr>
          <w:rFonts w:eastAsia="Calibri" w:cstheme="minorBidi"/>
        </w:rPr>
        <w:t>the wages</w:t>
      </w:r>
      <w:r w:rsidR="004C1087" w:rsidRPr="03C6F919">
        <w:rPr>
          <w:rFonts w:eastAsia="Calibri" w:cstheme="minorBidi"/>
        </w:rPr>
        <w:t xml:space="preserve"> </w:t>
      </w:r>
      <w:r w:rsidRPr="03C6F919">
        <w:rPr>
          <w:rFonts w:eastAsia="Calibri" w:cstheme="minorBidi"/>
        </w:rPr>
        <w:t xml:space="preserve">on data from Eurostat. Eurostat publishes numbers on labour costs, and these can be decomposed to only include wages and salaries, so we exclusively see the wage component of labour </w:t>
      </w:r>
      <w:r w:rsidRPr="00CD63FD">
        <w:rPr>
          <w:rFonts w:eastAsia="Calibri" w:cstheme="minorBidi"/>
        </w:rPr>
        <w:t>costs</w:t>
      </w:r>
      <w:r w:rsidR="0008014E" w:rsidRPr="00CD63FD">
        <w:rPr>
          <w:rFonts w:eastAsia="Calibri" w:cstheme="minorBidi"/>
        </w:rPr>
        <w:t>.</w:t>
      </w:r>
      <w:r w:rsidRPr="00CD63FD">
        <w:rPr>
          <w:rStyle w:val="EndnoteReference"/>
          <w:rFonts w:eastAsia="Calibri" w:cstheme="minorBidi"/>
        </w:rPr>
        <w:endnoteReference w:id="7"/>
      </w:r>
      <w:r w:rsidRPr="00CD63FD">
        <w:rPr>
          <w:rFonts w:eastAsia="Calibri" w:cstheme="minorBidi"/>
        </w:rPr>
        <w:t xml:space="preserve"> These are published per hour</w:t>
      </w:r>
      <w:r w:rsidR="0008014E" w:rsidRPr="00CD63FD">
        <w:rPr>
          <w:rFonts w:eastAsia="Calibri" w:cstheme="minorBidi"/>
        </w:rPr>
        <w:t>,</w:t>
      </w:r>
      <w:r w:rsidRPr="00CD63FD">
        <w:rPr>
          <w:rFonts w:eastAsia="Calibri" w:cstheme="minorBidi"/>
        </w:rPr>
        <w:t xml:space="preserve"> which makes it necessary to multiply by the weekly hours worked</w:t>
      </w:r>
      <w:r w:rsidR="0008014E" w:rsidRPr="00CD63FD">
        <w:rPr>
          <w:rFonts w:eastAsia="Calibri" w:cstheme="minorBidi"/>
        </w:rPr>
        <w:t>.</w:t>
      </w:r>
      <w:r w:rsidR="00F02F18" w:rsidRPr="00CD63FD">
        <w:rPr>
          <w:rStyle w:val="EndnoteReference"/>
          <w:rFonts w:eastAsia="Calibri" w:cstheme="minorBidi"/>
        </w:rPr>
        <w:endnoteReference w:id="8"/>
      </w:r>
      <w:r w:rsidRPr="00CD63FD">
        <w:rPr>
          <w:rFonts w:eastAsia="Calibri" w:cstheme="minorBidi"/>
        </w:rPr>
        <w:t xml:space="preserve"> Eurostat</w:t>
      </w:r>
      <w:r w:rsidRPr="03C6F919">
        <w:rPr>
          <w:rFonts w:eastAsia="Calibri" w:cstheme="minorBidi"/>
        </w:rPr>
        <w:t xml:space="preserve"> provides th</w:t>
      </w:r>
      <w:r w:rsidR="0008014E">
        <w:rPr>
          <w:rFonts w:eastAsia="Calibri" w:cstheme="minorBidi"/>
        </w:rPr>
        <w:t>is</w:t>
      </w:r>
      <w:r w:rsidRPr="03C6F919">
        <w:rPr>
          <w:rFonts w:eastAsia="Calibri" w:cstheme="minorBidi"/>
        </w:rPr>
        <w:t xml:space="preserve"> data via the Labour Force Survey. From this, we can </w:t>
      </w:r>
      <w:r w:rsidR="004C1087">
        <w:rPr>
          <w:rFonts w:eastAsia="Calibri" w:cstheme="minorBidi"/>
        </w:rPr>
        <w:t>calculate</w:t>
      </w:r>
      <w:r w:rsidR="0008014E" w:rsidRPr="03C6F919">
        <w:rPr>
          <w:rFonts w:eastAsia="Calibri" w:cstheme="minorBidi"/>
        </w:rPr>
        <w:t xml:space="preserve"> </w:t>
      </w:r>
      <w:r w:rsidRPr="03C6F919">
        <w:rPr>
          <w:rFonts w:eastAsia="Calibri" w:cstheme="minorBidi"/>
        </w:rPr>
        <w:t>a yearly wage for the European countries. The data is available for 2021 and 2022. For the two first quarters of 2023</w:t>
      </w:r>
      <w:r w:rsidR="005421A3">
        <w:rPr>
          <w:rFonts w:eastAsia="Calibri" w:cstheme="minorBidi"/>
        </w:rPr>
        <w:t>,</w:t>
      </w:r>
      <w:r w:rsidRPr="03C6F919">
        <w:rPr>
          <w:rFonts w:eastAsia="Calibri" w:cstheme="minorBidi"/>
        </w:rPr>
        <w:t xml:space="preserve"> we use the labour cost index, which uses the change from quarter four (Q4) 2022 through Q1 and Q2 in 2023</w:t>
      </w:r>
      <w:r w:rsidR="005421A3">
        <w:rPr>
          <w:rFonts w:eastAsia="Calibri" w:cstheme="minorBidi"/>
        </w:rPr>
        <w:t>,</w:t>
      </w:r>
      <w:r w:rsidRPr="03C6F919">
        <w:rPr>
          <w:rFonts w:eastAsia="Calibri" w:cstheme="minorBidi"/>
        </w:rPr>
        <w:t xml:space="preserve"> which are </w:t>
      </w:r>
      <w:proofErr w:type="gramStart"/>
      <w:r w:rsidRPr="03C6F919">
        <w:rPr>
          <w:rFonts w:eastAsia="Calibri" w:cstheme="minorBidi"/>
        </w:rPr>
        <w:t>seasonally</w:t>
      </w:r>
      <w:proofErr w:type="gramEnd"/>
      <w:r w:rsidRPr="03C6F919">
        <w:rPr>
          <w:rFonts w:eastAsia="Calibri" w:cstheme="minorBidi"/>
        </w:rPr>
        <w:t xml:space="preserve"> and calendar adjusted.</w:t>
      </w:r>
      <w:r w:rsidRPr="03C6F919">
        <w:rPr>
          <w:rStyle w:val="EndnoteReference"/>
          <w:rFonts w:eastAsia="Calibri" w:cstheme="minorBidi"/>
        </w:rPr>
        <w:endnoteReference w:id="9"/>
      </w:r>
      <w:r w:rsidRPr="03C6F919">
        <w:rPr>
          <w:rFonts w:eastAsia="Calibri" w:cstheme="minorBidi"/>
        </w:rPr>
        <w:t xml:space="preserve"> Using the 2022 wage as the baseline, we adjust according to the index in order to find the 2023 wage level. </w:t>
      </w:r>
    </w:p>
    <w:p w14:paraId="60E68867" w14:textId="60556670" w:rsidR="00F941D9" w:rsidRPr="002D3C40" w:rsidRDefault="00F941D9" w:rsidP="00031D64">
      <w:pPr>
        <w:pStyle w:val="Text"/>
        <w:rPr>
          <w:rFonts w:eastAsia="Calibri" w:cstheme="minorBidi"/>
        </w:rPr>
      </w:pPr>
      <w:r w:rsidRPr="03C6F919">
        <w:rPr>
          <w:rFonts w:eastAsia="Calibri" w:cstheme="minorBidi"/>
        </w:rPr>
        <w:t xml:space="preserve">Finally, we </w:t>
      </w:r>
      <w:proofErr w:type="gramStart"/>
      <w:r w:rsidRPr="03C6F919">
        <w:rPr>
          <w:rFonts w:eastAsia="Calibri" w:cstheme="minorBidi"/>
        </w:rPr>
        <w:t>have to</w:t>
      </w:r>
      <w:proofErr w:type="gramEnd"/>
      <w:r w:rsidRPr="03C6F919">
        <w:rPr>
          <w:rFonts w:eastAsia="Calibri" w:cstheme="minorBidi"/>
        </w:rPr>
        <w:t xml:space="preserve"> adjust for the fact that a part of the working hours reported in the Labour Force Survey is unpaid overtime. Eurostat collects a ratio where hours worked are compared to hours paid, that captures this.</w:t>
      </w:r>
      <w:r w:rsidRPr="03C6F919">
        <w:rPr>
          <w:rStyle w:val="EndnoteReference"/>
          <w:rFonts w:eastAsia="Calibri" w:cstheme="minorBidi"/>
        </w:rPr>
        <w:endnoteReference w:id="10"/>
      </w:r>
      <w:r w:rsidRPr="03C6F919">
        <w:rPr>
          <w:rFonts w:eastAsia="Calibri" w:cstheme="minorBidi"/>
        </w:rPr>
        <w:t xml:space="preserve"> It is only performed every four years</w:t>
      </w:r>
      <w:r w:rsidR="0008014E">
        <w:rPr>
          <w:rFonts w:eastAsia="Calibri" w:cstheme="minorBidi"/>
        </w:rPr>
        <w:t>,</w:t>
      </w:r>
      <w:r w:rsidRPr="03C6F919">
        <w:rPr>
          <w:rFonts w:eastAsia="Calibri" w:cstheme="minorBidi"/>
        </w:rPr>
        <w:t xml:space="preserve"> with the latest data-year being 2020. For most countries the ratio is quite stable over time</w:t>
      </w:r>
      <w:r w:rsidR="0008014E">
        <w:rPr>
          <w:rFonts w:eastAsia="Calibri" w:cstheme="minorBidi"/>
        </w:rPr>
        <w:t>,</w:t>
      </w:r>
      <w:r w:rsidRPr="03C6F919">
        <w:rPr>
          <w:rFonts w:eastAsia="Calibri" w:cstheme="minorBidi"/>
        </w:rPr>
        <w:t xml:space="preserve"> which can be seen when comparing 2020 results with 2012 and 2016 results. We have used the 2020 ratio </w:t>
      </w:r>
      <w:proofErr w:type="gramStart"/>
      <w:r w:rsidRPr="03C6F919">
        <w:rPr>
          <w:rFonts w:eastAsia="Calibri" w:cstheme="minorBidi"/>
        </w:rPr>
        <w:t>in order to</w:t>
      </w:r>
      <w:proofErr w:type="gramEnd"/>
      <w:r w:rsidRPr="03C6F919">
        <w:rPr>
          <w:rFonts w:eastAsia="Calibri" w:cstheme="minorBidi"/>
        </w:rPr>
        <w:t xml:space="preserve"> adjust the wages down, so </w:t>
      </w:r>
      <w:r w:rsidR="00950B33">
        <w:rPr>
          <w:rFonts w:eastAsia="Calibri" w:cstheme="minorBidi"/>
        </w:rPr>
        <w:t>the figure</w:t>
      </w:r>
      <w:r w:rsidR="00950B33" w:rsidRPr="03C6F919">
        <w:rPr>
          <w:rFonts w:eastAsia="Calibri" w:cstheme="minorBidi"/>
        </w:rPr>
        <w:t xml:space="preserve"> </w:t>
      </w:r>
      <w:r w:rsidRPr="03C6F919">
        <w:rPr>
          <w:rFonts w:eastAsia="Calibri" w:cstheme="minorBidi"/>
        </w:rPr>
        <w:t xml:space="preserve">takes into account unpaid working time. </w:t>
      </w:r>
    </w:p>
    <w:p w14:paraId="070BB5FC" w14:textId="55186CE5" w:rsidR="00F941D9" w:rsidRPr="002D3C40" w:rsidRDefault="00F941D9" w:rsidP="00031D64">
      <w:pPr>
        <w:pStyle w:val="Text"/>
        <w:rPr>
          <w:rFonts w:eastAsia="Calibri" w:cstheme="minorBidi"/>
        </w:rPr>
      </w:pPr>
      <w:r w:rsidRPr="03C6F919">
        <w:rPr>
          <w:rFonts w:eastAsia="Calibri" w:cstheme="minorBidi"/>
        </w:rPr>
        <w:t>For non-European countries, we base the wages on either data from</w:t>
      </w:r>
      <w:r w:rsidR="0008014E">
        <w:rPr>
          <w:rFonts w:eastAsia="Calibri" w:cstheme="minorBidi"/>
        </w:rPr>
        <w:t xml:space="preserve"> the</w:t>
      </w:r>
      <w:r w:rsidRPr="03C6F919">
        <w:rPr>
          <w:rFonts w:eastAsia="Calibri" w:cstheme="minorBidi"/>
        </w:rPr>
        <w:t xml:space="preserve"> </w:t>
      </w:r>
      <w:r w:rsidR="00950B33">
        <w:rPr>
          <w:rFonts w:eastAsia="Calibri" w:cstheme="minorBidi"/>
        </w:rPr>
        <w:t>International Labour Organization’s</w:t>
      </w:r>
      <w:r w:rsidRPr="03C6F919">
        <w:rPr>
          <w:rFonts w:eastAsia="Calibri" w:cstheme="minorBidi"/>
        </w:rPr>
        <w:t xml:space="preserve"> </w:t>
      </w:r>
      <w:r w:rsidRPr="005421A3">
        <w:rPr>
          <w:rFonts w:eastAsia="Calibri" w:cstheme="minorBidi"/>
          <w:i/>
          <w:iCs/>
        </w:rPr>
        <w:t>Global Wage Report 2022</w:t>
      </w:r>
      <w:r w:rsidR="00950B33" w:rsidRPr="005421A3">
        <w:rPr>
          <w:rFonts w:eastAsia="Calibri" w:cstheme="minorBidi"/>
          <w:i/>
          <w:iCs/>
        </w:rPr>
        <w:t>–</w:t>
      </w:r>
      <w:r w:rsidRPr="005421A3">
        <w:rPr>
          <w:rFonts w:eastAsia="Calibri" w:cstheme="minorBidi"/>
          <w:i/>
          <w:iCs/>
        </w:rPr>
        <w:t>23</w:t>
      </w:r>
      <w:r w:rsidRPr="03C6F919">
        <w:rPr>
          <w:rStyle w:val="EndnoteReference"/>
          <w:rFonts w:eastAsia="Calibri" w:cstheme="minorBidi"/>
        </w:rPr>
        <w:endnoteReference w:id="11"/>
      </w:r>
      <w:r w:rsidRPr="03C6F919">
        <w:rPr>
          <w:rFonts w:eastAsia="Calibri" w:cstheme="minorBidi"/>
        </w:rPr>
        <w:t xml:space="preserve"> or data from </w:t>
      </w:r>
      <w:r w:rsidR="00950B33">
        <w:rPr>
          <w:rFonts w:eastAsia="Calibri" w:cstheme="minorBidi"/>
        </w:rPr>
        <w:t xml:space="preserve">the </w:t>
      </w:r>
      <w:r w:rsidRPr="03C6F919">
        <w:rPr>
          <w:rFonts w:eastAsia="Calibri" w:cstheme="minorBidi"/>
        </w:rPr>
        <w:t>ILOSTAT database.</w:t>
      </w:r>
      <w:r w:rsidRPr="03C6F919">
        <w:rPr>
          <w:rStyle w:val="EndnoteReference"/>
          <w:rFonts w:eastAsia="Calibri" w:cstheme="minorBidi"/>
        </w:rPr>
        <w:endnoteReference w:id="12"/>
      </w:r>
      <w:r w:rsidRPr="03C6F919">
        <w:rPr>
          <w:rFonts w:eastAsia="Calibri" w:cstheme="minorBidi"/>
        </w:rPr>
        <w:t xml:space="preserve"> The definition is the mean nominal monthly earnings of employees in local currency</w:t>
      </w:r>
      <w:r w:rsidR="00950B33">
        <w:rPr>
          <w:rFonts w:eastAsia="Calibri" w:cstheme="minorBidi"/>
        </w:rPr>
        <w:t>,</w:t>
      </w:r>
      <w:r w:rsidRPr="03C6F919">
        <w:rPr>
          <w:rFonts w:eastAsia="Calibri" w:cstheme="minorBidi"/>
        </w:rPr>
        <w:t xml:space="preserve"> reported on a yearly basis. Th</w:t>
      </w:r>
      <w:r w:rsidR="0008014E">
        <w:rPr>
          <w:rFonts w:eastAsia="Calibri" w:cstheme="minorBidi"/>
        </w:rPr>
        <w:t>is</w:t>
      </w:r>
      <w:r w:rsidRPr="03C6F919">
        <w:rPr>
          <w:rFonts w:eastAsia="Calibri" w:cstheme="minorBidi"/>
        </w:rPr>
        <w:t xml:space="preserve"> data </w:t>
      </w:r>
      <w:r w:rsidR="0008014E">
        <w:rPr>
          <w:rFonts w:eastAsia="Calibri" w:cstheme="minorBidi"/>
        </w:rPr>
        <w:t>is</w:t>
      </w:r>
      <w:r w:rsidR="0008014E" w:rsidRPr="03C6F919">
        <w:rPr>
          <w:rFonts w:eastAsia="Calibri" w:cstheme="minorBidi"/>
        </w:rPr>
        <w:t xml:space="preserve"> </w:t>
      </w:r>
      <w:r w:rsidRPr="03C6F919">
        <w:rPr>
          <w:rFonts w:eastAsia="Calibri" w:cstheme="minorBidi"/>
        </w:rPr>
        <w:t>available for 2021 and 2022. For a few countries, quarterly data for Q1 and Q2 2023 is also available. To produce the data for 2023 we take an average based on the two quarters</w:t>
      </w:r>
      <w:r w:rsidR="00891AE8">
        <w:rPr>
          <w:rFonts w:eastAsia="Calibri" w:cstheme="minorBidi"/>
        </w:rPr>
        <w:t>.</w:t>
      </w:r>
      <w:r w:rsidRPr="03C6F919">
        <w:rPr>
          <w:rStyle w:val="EndnoteReference"/>
          <w:rFonts w:eastAsia="Calibri" w:cstheme="minorBidi"/>
        </w:rPr>
        <w:endnoteReference w:id="13"/>
      </w:r>
      <w:r w:rsidRPr="03C6F919">
        <w:rPr>
          <w:rFonts w:eastAsia="Calibri" w:cstheme="minorBidi"/>
        </w:rPr>
        <w:t xml:space="preserve"> </w:t>
      </w:r>
    </w:p>
    <w:p w14:paraId="30E4FB1B" w14:textId="4CCFD7AC" w:rsidR="00F941D9" w:rsidRPr="002D3C40" w:rsidRDefault="00F941D9" w:rsidP="00031D64">
      <w:pPr>
        <w:pStyle w:val="Text"/>
        <w:rPr>
          <w:rFonts w:eastAsia="Calibri" w:cstheme="minorBidi"/>
        </w:rPr>
      </w:pPr>
      <w:r w:rsidRPr="03C6F919">
        <w:rPr>
          <w:rFonts w:eastAsia="Calibri" w:cstheme="minorBidi"/>
        </w:rPr>
        <w:t>For a broader group of non-European countries, we have a final data</w:t>
      </w:r>
      <w:r w:rsidR="00FA61CB">
        <w:rPr>
          <w:rFonts w:eastAsia="Calibri" w:cstheme="minorBidi"/>
        </w:rPr>
        <w:t xml:space="preserve"> </w:t>
      </w:r>
      <w:r w:rsidRPr="03C6F919">
        <w:rPr>
          <w:rFonts w:eastAsia="Calibri" w:cstheme="minorBidi"/>
        </w:rPr>
        <w:t xml:space="preserve">in 2022 from ILOSTAT and no quarterly 2023 numbers. Here we have used projections on wage developments from </w:t>
      </w:r>
      <w:r w:rsidR="004D4570">
        <w:rPr>
          <w:rFonts w:eastAsia="Calibri" w:cstheme="minorBidi"/>
        </w:rPr>
        <w:t xml:space="preserve">employment consultancy </w:t>
      </w:r>
      <w:r w:rsidRPr="03C6F919">
        <w:rPr>
          <w:rFonts w:eastAsia="Calibri" w:cstheme="minorBidi"/>
        </w:rPr>
        <w:t>Korn Ferry, wh</w:t>
      </w:r>
      <w:r w:rsidR="0008014E">
        <w:rPr>
          <w:rFonts w:eastAsia="Calibri" w:cstheme="minorBidi"/>
        </w:rPr>
        <w:t>ich</w:t>
      </w:r>
      <w:r w:rsidRPr="03C6F919">
        <w:rPr>
          <w:rFonts w:eastAsia="Calibri" w:cstheme="minorBidi"/>
        </w:rPr>
        <w:t xml:space="preserve"> produce</w:t>
      </w:r>
      <w:r w:rsidR="0008014E">
        <w:rPr>
          <w:rFonts w:eastAsia="Calibri" w:cstheme="minorBidi"/>
        </w:rPr>
        <w:t>s</w:t>
      </w:r>
      <w:r w:rsidRPr="03C6F919">
        <w:rPr>
          <w:rFonts w:eastAsia="Calibri" w:cstheme="minorBidi"/>
        </w:rPr>
        <w:t xml:space="preserve"> a yearly Global Salary Survey for a large group of </w:t>
      </w:r>
      <w:proofErr w:type="gramStart"/>
      <w:r w:rsidRPr="03C6F919">
        <w:rPr>
          <w:rFonts w:eastAsia="Calibri" w:cstheme="minorBidi"/>
        </w:rPr>
        <w:t>countries, and</w:t>
      </w:r>
      <w:proofErr w:type="gramEnd"/>
      <w:r w:rsidRPr="03C6F919">
        <w:rPr>
          <w:rFonts w:eastAsia="Calibri" w:cstheme="minorBidi"/>
        </w:rPr>
        <w:t xml:space="preserve"> used the clerical/operations median increase category. </w:t>
      </w:r>
      <w:r w:rsidR="001B5C03" w:rsidRPr="001B5C03">
        <w:rPr>
          <w:rFonts w:eastAsia="Calibri" w:cstheme="minorBidi"/>
        </w:rPr>
        <w:t>In 2022 we used Korn Ferry data to estimate wage</w:t>
      </w:r>
      <w:r w:rsidR="001B5C03">
        <w:rPr>
          <w:rFonts w:eastAsia="Calibri" w:cstheme="minorBidi"/>
        </w:rPr>
        <w:t xml:space="preserve"> </w:t>
      </w:r>
      <w:r w:rsidR="001B5C03" w:rsidRPr="001B5C03">
        <w:rPr>
          <w:rFonts w:eastAsia="Calibri" w:cstheme="minorBidi"/>
        </w:rPr>
        <w:t>change for 22% of</w:t>
      </w:r>
      <w:r w:rsidR="004C1087">
        <w:rPr>
          <w:rFonts w:eastAsia="Calibri" w:cstheme="minorBidi"/>
        </w:rPr>
        <w:t xml:space="preserve"> the</w:t>
      </w:r>
      <w:r w:rsidR="001B5C03" w:rsidRPr="001B5C03">
        <w:rPr>
          <w:rFonts w:eastAsia="Calibri" w:cstheme="minorBidi"/>
        </w:rPr>
        <w:t xml:space="preserve"> countries</w:t>
      </w:r>
      <w:r w:rsidR="0008014E">
        <w:rPr>
          <w:rFonts w:eastAsia="Calibri" w:cstheme="minorBidi"/>
        </w:rPr>
        <w:t>;</w:t>
      </w:r>
      <w:r w:rsidR="001B5C03" w:rsidRPr="001B5C03">
        <w:rPr>
          <w:rFonts w:eastAsia="Calibri" w:cstheme="minorBidi"/>
        </w:rPr>
        <w:t xml:space="preserve"> for 2023 we used it for 46% of the countries</w:t>
      </w:r>
      <w:r w:rsidR="001B5C03">
        <w:rPr>
          <w:rFonts w:eastAsia="Calibri" w:cstheme="minorBidi"/>
        </w:rPr>
        <w:t xml:space="preserve">. </w:t>
      </w:r>
      <w:r w:rsidRPr="03C6F919">
        <w:rPr>
          <w:rFonts w:eastAsia="Calibri" w:cstheme="minorBidi"/>
        </w:rPr>
        <w:t>Based on the expected percentage increase, we have adjusted the 2022 wages upwards with the percentage increase.</w:t>
      </w:r>
      <w:r w:rsidRPr="03C6F919">
        <w:rPr>
          <w:rStyle w:val="EndnoteReference"/>
          <w:rFonts w:eastAsia="Calibri" w:cstheme="minorBidi"/>
        </w:rPr>
        <w:endnoteReference w:id="14"/>
      </w:r>
      <w:r w:rsidR="005421A3" w:rsidRPr="005421A3">
        <w:rPr>
          <w:rFonts w:eastAsia="Calibri" w:cstheme="minorBidi"/>
          <w:vertAlign w:val="superscript"/>
        </w:rPr>
        <w:t>,</w:t>
      </w:r>
      <w:r w:rsidRPr="03C6F919">
        <w:rPr>
          <w:rFonts w:eastAsia="Calibri" w:cstheme="minorBidi"/>
        </w:rPr>
        <w:t xml:space="preserve"> </w:t>
      </w:r>
      <w:r w:rsidRPr="03C6F919">
        <w:rPr>
          <w:rStyle w:val="EndnoteReference"/>
          <w:rFonts w:eastAsia="Calibri" w:cstheme="minorBidi"/>
        </w:rPr>
        <w:endnoteReference w:id="15"/>
      </w:r>
      <w:r w:rsidRPr="03C6F919">
        <w:rPr>
          <w:rFonts w:eastAsia="Calibri" w:cstheme="minorBidi"/>
        </w:rPr>
        <w:t xml:space="preserve"> </w:t>
      </w:r>
    </w:p>
    <w:p w14:paraId="248AC214" w14:textId="65CE57BC" w:rsidR="00F941D9" w:rsidRPr="002D3C40" w:rsidRDefault="00F941D9" w:rsidP="00031D64">
      <w:pPr>
        <w:pStyle w:val="Text"/>
        <w:rPr>
          <w:rFonts w:eastAsia="Calibri" w:cstheme="minorHAnsi"/>
        </w:rPr>
      </w:pPr>
      <w:r>
        <w:rPr>
          <w:rFonts w:eastAsia="Calibri" w:cstheme="minorHAnsi"/>
        </w:rPr>
        <w:t>The prioriti</w:t>
      </w:r>
      <w:r w:rsidR="0008014E">
        <w:rPr>
          <w:rFonts w:eastAsia="Calibri" w:cstheme="minorHAnsi"/>
        </w:rPr>
        <w:t>z</w:t>
      </w:r>
      <w:r>
        <w:rPr>
          <w:rFonts w:eastAsia="Calibri" w:cstheme="minorHAnsi"/>
        </w:rPr>
        <w:t xml:space="preserve">ation criteria on which data was selected for use is as follows: </w:t>
      </w:r>
    </w:p>
    <w:p w14:paraId="7A44447E" w14:textId="74EA8B7E" w:rsidR="00F941D9" w:rsidRPr="002D3C40" w:rsidRDefault="00F941D9" w:rsidP="00031D64">
      <w:pPr>
        <w:pStyle w:val="Textlistbullet"/>
        <w:rPr>
          <w:rFonts w:eastAsia="Calibri"/>
        </w:rPr>
      </w:pPr>
      <w:r w:rsidRPr="002D3C40">
        <w:rPr>
          <w:rFonts w:eastAsia="Calibri"/>
        </w:rPr>
        <w:t>If we have data from Eurostat</w:t>
      </w:r>
      <w:r w:rsidR="0008014E">
        <w:rPr>
          <w:rFonts w:eastAsia="Calibri"/>
        </w:rPr>
        <w:t xml:space="preserve">, </w:t>
      </w:r>
      <w:r w:rsidRPr="002D3C40">
        <w:rPr>
          <w:rFonts w:eastAsia="Calibri"/>
        </w:rPr>
        <w:t>we use Eurostat.</w:t>
      </w:r>
    </w:p>
    <w:p w14:paraId="28047DB3" w14:textId="26DB8AC5" w:rsidR="00F941D9" w:rsidRPr="002D3C40" w:rsidRDefault="00F941D9" w:rsidP="00031D64">
      <w:pPr>
        <w:pStyle w:val="Textlistbullet"/>
        <w:rPr>
          <w:rFonts w:eastAsia="Calibri"/>
        </w:rPr>
      </w:pPr>
      <w:r w:rsidRPr="002D3C40">
        <w:rPr>
          <w:rFonts w:eastAsia="Calibri"/>
        </w:rPr>
        <w:t>If we do not have data from Eurostat</w:t>
      </w:r>
      <w:r w:rsidR="0008014E">
        <w:rPr>
          <w:rFonts w:eastAsia="Calibri"/>
        </w:rPr>
        <w:t xml:space="preserve">, </w:t>
      </w:r>
      <w:r w:rsidRPr="002D3C40">
        <w:rPr>
          <w:rFonts w:eastAsia="Calibri"/>
        </w:rPr>
        <w:t>we use ILOSTAT.</w:t>
      </w:r>
    </w:p>
    <w:p w14:paraId="4F571378" w14:textId="5C91B627" w:rsidR="00F941D9" w:rsidRPr="002D3C40" w:rsidRDefault="00F941D9" w:rsidP="00031D64">
      <w:pPr>
        <w:pStyle w:val="Textlistbullet"/>
        <w:rPr>
          <w:rFonts w:eastAsia="Calibri"/>
        </w:rPr>
      </w:pPr>
      <w:r w:rsidRPr="002D3C40">
        <w:rPr>
          <w:rFonts w:eastAsia="Calibri"/>
        </w:rPr>
        <w:t xml:space="preserve">If we only have ILOSTAT data until 2022 without Q1 </w:t>
      </w:r>
      <w:r w:rsidR="002566FE">
        <w:rPr>
          <w:rFonts w:eastAsia="Calibri"/>
        </w:rPr>
        <w:t>and</w:t>
      </w:r>
      <w:r w:rsidRPr="002D3C40">
        <w:rPr>
          <w:rFonts w:eastAsia="Calibri"/>
        </w:rPr>
        <w:t xml:space="preserve"> Q2</w:t>
      </w:r>
      <w:r w:rsidR="004C1087">
        <w:rPr>
          <w:rFonts w:eastAsia="Calibri"/>
        </w:rPr>
        <w:t xml:space="preserve"> 2023</w:t>
      </w:r>
      <w:r w:rsidR="0008014E">
        <w:rPr>
          <w:rFonts w:eastAsia="Calibri"/>
        </w:rPr>
        <w:t>,</w:t>
      </w:r>
      <w:r w:rsidRPr="002D3C40">
        <w:rPr>
          <w:rFonts w:eastAsia="Calibri"/>
        </w:rPr>
        <w:t xml:space="preserve"> we use Korn Ferry projections.</w:t>
      </w:r>
    </w:p>
    <w:p w14:paraId="4A2E61AD" w14:textId="5D05D9BF" w:rsidR="00F941D9" w:rsidRPr="002D3C40" w:rsidRDefault="0008014E" w:rsidP="00031D64">
      <w:pPr>
        <w:pStyle w:val="Text"/>
        <w:rPr>
          <w:rFonts w:eastAsia="Calibri"/>
        </w:rPr>
      </w:pPr>
      <w:r>
        <w:rPr>
          <w:rFonts w:eastAsia="Calibri"/>
        </w:rPr>
        <w:br/>
      </w:r>
      <w:proofErr w:type="gramStart"/>
      <w:r w:rsidR="00F941D9" w:rsidRPr="002D3C40">
        <w:rPr>
          <w:rFonts w:eastAsia="Calibri"/>
        </w:rPr>
        <w:lastRenderedPageBreak/>
        <w:t>In order to</w:t>
      </w:r>
      <w:proofErr w:type="gramEnd"/>
      <w:r w:rsidR="00F941D9" w:rsidRPr="002D3C40">
        <w:rPr>
          <w:rFonts w:eastAsia="Calibri"/>
        </w:rPr>
        <w:t xml:space="preserve"> find the real wage loss, </w:t>
      </w:r>
      <w:r w:rsidR="00F941D9">
        <w:rPr>
          <w:rFonts w:eastAsia="Calibri"/>
        </w:rPr>
        <w:t>w</w:t>
      </w:r>
      <w:r w:rsidR="00F941D9" w:rsidRPr="002D3C40">
        <w:rPr>
          <w:rFonts w:eastAsia="Calibri"/>
        </w:rPr>
        <w:t>e have used the national CPI</w:t>
      </w:r>
      <w:r w:rsidR="00F941D9">
        <w:rPr>
          <w:rFonts w:eastAsia="Calibri"/>
        </w:rPr>
        <w:t>s</w:t>
      </w:r>
      <w:r w:rsidR="00F941D9" w:rsidRPr="002D3C40">
        <w:rPr>
          <w:rFonts w:eastAsia="Calibri"/>
        </w:rPr>
        <w:t xml:space="preserve"> collected by GlobalEconomy.com. We compute yearly averages for 2021 and 2022</w:t>
      </w:r>
      <w:r w:rsidR="00950B33">
        <w:rPr>
          <w:rFonts w:eastAsia="Calibri"/>
        </w:rPr>
        <w:t>,</w:t>
      </w:r>
      <w:r w:rsidR="00F941D9" w:rsidRPr="002D3C40">
        <w:rPr>
          <w:rFonts w:eastAsia="Calibri"/>
        </w:rPr>
        <w:t xml:space="preserve"> </w:t>
      </w:r>
      <w:proofErr w:type="gramStart"/>
      <w:r w:rsidR="00F941D9" w:rsidRPr="002D3C40">
        <w:rPr>
          <w:rFonts w:eastAsia="Calibri"/>
        </w:rPr>
        <w:t>and also</w:t>
      </w:r>
      <w:proofErr w:type="gramEnd"/>
      <w:r w:rsidR="00F941D9" w:rsidRPr="002D3C40">
        <w:rPr>
          <w:rFonts w:eastAsia="Calibri"/>
        </w:rPr>
        <w:t xml:space="preserve"> averages for the months of 2023 that are available in the dataset from Global Economy.com. Based on this</w:t>
      </w:r>
      <w:r>
        <w:rPr>
          <w:rFonts w:eastAsia="Calibri"/>
        </w:rPr>
        <w:t>,</w:t>
      </w:r>
      <w:r w:rsidR="00F941D9" w:rsidRPr="002D3C40">
        <w:rPr>
          <w:rFonts w:eastAsia="Calibri"/>
        </w:rPr>
        <w:t xml:space="preserve"> we have </w:t>
      </w:r>
      <w:r w:rsidR="00950B33">
        <w:rPr>
          <w:rFonts w:eastAsia="Calibri"/>
        </w:rPr>
        <w:t>the</w:t>
      </w:r>
      <w:r w:rsidR="00F941D9" w:rsidRPr="002D3C40">
        <w:rPr>
          <w:rFonts w:eastAsia="Calibri"/>
        </w:rPr>
        <w:t xml:space="preserve"> change from 2021</w:t>
      </w:r>
      <w:r w:rsidR="00950B33">
        <w:rPr>
          <w:rFonts w:eastAsia="Calibri"/>
        </w:rPr>
        <w:t>–</w:t>
      </w:r>
      <w:r w:rsidR="00F941D9" w:rsidRPr="002D3C40">
        <w:rPr>
          <w:rFonts w:eastAsia="Calibri"/>
        </w:rPr>
        <w:t>22 and 2022</w:t>
      </w:r>
      <w:r w:rsidR="00950B33">
        <w:rPr>
          <w:rFonts w:eastAsia="Calibri"/>
        </w:rPr>
        <w:t>–</w:t>
      </w:r>
      <w:r w:rsidR="00F941D9" w:rsidRPr="002D3C40">
        <w:rPr>
          <w:rFonts w:eastAsia="Calibri"/>
        </w:rPr>
        <w:t xml:space="preserve">23. </w:t>
      </w:r>
    </w:p>
    <w:p w14:paraId="7325DE98" w14:textId="318171B7" w:rsidR="00F941D9" w:rsidRPr="002D3C40" w:rsidRDefault="00F941D9" w:rsidP="00031D64">
      <w:pPr>
        <w:pStyle w:val="Text"/>
        <w:rPr>
          <w:rFonts w:eastAsia="Calibri"/>
        </w:rPr>
      </w:pPr>
      <w:r w:rsidRPr="002D3C40">
        <w:rPr>
          <w:rFonts w:eastAsia="Calibri"/>
        </w:rPr>
        <w:t>Calculating the real wage development, we start by finding the nominal change from 2021</w:t>
      </w:r>
      <w:r w:rsidR="003E6BBD">
        <w:rPr>
          <w:rFonts w:eastAsia="Calibri"/>
        </w:rPr>
        <w:t>–</w:t>
      </w:r>
      <w:r w:rsidRPr="002D3C40">
        <w:rPr>
          <w:rFonts w:eastAsia="Calibri"/>
        </w:rPr>
        <w:t>22 and from 2022</w:t>
      </w:r>
      <w:r w:rsidR="003E6BBD">
        <w:rPr>
          <w:rFonts w:eastAsia="Calibri"/>
        </w:rPr>
        <w:t>–</w:t>
      </w:r>
      <w:r w:rsidRPr="002D3C40">
        <w:rPr>
          <w:rFonts w:eastAsia="Calibri"/>
        </w:rPr>
        <w:t xml:space="preserve">23 as a percentage </w:t>
      </w:r>
      <w:r>
        <w:rPr>
          <w:rFonts w:eastAsia="Calibri"/>
        </w:rPr>
        <w:t xml:space="preserve">of </w:t>
      </w:r>
      <w:r w:rsidRPr="002D3C40">
        <w:rPr>
          <w:rFonts w:eastAsia="Calibri"/>
        </w:rPr>
        <w:t>development. Then we subtract the percentage change in the CPI for 2021</w:t>
      </w:r>
      <w:r w:rsidR="003E6BBD">
        <w:rPr>
          <w:rFonts w:eastAsia="Calibri"/>
        </w:rPr>
        <w:t>–</w:t>
      </w:r>
      <w:r w:rsidRPr="002D3C40">
        <w:rPr>
          <w:rFonts w:eastAsia="Calibri"/>
        </w:rPr>
        <w:t>22 and 2022</w:t>
      </w:r>
      <w:r w:rsidR="003E6BBD">
        <w:rPr>
          <w:rFonts w:eastAsia="Calibri"/>
        </w:rPr>
        <w:t>–</w:t>
      </w:r>
      <w:r w:rsidRPr="002D3C40">
        <w:rPr>
          <w:rFonts w:eastAsia="Calibri"/>
        </w:rPr>
        <w:t xml:space="preserve">23. Finally, we accumulate the two years </w:t>
      </w:r>
      <w:proofErr w:type="gramStart"/>
      <w:r w:rsidRPr="002D3C40">
        <w:rPr>
          <w:rFonts w:eastAsia="Calibri"/>
        </w:rPr>
        <w:t>in order to</w:t>
      </w:r>
      <w:proofErr w:type="gramEnd"/>
      <w:r w:rsidRPr="002D3C40">
        <w:rPr>
          <w:rFonts w:eastAsia="Calibri"/>
        </w:rPr>
        <w:t xml:space="preserve"> find the total real wage development for the whole timespan. </w:t>
      </w:r>
    </w:p>
    <w:p w14:paraId="0ED965DB" w14:textId="13533A9B" w:rsidR="00F941D9" w:rsidRPr="002D3C40" w:rsidRDefault="00F941D9" w:rsidP="00031D64">
      <w:pPr>
        <w:pStyle w:val="Text"/>
        <w:rPr>
          <w:rFonts w:eastAsia="Calibri"/>
        </w:rPr>
      </w:pPr>
      <w:r>
        <w:rPr>
          <w:rFonts w:eastAsia="Calibri"/>
        </w:rPr>
        <w:t xml:space="preserve">To </w:t>
      </w:r>
      <w:r w:rsidR="0008014E">
        <w:rPr>
          <w:rFonts w:eastAsia="Calibri"/>
        </w:rPr>
        <w:t xml:space="preserve">calculate </w:t>
      </w:r>
      <w:r>
        <w:rPr>
          <w:rFonts w:eastAsia="Calibri"/>
        </w:rPr>
        <w:t xml:space="preserve">the number of workers who have faced a real wage cut, </w:t>
      </w:r>
      <w:r w:rsidRPr="002D3C40">
        <w:rPr>
          <w:rFonts w:eastAsia="Calibri"/>
        </w:rPr>
        <w:t xml:space="preserve">we </w:t>
      </w:r>
      <w:r>
        <w:rPr>
          <w:rFonts w:eastAsia="Calibri"/>
        </w:rPr>
        <w:t>use</w:t>
      </w:r>
      <w:r w:rsidRPr="002D3C40">
        <w:rPr>
          <w:rFonts w:eastAsia="Calibri"/>
        </w:rPr>
        <w:t xml:space="preserve"> </w:t>
      </w:r>
      <w:r>
        <w:rPr>
          <w:rFonts w:eastAsia="Calibri"/>
        </w:rPr>
        <w:t xml:space="preserve">the </w:t>
      </w:r>
      <w:r w:rsidRPr="002D3C40">
        <w:rPr>
          <w:rFonts w:eastAsia="Calibri"/>
        </w:rPr>
        <w:t>numbers of employed persons from ILOSTAT</w:t>
      </w:r>
      <w:r>
        <w:rPr>
          <w:rFonts w:eastAsia="Calibri"/>
        </w:rPr>
        <w:t>.</w:t>
      </w:r>
      <w:r w:rsidRPr="002D3C40">
        <w:rPr>
          <w:rStyle w:val="EndnoteReference"/>
          <w:rFonts w:eastAsia="Calibri" w:cstheme="minorHAnsi"/>
        </w:rPr>
        <w:endnoteReference w:id="16"/>
      </w:r>
    </w:p>
    <w:p w14:paraId="42262B75" w14:textId="7AFC107D" w:rsidR="00F941D9" w:rsidRPr="002D3C40" w:rsidRDefault="00F941D9" w:rsidP="00031D64">
      <w:pPr>
        <w:pStyle w:val="Text"/>
        <w:rPr>
          <w:rFonts w:eastAsia="Calibri"/>
        </w:rPr>
      </w:pPr>
      <w:r w:rsidRPr="002D3C40">
        <w:rPr>
          <w:rFonts w:eastAsia="Calibri"/>
        </w:rPr>
        <w:t>Multiplying the cumulative real wage loss based on mean numbers by the number of employed persons</w:t>
      </w:r>
      <w:r w:rsidR="004D4570">
        <w:rPr>
          <w:rFonts w:eastAsia="Calibri"/>
        </w:rPr>
        <w:t>,</w:t>
      </w:r>
      <w:r w:rsidRPr="002D3C40">
        <w:rPr>
          <w:rFonts w:eastAsia="Calibri"/>
        </w:rPr>
        <w:t xml:space="preserve"> we get the total lost wage sum for the workers. </w:t>
      </w:r>
      <w:r>
        <w:rPr>
          <w:rFonts w:eastAsia="Calibri"/>
        </w:rPr>
        <w:t>O</w:t>
      </w:r>
      <w:r w:rsidRPr="002D3C40">
        <w:rPr>
          <w:rFonts w:eastAsia="Calibri"/>
        </w:rPr>
        <w:t xml:space="preserve">ut of 76 countries where data </w:t>
      </w:r>
      <w:r>
        <w:rPr>
          <w:rFonts w:eastAsia="Calibri"/>
        </w:rPr>
        <w:t>is</w:t>
      </w:r>
      <w:r w:rsidRPr="002D3C40">
        <w:rPr>
          <w:rFonts w:eastAsia="Calibri"/>
        </w:rPr>
        <w:t xml:space="preserve"> available</w:t>
      </w:r>
      <w:r>
        <w:rPr>
          <w:rFonts w:eastAsia="Calibri"/>
        </w:rPr>
        <w:t>,</w:t>
      </w:r>
      <w:r w:rsidRPr="002D3C40">
        <w:rPr>
          <w:rFonts w:eastAsia="Calibri"/>
        </w:rPr>
        <w:t xml:space="preserve"> 52 countries have seen a wage loss for workers. The number of </w:t>
      </w:r>
      <w:r w:rsidR="004D4570">
        <w:rPr>
          <w:rFonts w:eastAsia="Calibri"/>
        </w:rPr>
        <w:t xml:space="preserve">people </w:t>
      </w:r>
      <w:r w:rsidRPr="002D3C40">
        <w:rPr>
          <w:rFonts w:eastAsia="Calibri"/>
        </w:rPr>
        <w:t>employed in these countries is 791.4 million.</w:t>
      </w:r>
    </w:p>
    <w:p w14:paraId="2780C002" w14:textId="46C4815C" w:rsidR="00F941D9" w:rsidRPr="002D3C40" w:rsidRDefault="00F941D9" w:rsidP="00031D64">
      <w:pPr>
        <w:pStyle w:val="Text"/>
        <w:rPr>
          <w:rFonts w:eastAsia="Calibri"/>
        </w:rPr>
      </w:pPr>
      <w:r>
        <w:rPr>
          <w:rFonts w:eastAsia="Calibri"/>
        </w:rPr>
        <w:t xml:space="preserve">The total wage </w:t>
      </w:r>
      <w:r w:rsidRPr="002D3C40">
        <w:rPr>
          <w:rFonts w:eastAsia="Calibri"/>
        </w:rPr>
        <w:t xml:space="preserve">lost </w:t>
      </w:r>
      <w:r>
        <w:rPr>
          <w:rFonts w:eastAsia="Calibri"/>
        </w:rPr>
        <w:t xml:space="preserve">is </w:t>
      </w:r>
      <w:r w:rsidRPr="002D3C40">
        <w:rPr>
          <w:rFonts w:eastAsia="Calibri"/>
        </w:rPr>
        <w:t xml:space="preserve">the difference between actual </w:t>
      </w:r>
      <w:r>
        <w:rPr>
          <w:rFonts w:eastAsia="Calibri"/>
        </w:rPr>
        <w:t xml:space="preserve">wage </w:t>
      </w:r>
      <w:r w:rsidRPr="002D3C40">
        <w:rPr>
          <w:rFonts w:eastAsia="Calibri"/>
        </w:rPr>
        <w:t xml:space="preserve">development and </w:t>
      </w:r>
      <w:r>
        <w:rPr>
          <w:rFonts w:eastAsia="Calibri"/>
        </w:rPr>
        <w:t xml:space="preserve">development </w:t>
      </w:r>
      <w:r w:rsidRPr="002D3C40">
        <w:rPr>
          <w:rFonts w:eastAsia="Calibri"/>
        </w:rPr>
        <w:t>if th</w:t>
      </w:r>
      <w:r>
        <w:rPr>
          <w:rFonts w:eastAsia="Calibri"/>
        </w:rPr>
        <w:t xml:space="preserve">e wage </w:t>
      </w:r>
      <w:r w:rsidRPr="002D3C40">
        <w:rPr>
          <w:rFonts w:eastAsia="Calibri"/>
        </w:rPr>
        <w:t xml:space="preserve">had kept up with inflation. This number has been a simple adjustment of the yearly wages with a growth corresponding to the CPI yearly average. We then convert from local currencies to </w:t>
      </w:r>
      <w:r w:rsidR="002566FE" w:rsidRPr="002D3C40">
        <w:rPr>
          <w:rFonts w:eastAsia="Calibri"/>
        </w:rPr>
        <w:t>US</w:t>
      </w:r>
      <w:r w:rsidR="002566FE">
        <w:rPr>
          <w:rFonts w:eastAsia="Calibri"/>
        </w:rPr>
        <w:t>$</w:t>
      </w:r>
      <w:r w:rsidR="002566FE" w:rsidRPr="002D3C40">
        <w:rPr>
          <w:rFonts w:eastAsia="Calibri"/>
        </w:rPr>
        <w:t xml:space="preserve"> </w:t>
      </w:r>
      <w:r w:rsidRPr="002D3C40">
        <w:rPr>
          <w:rFonts w:eastAsia="Calibri"/>
        </w:rPr>
        <w:t>with exchange rates from GlobalEconomy.com.</w:t>
      </w:r>
      <w:r>
        <w:rPr>
          <w:rStyle w:val="EndnoteReference"/>
          <w:rFonts w:eastAsia="Calibri" w:cstheme="minorHAnsi"/>
        </w:rPr>
        <w:endnoteReference w:id="17"/>
      </w:r>
      <w:r w:rsidRPr="002D3C40">
        <w:rPr>
          <w:rFonts w:eastAsia="Calibri"/>
        </w:rPr>
        <w:t xml:space="preserve"> Based on this calculation we find that the total loss of wages for the 52 countries is </w:t>
      </w:r>
      <w:r>
        <w:rPr>
          <w:rFonts w:eastAsia="Calibri"/>
        </w:rPr>
        <w:t>US$</w:t>
      </w:r>
      <w:r w:rsidRPr="002D3C40">
        <w:rPr>
          <w:rFonts w:eastAsia="Calibri"/>
        </w:rPr>
        <w:t>1.5 t</w:t>
      </w:r>
      <w:r>
        <w:rPr>
          <w:rFonts w:eastAsia="Calibri"/>
        </w:rPr>
        <w:t>rillion.</w:t>
      </w:r>
    </w:p>
    <w:p w14:paraId="32AF2E02" w14:textId="4497C966" w:rsidR="00F941D9" w:rsidRDefault="00F941D9" w:rsidP="00031D64">
      <w:pPr>
        <w:pStyle w:val="Text"/>
        <w:rPr>
          <w:rFonts w:eastAsia="Calibri" w:cstheme="minorBidi"/>
        </w:rPr>
      </w:pPr>
      <w:r w:rsidRPr="2371DDBF">
        <w:rPr>
          <w:rFonts w:eastAsia="Calibri" w:cstheme="minorBidi"/>
        </w:rPr>
        <w:t xml:space="preserve">To find the average loss of working days we have divided the cumulative wages with the cumulative wage loss for two years or 440 days. Then we have weighted this average on the number of </w:t>
      </w:r>
      <w:r w:rsidR="004D4570">
        <w:rPr>
          <w:rFonts w:eastAsia="Calibri" w:cstheme="minorBidi"/>
        </w:rPr>
        <w:t xml:space="preserve">people </w:t>
      </w:r>
      <w:r w:rsidRPr="2371DDBF">
        <w:rPr>
          <w:rFonts w:eastAsia="Calibri" w:cstheme="minorBidi"/>
        </w:rPr>
        <w:t>employed in the different countries. The result is a weighted average o</w:t>
      </w:r>
      <w:r>
        <w:rPr>
          <w:rFonts w:eastAsia="Calibri" w:cstheme="minorBidi"/>
        </w:rPr>
        <w:t>f</w:t>
      </w:r>
      <w:r w:rsidRPr="2371DDBF">
        <w:rPr>
          <w:rFonts w:eastAsia="Calibri" w:cstheme="minorBidi"/>
        </w:rPr>
        <w:t xml:space="preserve"> 24.6 days for the 52 countries with 791.4 million workers. </w:t>
      </w:r>
    </w:p>
    <w:p w14:paraId="7A89DFE0" w14:textId="2264233F" w:rsidR="00F941D9" w:rsidRDefault="00F941D9" w:rsidP="00031D64">
      <w:pPr>
        <w:pStyle w:val="Text"/>
        <w:rPr>
          <w:rFonts w:eastAsia="Calibri" w:cstheme="minorBidi"/>
        </w:rPr>
      </w:pPr>
      <w:r w:rsidRPr="7FD3636F">
        <w:rPr>
          <w:rFonts w:eastAsia="Calibri" w:cstheme="minorBidi"/>
        </w:rPr>
        <w:t>The database we built is based on our best effort to get reliable wage data for as many countries as possible to give a truly global figure. We recogni</w:t>
      </w:r>
      <w:r w:rsidR="004D4570">
        <w:rPr>
          <w:rFonts w:eastAsia="Calibri" w:cstheme="minorBidi"/>
        </w:rPr>
        <w:t>z</w:t>
      </w:r>
      <w:r w:rsidRPr="7FD3636F">
        <w:rPr>
          <w:rFonts w:eastAsia="Calibri" w:cstheme="minorBidi"/>
        </w:rPr>
        <w:t xml:space="preserve">e </w:t>
      </w:r>
      <w:r w:rsidR="004D4570">
        <w:rPr>
          <w:rFonts w:eastAsia="Calibri" w:cstheme="minorBidi"/>
        </w:rPr>
        <w:t xml:space="preserve">that </w:t>
      </w:r>
      <w:r w:rsidRPr="7FD3636F">
        <w:rPr>
          <w:rFonts w:eastAsia="Calibri" w:cstheme="minorBidi"/>
        </w:rPr>
        <w:t xml:space="preserve">there are </w:t>
      </w:r>
      <w:proofErr w:type="gramStart"/>
      <w:r w:rsidRPr="7FD3636F">
        <w:rPr>
          <w:rFonts w:eastAsia="Calibri" w:cstheme="minorBidi"/>
        </w:rPr>
        <w:t>a number of</w:t>
      </w:r>
      <w:proofErr w:type="gramEnd"/>
      <w:r w:rsidRPr="7FD3636F">
        <w:rPr>
          <w:rFonts w:eastAsia="Calibri" w:cstheme="minorBidi"/>
        </w:rPr>
        <w:t xml:space="preserve"> limitations. Firstly, much of the data is drawn from ILO</w:t>
      </w:r>
      <w:r w:rsidR="004D4570">
        <w:rPr>
          <w:rFonts w:eastAsia="Calibri" w:cstheme="minorBidi"/>
        </w:rPr>
        <w:t>STAT,</w:t>
      </w:r>
      <w:r w:rsidRPr="7FD3636F">
        <w:rPr>
          <w:rFonts w:eastAsia="Calibri" w:cstheme="minorBidi"/>
        </w:rPr>
        <w:t xml:space="preserve"> which is based on Labour Force Surveys (LFS) – these can be limited by sample size and </w:t>
      </w:r>
      <w:r w:rsidR="004E78EE">
        <w:rPr>
          <w:rFonts w:eastAsia="Calibri" w:cstheme="minorBidi"/>
        </w:rPr>
        <w:t>use</w:t>
      </w:r>
      <w:r w:rsidR="004E78EE" w:rsidRPr="7FD3636F">
        <w:rPr>
          <w:rFonts w:eastAsia="Calibri" w:cstheme="minorBidi"/>
        </w:rPr>
        <w:t xml:space="preserve"> </w:t>
      </w:r>
      <w:r w:rsidRPr="7FD3636F">
        <w:rPr>
          <w:rFonts w:eastAsia="Calibri" w:cstheme="minorBidi"/>
        </w:rPr>
        <w:t>lower</w:t>
      </w:r>
      <w:r w:rsidR="004E78EE">
        <w:rPr>
          <w:rFonts w:eastAsia="Calibri" w:cstheme="minorBidi"/>
        </w:rPr>
        <w:t>-</w:t>
      </w:r>
      <w:r w:rsidRPr="7FD3636F">
        <w:rPr>
          <w:rFonts w:eastAsia="Calibri" w:cstheme="minorBidi"/>
        </w:rPr>
        <w:t xml:space="preserve">quality data collection methods compared to data that is collected directly from </w:t>
      </w:r>
      <w:proofErr w:type="gramStart"/>
      <w:r w:rsidRPr="7FD3636F">
        <w:rPr>
          <w:rFonts w:eastAsia="Calibri" w:cstheme="minorBidi"/>
        </w:rPr>
        <w:t>employers</w:t>
      </w:r>
      <w:r w:rsidR="004D4570">
        <w:rPr>
          <w:rFonts w:eastAsia="Calibri" w:cstheme="minorBidi"/>
        </w:rPr>
        <w:t>,</w:t>
      </w:r>
      <w:r w:rsidRPr="7FD3636F">
        <w:rPr>
          <w:rFonts w:eastAsia="Calibri" w:cstheme="minorBidi"/>
        </w:rPr>
        <w:t xml:space="preserve"> and</w:t>
      </w:r>
      <w:proofErr w:type="gramEnd"/>
      <w:r w:rsidRPr="7FD3636F">
        <w:rPr>
          <w:rFonts w:eastAsia="Calibri" w:cstheme="minorBidi"/>
        </w:rPr>
        <w:t xml:space="preserve"> tend to underestimate actual earnings. We observe varying degrees of discrepancies between the </w:t>
      </w:r>
      <w:proofErr w:type="gramStart"/>
      <w:r w:rsidRPr="7FD3636F">
        <w:rPr>
          <w:rFonts w:eastAsia="Calibri" w:cstheme="minorBidi"/>
        </w:rPr>
        <w:t>LFS</w:t>
      </w:r>
      <w:proofErr w:type="gramEnd"/>
      <w:r w:rsidRPr="7FD3636F">
        <w:rPr>
          <w:rFonts w:eastAsia="Calibri" w:cstheme="minorBidi"/>
        </w:rPr>
        <w:t xml:space="preserve"> and </w:t>
      </w:r>
      <w:r w:rsidR="003E6BBD">
        <w:rPr>
          <w:rFonts w:eastAsia="Calibri" w:cstheme="minorBidi"/>
        </w:rPr>
        <w:t>data</w:t>
      </w:r>
      <w:r w:rsidR="003E6BBD" w:rsidRPr="7FD3636F">
        <w:rPr>
          <w:rFonts w:eastAsia="Calibri" w:cstheme="minorBidi"/>
        </w:rPr>
        <w:t xml:space="preserve"> </w:t>
      </w:r>
      <w:r w:rsidRPr="7FD3636F">
        <w:rPr>
          <w:rFonts w:eastAsia="Calibri" w:cstheme="minorBidi"/>
        </w:rPr>
        <w:t xml:space="preserve">collected by other methods by individual government statistics bureaus. Secondly, for non-EU countries where there is no 2023 Q1 and </w:t>
      </w:r>
      <w:r w:rsidR="004D4570">
        <w:rPr>
          <w:rFonts w:eastAsia="Calibri" w:cstheme="minorBidi"/>
        </w:rPr>
        <w:t>Q</w:t>
      </w:r>
      <w:r w:rsidRPr="7FD3636F">
        <w:rPr>
          <w:rFonts w:eastAsia="Calibri" w:cstheme="minorBidi"/>
        </w:rPr>
        <w:t>2 LFS data</w:t>
      </w:r>
      <w:r>
        <w:rPr>
          <w:rFonts w:eastAsia="Calibri" w:cstheme="minorBidi"/>
        </w:rPr>
        <w:t>,</w:t>
      </w:r>
      <w:r w:rsidRPr="7FD3636F">
        <w:rPr>
          <w:rFonts w:eastAsia="Calibri" w:cstheme="minorBidi"/>
        </w:rPr>
        <w:t xml:space="preserve"> we are using projections from </w:t>
      </w:r>
      <w:r w:rsidR="03C6F919" w:rsidRPr="03C6F919">
        <w:rPr>
          <w:rFonts w:eastAsia="Calibri" w:cstheme="minorBidi"/>
        </w:rPr>
        <w:t>Korn Ferry</w:t>
      </w:r>
      <w:r w:rsidR="004E78EE">
        <w:rPr>
          <w:rFonts w:eastAsia="Calibri" w:cstheme="minorBidi"/>
        </w:rPr>
        <w:t>,</w:t>
      </w:r>
      <w:r w:rsidRPr="7FD3636F">
        <w:rPr>
          <w:rFonts w:eastAsia="Calibri" w:cstheme="minorBidi"/>
        </w:rPr>
        <w:t xml:space="preserve"> whose data has a relatively small sample</w:t>
      </w:r>
      <w:r w:rsidR="003E6BBD">
        <w:rPr>
          <w:rFonts w:eastAsia="Calibri" w:cstheme="minorBidi"/>
        </w:rPr>
        <w:t xml:space="preserve"> size</w:t>
      </w:r>
      <w:r w:rsidR="004D4570">
        <w:rPr>
          <w:rFonts w:eastAsia="Calibri" w:cstheme="minorBidi"/>
        </w:rPr>
        <w:t xml:space="preserve"> </w:t>
      </w:r>
      <w:r w:rsidR="004E78EE">
        <w:rPr>
          <w:rFonts w:eastAsia="Calibri" w:cstheme="minorBidi"/>
        </w:rPr>
        <w:t>(</w:t>
      </w:r>
      <w:r w:rsidRPr="7FD3636F">
        <w:rPr>
          <w:rFonts w:eastAsia="Calibri" w:cstheme="minorBidi"/>
        </w:rPr>
        <w:t>6,951 participants in 112 countries</w:t>
      </w:r>
      <w:r w:rsidR="004E78EE">
        <w:rPr>
          <w:rFonts w:eastAsia="Calibri" w:cstheme="minorBidi"/>
        </w:rPr>
        <w:t>)</w:t>
      </w:r>
      <w:r w:rsidR="004D4570">
        <w:rPr>
          <w:rFonts w:eastAsia="Calibri" w:cstheme="minorBidi"/>
        </w:rPr>
        <w:t xml:space="preserve"> </w:t>
      </w:r>
      <w:r w:rsidRPr="7FD3636F">
        <w:rPr>
          <w:rFonts w:eastAsia="Calibri" w:cstheme="minorBidi"/>
        </w:rPr>
        <w:t xml:space="preserve">and is limited to larger businesses, so </w:t>
      </w:r>
      <w:r w:rsidR="004E78EE">
        <w:rPr>
          <w:rFonts w:eastAsia="Calibri" w:cstheme="minorBidi"/>
        </w:rPr>
        <w:t xml:space="preserve">is </w:t>
      </w:r>
      <w:r w:rsidRPr="7FD3636F">
        <w:rPr>
          <w:rFonts w:eastAsia="Calibri" w:cstheme="minorBidi"/>
        </w:rPr>
        <w:t xml:space="preserve">not fully representative of the wider employment market. </w:t>
      </w:r>
      <w:r w:rsidR="00B40A4A">
        <w:rPr>
          <w:rFonts w:eastAsia="Calibri" w:cstheme="minorBidi"/>
        </w:rPr>
        <w:t>Lastly</w:t>
      </w:r>
      <w:r w:rsidR="00DC5822">
        <w:rPr>
          <w:rFonts w:eastAsia="Calibri" w:cstheme="minorBidi"/>
        </w:rPr>
        <w:t>,</w:t>
      </w:r>
      <w:r w:rsidR="00B40A4A">
        <w:rPr>
          <w:rFonts w:eastAsia="Calibri" w:cstheme="minorBidi"/>
        </w:rPr>
        <w:t xml:space="preserve"> because </w:t>
      </w:r>
      <w:r w:rsidR="002D1C89">
        <w:rPr>
          <w:rFonts w:eastAsia="Calibri" w:cstheme="minorBidi"/>
        </w:rPr>
        <w:t xml:space="preserve">most of </w:t>
      </w:r>
      <w:r w:rsidR="00F134C3">
        <w:rPr>
          <w:rFonts w:eastAsia="Calibri" w:cstheme="minorBidi"/>
        </w:rPr>
        <w:t>the sectors</w:t>
      </w:r>
      <w:r w:rsidR="00A36A3E">
        <w:rPr>
          <w:rFonts w:eastAsia="Calibri" w:cstheme="minorBidi"/>
        </w:rPr>
        <w:t xml:space="preserve"> </w:t>
      </w:r>
      <w:r w:rsidR="00F134C3">
        <w:rPr>
          <w:rFonts w:eastAsia="Calibri" w:cstheme="minorBidi"/>
        </w:rPr>
        <w:t>ar</w:t>
      </w:r>
      <w:r w:rsidR="00B116C8">
        <w:rPr>
          <w:rFonts w:eastAsia="Calibri" w:cstheme="minorBidi"/>
        </w:rPr>
        <w:t>e</w:t>
      </w:r>
      <w:r w:rsidR="00F134C3">
        <w:rPr>
          <w:rFonts w:eastAsia="Calibri" w:cstheme="minorBidi"/>
        </w:rPr>
        <w:t xml:space="preserve"> dominated</w:t>
      </w:r>
      <w:r w:rsidR="004D4570">
        <w:rPr>
          <w:rFonts w:eastAsia="Calibri" w:cstheme="minorBidi"/>
        </w:rPr>
        <w:t xml:space="preserve"> by men</w:t>
      </w:r>
      <w:r w:rsidR="004E78EE">
        <w:rPr>
          <w:rFonts w:eastAsia="Calibri" w:cstheme="minorBidi"/>
        </w:rPr>
        <w:t xml:space="preserve"> –</w:t>
      </w:r>
      <w:r w:rsidR="00F134C3">
        <w:rPr>
          <w:rFonts w:eastAsia="Calibri" w:cstheme="minorBidi"/>
        </w:rPr>
        <w:t xml:space="preserve"> for example</w:t>
      </w:r>
      <w:r w:rsidR="004E78EE">
        <w:rPr>
          <w:rFonts w:eastAsia="Calibri" w:cstheme="minorBidi"/>
        </w:rPr>
        <w:t>,</w:t>
      </w:r>
      <w:r w:rsidR="00F134C3">
        <w:rPr>
          <w:rFonts w:eastAsia="Calibri" w:cstheme="minorBidi"/>
        </w:rPr>
        <w:t xml:space="preserve"> </w:t>
      </w:r>
      <w:r w:rsidR="004D4570">
        <w:rPr>
          <w:rFonts w:eastAsia="Calibri" w:cstheme="minorBidi"/>
        </w:rPr>
        <w:t xml:space="preserve">they </w:t>
      </w:r>
      <w:r w:rsidR="00F134C3">
        <w:rPr>
          <w:rFonts w:eastAsia="Calibri" w:cstheme="minorBidi"/>
        </w:rPr>
        <w:t xml:space="preserve">do not </w:t>
      </w:r>
      <w:r w:rsidR="009A1F3E">
        <w:rPr>
          <w:rFonts w:eastAsia="Calibri" w:cstheme="minorBidi"/>
        </w:rPr>
        <w:t>include</w:t>
      </w:r>
      <w:r w:rsidR="00B116C8">
        <w:rPr>
          <w:rFonts w:eastAsia="Calibri" w:cstheme="minorBidi"/>
        </w:rPr>
        <w:t xml:space="preserve"> household employment</w:t>
      </w:r>
      <w:r w:rsidR="004E78EE">
        <w:rPr>
          <w:rFonts w:eastAsia="Calibri" w:cstheme="minorBidi"/>
        </w:rPr>
        <w:t>,</w:t>
      </w:r>
      <w:r w:rsidR="002D1C89">
        <w:rPr>
          <w:rFonts w:eastAsia="Calibri" w:cstheme="minorBidi"/>
        </w:rPr>
        <w:t xml:space="preserve"> where women predominate</w:t>
      </w:r>
      <w:r w:rsidR="00B116C8">
        <w:rPr>
          <w:rFonts w:eastAsia="Calibri" w:cstheme="minorBidi"/>
        </w:rPr>
        <w:t xml:space="preserve"> </w:t>
      </w:r>
      <w:r w:rsidR="004E78EE">
        <w:rPr>
          <w:rFonts w:eastAsia="Calibri" w:cstheme="minorBidi"/>
        </w:rPr>
        <w:t xml:space="preserve">– </w:t>
      </w:r>
      <w:r w:rsidR="009A1F3E">
        <w:rPr>
          <w:rFonts w:eastAsia="Calibri" w:cstheme="minorBidi"/>
        </w:rPr>
        <w:t xml:space="preserve">men’s wage loss is </w:t>
      </w:r>
      <w:r w:rsidR="002D1C89">
        <w:rPr>
          <w:rFonts w:eastAsia="Calibri" w:cstheme="minorBidi"/>
        </w:rPr>
        <w:t>reflected</w:t>
      </w:r>
      <w:r w:rsidR="009A1F3E">
        <w:rPr>
          <w:rFonts w:eastAsia="Calibri" w:cstheme="minorBidi"/>
        </w:rPr>
        <w:t xml:space="preserve"> more than </w:t>
      </w:r>
      <w:proofErr w:type="gramStart"/>
      <w:r w:rsidR="009A1F3E">
        <w:rPr>
          <w:rFonts w:eastAsia="Calibri" w:cstheme="minorBidi"/>
        </w:rPr>
        <w:t>women</w:t>
      </w:r>
      <w:r w:rsidR="004D4570">
        <w:rPr>
          <w:rFonts w:eastAsia="Calibri" w:cstheme="minorBidi"/>
        </w:rPr>
        <w:t>’s</w:t>
      </w:r>
      <w:proofErr w:type="gramEnd"/>
      <w:r w:rsidR="009A1F3E">
        <w:rPr>
          <w:rFonts w:eastAsia="Calibri" w:cstheme="minorBidi"/>
        </w:rPr>
        <w:t xml:space="preserve">. </w:t>
      </w:r>
    </w:p>
    <w:p w14:paraId="16973373" w14:textId="77777777" w:rsidR="00031D64" w:rsidRDefault="00031D64" w:rsidP="000D26CE">
      <w:pPr>
        <w:spacing w:line="259" w:lineRule="auto"/>
        <w:rPr>
          <w:rFonts w:cstheme="minorHAnsi"/>
          <w:b/>
          <w:bCs/>
        </w:rPr>
      </w:pPr>
    </w:p>
    <w:p w14:paraId="61965475" w14:textId="77777777" w:rsidR="00031D64" w:rsidRDefault="00031D64" w:rsidP="00031D64">
      <w:pPr>
        <w:pStyle w:val="Text"/>
      </w:pPr>
    </w:p>
    <w:p w14:paraId="3955A08D" w14:textId="5F32F314" w:rsidR="007C4BC2" w:rsidRPr="00031D64" w:rsidRDefault="00D86D9F" w:rsidP="00031D64">
      <w:pPr>
        <w:pStyle w:val="Text"/>
        <w:rPr>
          <w:b/>
          <w:bCs/>
        </w:rPr>
      </w:pPr>
      <w:r w:rsidRPr="00031D64">
        <w:rPr>
          <w:b/>
          <w:bCs/>
        </w:rPr>
        <w:lastRenderedPageBreak/>
        <w:t>1.2</w:t>
      </w:r>
      <w:r w:rsidR="00031D64" w:rsidRPr="00031D64">
        <w:rPr>
          <w:b/>
          <w:bCs/>
        </w:rPr>
        <w:t>.</w:t>
      </w:r>
      <w:r w:rsidRPr="00031D64">
        <w:rPr>
          <w:b/>
          <w:bCs/>
        </w:rPr>
        <w:t xml:space="preserve"> Billionaires are US$3.3 trillion or 34% richer </w:t>
      </w:r>
      <w:r w:rsidR="00935251" w:rsidRPr="00031D64">
        <w:rPr>
          <w:b/>
          <w:bCs/>
        </w:rPr>
        <w:t>than they were at</w:t>
      </w:r>
      <w:r w:rsidRPr="00031D64">
        <w:rPr>
          <w:b/>
          <w:bCs/>
        </w:rPr>
        <w:t xml:space="preserve"> the beginning of this decade of crisis, with their wealth growing three times as fast as the rate of inflation.</w:t>
      </w:r>
    </w:p>
    <w:p w14:paraId="2A0CE5ED" w14:textId="3FEA2BDF" w:rsidR="00F941D9" w:rsidRDefault="00F941D9" w:rsidP="00031D64">
      <w:pPr>
        <w:pStyle w:val="Text"/>
      </w:pPr>
      <w:r w:rsidRPr="000D26CE">
        <w:t xml:space="preserve">The inflation data is based on the US CPI for the months of March </w:t>
      </w:r>
      <w:r>
        <w:t>2020</w:t>
      </w:r>
      <w:r w:rsidRPr="000D26CE">
        <w:t xml:space="preserve"> and </w:t>
      </w:r>
      <w:r w:rsidR="00B9579E">
        <w:t>October</w:t>
      </w:r>
      <w:r w:rsidRPr="000D26CE">
        <w:t xml:space="preserve"> 2023</w:t>
      </w:r>
      <w:r w:rsidR="004C6AD6">
        <w:t>.</w:t>
      </w:r>
      <w:r w:rsidRPr="000D26CE">
        <w:rPr>
          <w:rStyle w:val="EndnoteReference"/>
          <w:rFonts w:cstheme="minorHAnsi"/>
        </w:rPr>
        <w:endnoteReference w:id="18"/>
      </w:r>
      <w:r w:rsidR="00447F26">
        <w:t xml:space="preserve"> B</w:t>
      </w:r>
      <w:r w:rsidRPr="000D26CE">
        <w:t xml:space="preserve">illionaire </w:t>
      </w:r>
      <w:r>
        <w:t xml:space="preserve">data </w:t>
      </w:r>
      <w:r w:rsidRPr="000D26CE">
        <w:t xml:space="preserve">is from </w:t>
      </w:r>
      <w:r>
        <w:t xml:space="preserve">the </w:t>
      </w:r>
      <w:r w:rsidRPr="000D26CE">
        <w:t xml:space="preserve">Forbes </w:t>
      </w:r>
      <w:r w:rsidR="00842909">
        <w:t xml:space="preserve">annual </w:t>
      </w:r>
      <w:r w:rsidRPr="000D26CE">
        <w:t>billionaires list</w:t>
      </w:r>
      <w:r w:rsidRPr="000D26CE">
        <w:rPr>
          <w:rStyle w:val="EndnoteReference"/>
          <w:rFonts w:cstheme="minorHAnsi"/>
        </w:rPr>
        <w:endnoteReference w:id="19"/>
      </w:r>
      <w:r w:rsidRPr="000D26CE">
        <w:t xml:space="preserve"> </w:t>
      </w:r>
      <w:r w:rsidR="00842909">
        <w:t xml:space="preserve">in </w:t>
      </w:r>
      <w:r w:rsidRPr="000D26CE">
        <w:t>20</w:t>
      </w:r>
      <w:r>
        <w:t>20</w:t>
      </w:r>
      <w:r w:rsidRPr="000D26CE">
        <w:t xml:space="preserve"> and </w:t>
      </w:r>
      <w:r w:rsidR="00842909">
        <w:t>real</w:t>
      </w:r>
      <w:r w:rsidR="004C6AD6">
        <w:t>-</w:t>
      </w:r>
      <w:r w:rsidR="00842909">
        <w:t xml:space="preserve">time billionaires list as of the </w:t>
      </w:r>
      <w:r w:rsidR="00DC17C1">
        <w:t xml:space="preserve">end of November </w:t>
      </w:r>
      <w:r w:rsidRPr="000D26CE">
        <w:t>2023.</w:t>
      </w:r>
      <w:r w:rsidR="00877263">
        <w:rPr>
          <w:rStyle w:val="EndnoteReference"/>
          <w:rFonts w:cstheme="minorHAnsi"/>
        </w:rPr>
        <w:endnoteReference w:id="20"/>
      </w:r>
      <w:r w:rsidRPr="000D26CE">
        <w:t xml:space="preserve"> </w:t>
      </w:r>
    </w:p>
    <w:p w14:paraId="4AA190B1" w14:textId="44729107" w:rsidR="00322FEB" w:rsidRDefault="00691ADD" w:rsidP="00031D64">
      <w:pPr>
        <w:pStyle w:val="Text"/>
      </w:pPr>
      <w:r w:rsidRPr="00A17474">
        <w:t>Between March 2020 and October 2023, inflation (as measured by US CPI) increased by 19.2</w:t>
      </w:r>
      <w:r w:rsidR="002B39CD" w:rsidRPr="00A17474">
        <w:t>%</w:t>
      </w:r>
      <w:r w:rsidR="002B39CD">
        <w:t xml:space="preserve">. </w:t>
      </w:r>
    </w:p>
    <w:p w14:paraId="657DD3F6" w14:textId="15A1ED25" w:rsidR="00BD3745" w:rsidRDefault="00691ADD" w:rsidP="00031D64">
      <w:pPr>
        <w:pStyle w:val="Text"/>
      </w:pPr>
      <w:r>
        <w:t>For the period b</w:t>
      </w:r>
      <w:r w:rsidR="00F941D9" w:rsidRPr="00701C58">
        <w:t xml:space="preserve">etween March </w:t>
      </w:r>
      <w:r w:rsidR="00F941D9" w:rsidRPr="008B3587">
        <w:t xml:space="preserve">2020 </w:t>
      </w:r>
      <w:r w:rsidR="004C6AD6">
        <w:t>and the</w:t>
      </w:r>
      <w:r w:rsidR="004C6AD6" w:rsidRPr="008B3587">
        <w:t xml:space="preserve"> </w:t>
      </w:r>
      <w:r w:rsidR="003C61B4" w:rsidRPr="008B3587">
        <w:t xml:space="preserve">end </w:t>
      </w:r>
      <w:r w:rsidR="004C6AD6">
        <w:t xml:space="preserve">of </w:t>
      </w:r>
      <w:r w:rsidR="003C61B4" w:rsidRPr="008B3587">
        <w:t xml:space="preserve">November </w:t>
      </w:r>
      <w:r w:rsidR="00F941D9" w:rsidRPr="008B3587">
        <w:t>2023, the</w:t>
      </w:r>
      <w:r w:rsidR="00F941D9" w:rsidRPr="00701C58">
        <w:t xml:space="preserve"> wealth of billionaires increased by US$4.</w:t>
      </w:r>
      <w:r w:rsidR="009A6F54">
        <w:t>8</w:t>
      </w:r>
      <w:r w:rsidR="00F941D9" w:rsidRPr="00701C58">
        <w:t xml:space="preserve"> trillion in nominal terms, from US$8 trillion to US$12.</w:t>
      </w:r>
      <w:r w:rsidR="009A6F54">
        <w:t>8</w:t>
      </w:r>
      <w:r w:rsidR="00F941D9" w:rsidRPr="00701C58">
        <w:t xml:space="preserve"> trillion</w:t>
      </w:r>
      <w:r w:rsidR="00C009C3">
        <w:t>,</w:t>
      </w:r>
      <w:r w:rsidR="00DC3D6E">
        <w:t xml:space="preserve"> or </w:t>
      </w:r>
      <w:r w:rsidR="00C009C3">
        <w:t>5</w:t>
      </w:r>
      <w:r w:rsidR="006B1D8E">
        <w:t>9</w:t>
      </w:r>
      <w:r w:rsidR="00C009C3">
        <w:t>.</w:t>
      </w:r>
      <w:r w:rsidR="006B1D8E">
        <w:t>8</w:t>
      </w:r>
      <w:r w:rsidR="00C009C3">
        <w:t>%</w:t>
      </w:r>
      <w:r>
        <w:t xml:space="preserve">, </w:t>
      </w:r>
      <w:r w:rsidR="00B46C4D">
        <w:t xml:space="preserve">which is </w:t>
      </w:r>
      <w:r w:rsidR="006B1D8E">
        <w:t>3.1</w:t>
      </w:r>
      <w:r w:rsidR="00B46C4D">
        <w:t xml:space="preserve"> times </w:t>
      </w:r>
      <w:r>
        <w:t xml:space="preserve">as fast as </w:t>
      </w:r>
      <w:r w:rsidR="00B46C4D">
        <w:t xml:space="preserve">the rate of inflation. </w:t>
      </w:r>
    </w:p>
    <w:p w14:paraId="7744B161" w14:textId="09211350" w:rsidR="00031D64" w:rsidRPr="00A1577A" w:rsidRDefault="00F941D9" w:rsidP="00A1577A">
      <w:pPr>
        <w:pStyle w:val="Text"/>
      </w:pPr>
      <w:r w:rsidRPr="00701C58">
        <w:t>To calculate the growth in real terms</w:t>
      </w:r>
      <w:r w:rsidR="00BD3745">
        <w:t xml:space="preserve"> to account for inflation</w:t>
      </w:r>
      <w:r w:rsidRPr="00701C58">
        <w:t xml:space="preserve">, we use the US CPI for the months of March 2020 and </w:t>
      </w:r>
      <w:r w:rsidR="00BD3745">
        <w:t>October</w:t>
      </w:r>
      <w:r w:rsidRPr="00701C58">
        <w:t xml:space="preserve"> 2023</w:t>
      </w:r>
      <w:r>
        <w:t xml:space="preserve">. </w:t>
      </w:r>
      <w:r w:rsidR="00FC7787">
        <w:t>O</w:t>
      </w:r>
      <w:r w:rsidR="00BD3745">
        <w:t xml:space="preserve">ur calculations show that </w:t>
      </w:r>
      <w:r w:rsidR="00FC7787">
        <w:t xml:space="preserve">in real terms, </w:t>
      </w:r>
      <w:r w:rsidR="00F16F22">
        <w:t>billionaire</w:t>
      </w:r>
      <w:r w:rsidR="00956673">
        <w:t xml:space="preserve"> wealth increased by </w:t>
      </w:r>
      <w:r w:rsidRPr="00701C58">
        <w:t>US$</w:t>
      </w:r>
      <w:r w:rsidR="00FC7787">
        <w:t>3.3</w:t>
      </w:r>
      <w:r w:rsidRPr="00701C58">
        <w:t xml:space="preserve"> trillion, or </w:t>
      </w:r>
      <w:r w:rsidR="00FC7787">
        <w:t>34.1</w:t>
      </w:r>
      <w:r w:rsidRPr="00701C58">
        <w:t>%</w:t>
      </w:r>
      <w:r w:rsidR="003E6BBD">
        <w:t>,</w:t>
      </w:r>
      <w:r w:rsidR="00956673">
        <w:t xml:space="preserve"> </w:t>
      </w:r>
      <w:r w:rsidR="00F16F22">
        <w:t xml:space="preserve">between March </w:t>
      </w:r>
      <w:r w:rsidR="00956673">
        <w:t>2020</w:t>
      </w:r>
      <w:r w:rsidR="00F16F22">
        <w:t xml:space="preserve"> </w:t>
      </w:r>
      <w:r w:rsidR="00F16F22" w:rsidRPr="008B3587">
        <w:t xml:space="preserve">and </w:t>
      </w:r>
      <w:r w:rsidR="00984F29" w:rsidRPr="008B3587">
        <w:t>November</w:t>
      </w:r>
      <w:r w:rsidR="00F16F22" w:rsidRPr="008B3587">
        <w:t xml:space="preserve"> 2023.</w:t>
      </w:r>
    </w:p>
    <w:p w14:paraId="1C0380FE" w14:textId="40A439A8" w:rsidR="00F941D9" w:rsidRPr="00495BF8" w:rsidRDefault="00F941D9" w:rsidP="00A1577A">
      <w:pPr>
        <w:pStyle w:val="Tablecaption"/>
      </w:pPr>
      <w:r>
        <w:t>Table 1.</w:t>
      </w:r>
      <w:r w:rsidR="00B35B50">
        <w:t>2</w:t>
      </w:r>
      <w:r>
        <w:t xml:space="preserve">: </w:t>
      </w:r>
      <w:r w:rsidRPr="00495BF8">
        <w:t>Changes in billionaire wealth sinc</w:t>
      </w:r>
      <w:r w:rsidR="00B35B50">
        <w:t>e early 2020</w:t>
      </w:r>
    </w:p>
    <w:tbl>
      <w:tblPr>
        <w:tblStyle w:val="TableGrid"/>
        <w:tblW w:w="7513" w:type="dxa"/>
        <w:tblInd w:w="-5" w:type="dxa"/>
        <w:tblLook w:val="04A0" w:firstRow="1" w:lastRow="0" w:firstColumn="1" w:lastColumn="0" w:noHBand="0" w:noVBand="1"/>
      </w:tblPr>
      <w:tblGrid>
        <w:gridCol w:w="1171"/>
        <w:gridCol w:w="1053"/>
        <w:gridCol w:w="924"/>
        <w:gridCol w:w="1393"/>
        <w:gridCol w:w="1322"/>
        <w:gridCol w:w="1650"/>
      </w:tblGrid>
      <w:tr w:rsidR="004D6618" w:rsidRPr="004D6618" w14:paraId="562B5FAC" w14:textId="77777777" w:rsidTr="00A1577A">
        <w:trPr>
          <w:trHeight w:val="290"/>
        </w:trPr>
        <w:tc>
          <w:tcPr>
            <w:tcW w:w="7513" w:type="dxa"/>
            <w:gridSpan w:val="6"/>
            <w:noWrap/>
            <w:hideMark/>
          </w:tcPr>
          <w:p w14:paraId="6319219D" w14:textId="59FDD800" w:rsidR="004D6618" w:rsidRPr="004D6618" w:rsidRDefault="004D6618" w:rsidP="00A1577A">
            <w:pPr>
              <w:pStyle w:val="Tableheading1"/>
            </w:pPr>
            <w:r w:rsidRPr="004D6618">
              <w:t>Billionaire wealth in Mar</w:t>
            </w:r>
            <w:r w:rsidR="004C6AD6">
              <w:t>c</w:t>
            </w:r>
            <w:r w:rsidRPr="004D6618">
              <w:t>h 2020 and Nov 2023</w:t>
            </w:r>
          </w:p>
        </w:tc>
      </w:tr>
      <w:tr w:rsidR="004D6618" w:rsidRPr="004D6618" w14:paraId="26EF3703" w14:textId="77777777" w:rsidTr="00A1577A">
        <w:trPr>
          <w:trHeight w:val="670"/>
        </w:trPr>
        <w:tc>
          <w:tcPr>
            <w:tcW w:w="1171" w:type="dxa"/>
            <w:noWrap/>
            <w:hideMark/>
          </w:tcPr>
          <w:p w14:paraId="590228F1" w14:textId="77777777" w:rsidR="004D6618" w:rsidRPr="004D6618" w:rsidRDefault="004D6618" w:rsidP="00A1577A">
            <w:pPr>
              <w:pStyle w:val="Tabletext"/>
            </w:pPr>
            <w:r w:rsidRPr="004D6618">
              <w:t> </w:t>
            </w:r>
          </w:p>
        </w:tc>
        <w:tc>
          <w:tcPr>
            <w:tcW w:w="1053" w:type="dxa"/>
            <w:noWrap/>
            <w:hideMark/>
          </w:tcPr>
          <w:p w14:paraId="42E98F20" w14:textId="7A546915" w:rsidR="004D6618" w:rsidRPr="00A1577A" w:rsidRDefault="004D6618" w:rsidP="002566FE">
            <w:pPr>
              <w:pStyle w:val="Tableheading2"/>
            </w:pPr>
            <w:r w:rsidRPr="00A1577A">
              <w:t>March 2020</w:t>
            </w:r>
          </w:p>
        </w:tc>
        <w:tc>
          <w:tcPr>
            <w:tcW w:w="924" w:type="dxa"/>
            <w:noWrap/>
            <w:hideMark/>
          </w:tcPr>
          <w:p w14:paraId="152495D8" w14:textId="135046A3" w:rsidR="004D6618" w:rsidRPr="00A1577A" w:rsidRDefault="004C6AD6" w:rsidP="002566FE">
            <w:pPr>
              <w:pStyle w:val="Tableheading2"/>
            </w:pPr>
            <w:r w:rsidRPr="00A1577A">
              <w:t xml:space="preserve">30 </w:t>
            </w:r>
            <w:r w:rsidR="004D6618" w:rsidRPr="00A1577A">
              <w:t>Nov 2023</w:t>
            </w:r>
          </w:p>
        </w:tc>
        <w:tc>
          <w:tcPr>
            <w:tcW w:w="1393" w:type="dxa"/>
            <w:hideMark/>
          </w:tcPr>
          <w:p w14:paraId="3795436E" w14:textId="77777777" w:rsidR="004D6618" w:rsidRPr="00A1577A" w:rsidRDefault="004D6618" w:rsidP="002566FE">
            <w:pPr>
              <w:pStyle w:val="Tableheading2"/>
            </w:pPr>
            <w:r w:rsidRPr="00A1577A">
              <w:t>March 2020 adjusted to Oct 2023 prices</w:t>
            </w:r>
          </w:p>
        </w:tc>
        <w:tc>
          <w:tcPr>
            <w:tcW w:w="1322" w:type="dxa"/>
            <w:hideMark/>
          </w:tcPr>
          <w:p w14:paraId="7448A322" w14:textId="0F772AD2" w:rsidR="004D6618" w:rsidRPr="00A1577A" w:rsidRDefault="004D6618" w:rsidP="002566FE">
            <w:pPr>
              <w:pStyle w:val="Tableheading2"/>
            </w:pPr>
            <w:r w:rsidRPr="00A1577A">
              <w:t>Nominal change, March 2020</w:t>
            </w:r>
            <w:r w:rsidR="00D8643F" w:rsidRPr="00A1577A">
              <w:t>–</w:t>
            </w:r>
            <w:r w:rsidRPr="00A1577A">
              <w:t>Nov 2023</w:t>
            </w:r>
          </w:p>
        </w:tc>
        <w:tc>
          <w:tcPr>
            <w:tcW w:w="1650" w:type="dxa"/>
            <w:hideMark/>
          </w:tcPr>
          <w:p w14:paraId="21A736D4" w14:textId="1C1B292E" w:rsidR="004D6618" w:rsidRPr="00A1577A" w:rsidRDefault="004D6618" w:rsidP="002566FE">
            <w:pPr>
              <w:pStyle w:val="Tableheading2"/>
            </w:pPr>
            <w:r w:rsidRPr="00A1577A">
              <w:t>Real change, March 2020</w:t>
            </w:r>
            <w:r w:rsidR="00D8643F" w:rsidRPr="00A1577A">
              <w:t>–</w:t>
            </w:r>
            <w:r w:rsidRPr="00A1577A">
              <w:t>Nov 2023</w:t>
            </w:r>
          </w:p>
        </w:tc>
      </w:tr>
      <w:tr w:rsidR="004D6618" w:rsidRPr="004D6618" w14:paraId="6F577A42" w14:textId="77777777" w:rsidTr="00A1577A">
        <w:trPr>
          <w:trHeight w:val="290"/>
        </w:trPr>
        <w:tc>
          <w:tcPr>
            <w:tcW w:w="1171" w:type="dxa"/>
            <w:noWrap/>
            <w:hideMark/>
          </w:tcPr>
          <w:p w14:paraId="421E3951" w14:textId="78692598" w:rsidR="004D6618" w:rsidRPr="004D6618" w:rsidRDefault="004D6618" w:rsidP="00A1577A">
            <w:pPr>
              <w:pStyle w:val="Tableheading2"/>
            </w:pPr>
            <w:proofErr w:type="spellStart"/>
            <w:r w:rsidRPr="004D6618">
              <w:t>US$bn</w:t>
            </w:r>
            <w:proofErr w:type="spellEnd"/>
          </w:p>
        </w:tc>
        <w:tc>
          <w:tcPr>
            <w:tcW w:w="1053" w:type="dxa"/>
            <w:noWrap/>
            <w:hideMark/>
          </w:tcPr>
          <w:p w14:paraId="1C89C05B" w14:textId="74D439B1" w:rsidR="004D6618" w:rsidRPr="004D6618" w:rsidRDefault="004D6618" w:rsidP="00A1577A">
            <w:pPr>
              <w:pStyle w:val="Tabletext"/>
            </w:pPr>
            <w:r w:rsidRPr="004D6618">
              <w:t xml:space="preserve">8,038 </w:t>
            </w:r>
          </w:p>
        </w:tc>
        <w:tc>
          <w:tcPr>
            <w:tcW w:w="924" w:type="dxa"/>
            <w:noWrap/>
            <w:hideMark/>
          </w:tcPr>
          <w:p w14:paraId="6BA5140F" w14:textId="0CB636B6" w:rsidR="004D6618" w:rsidRPr="004D6618" w:rsidRDefault="004D6618" w:rsidP="00A1577A">
            <w:pPr>
              <w:pStyle w:val="Tabletext"/>
            </w:pPr>
            <w:r w:rsidRPr="004D6618">
              <w:t xml:space="preserve">12,844 </w:t>
            </w:r>
          </w:p>
        </w:tc>
        <w:tc>
          <w:tcPr>
            <w:tcW w:w="1393" w:type="dxa"/>
            <w:noWrap/>
            <w:hideMark/>
          </w:tcPr>
          <w:p w14:paraId="36FF7BB6" w14:textId="2FED25AF" w:rsidR="004D6618" w:rsidRPr="004D6618" w:rsidRDefault="004D6618" w:rsidP="00A1577A">
            <w:pPr>
              <w:pStyle w:val="Tabletext"/>
            </w:pPr>
            <w:r w:rsidRPr="004D6618">
              <w:t>9,58</w:t>
            </w:r>
            <w:r w:rsidR="00980956">
              <w:t>1</w:t>
            </w:r>
            <w:r w:rsidRPr="004D6618">
              <w:t xml:space="preserve"> </w:t>
            </w:r>
          </w:p>
        </w:tc>
        <w:tc>
          <w:tcPr>
            <w:tcW w:w="1322" w:type="dxa"/>
            <w:noWrap/>
            <w:hideMark/>
          </w:tcPr>
          <w:p w14:paraId="0239BD21" w14:textId="26BE8A09" w:rsidR="004D6618" w:rsidRPr="004D6618" w:rsidRDefault="004D6618" w:rsidP="00A1577A">
            <w:pPr>
              <w:pStyle w:val="Tabletext"/>
            </w:pPr>
            <w:r w:rsidRPr="004D6618">
              <w:t xml:space="preserve">4,807 </w:t>
            </w:r>
          </w:p>
        </w:tc>
        <w:tc>
          <w:tcPr>
            <w:tcW w:w="1650" w:type="dxa"/>
            <w:noWrap/>
            <w:hideMark/>
          </w:tcPr>
          <w:p w14:paraId="7C193D74" w14:textId="76C24299" w:rsidR="004D6618" w:rsidRPr="004D6618" w:rsidRDefault="004D6618" w:rsidP="00A1577A">
            <w:pPr>
              <w:pStyle w:val="Tabletext"/>
            </w:pPr>
            <w:r w:rsidRPr="004D6618">
              <w:t xml:space="preserve">3,263 </w:t>
            </w:r>
          </w:p>
        </w:tc>
      </w:tr>
      <w:tr w:rsidR="00377F31" w:rsidRPr="004D6618" w14:paraId="4C71737B" w14:textId="77777777" w:rsidTr="00A1577A">
        <w:trPr>
          <w:trHeight w:val="290"/>
        </w:trPr>
        <w:tc>
          <w:tcPr>
            <w:tcW w:w="1171" w:type="dxa"/>
            <w:noWrap/>
            <w:hideMark/>
          </w:tcPr>
          <w:p w14:paraId="09FA3522" w14:textId="02CB3714" w:rsidR="00377F31" w:rsidRPr="004D6618" w:rsidRDefault="002566FE" w:rsidP="00A1577A">
            <w:pPr>
              <w:pStyle w:val="Tableheading2"/>
            </w:pPr>
            <w:r>
              <w:t>C</w:t>
            </w:r>
            <w:r w:rsidR="00377F31" w:rsidRPr="004D6618">
              <w:t>hange</w:t>
            </w:r>
            <w:r>
              <w:t>, %</w:t>
            </w:r>
          </w:p>
        </w:tc>
        <w:tc>
          <w:tcPr>
            <w:tcW w:w="3370" w:type="dxa"/>
            <w:gridSpan w:val="3"/>
            <w:noWrap/>
            <w:hideMark/>
          </w:tcPr>
          <w:p w14:paraId="1268418E" w14:textId="18D17DA0" w:rsidR="00377F31" w:rsidRPr="004D6618" w:rsidRDefault="00377F31" w:rsidP="00A1577A">
            <w:pPr>
              <w:pStyle w:val="Tabletext"/>
            </w:pPr>
            <w:r w:rsidRPr="004D6618">
              <w:t> </w:t>
            </w:r>
          </w:p>
        </w:tc>
        <w:tc>
          <w:tcPr>
            <w:tcW w:w="1322" w:type="dxa"/>
            <w:noWrap/>
            <w:hideMark/>
          </w:tcPr>
          <w:p w14:paraId="44A7954A" w14:textId="6CF2B12E" w:rsidR="00377F31" w:rsidRPr="004D6618" w:rsidRDefault="00377F31" w:rsidP="00A1577A">
            <w:pPr>
              <w:pStyle w:val="Tabletext"/>
            </w:pPr>
            <w:r w:rsidRPr="004D6618">
              <w:t>59.8</w:t>
            </w:r>
          </w:p>
        </w:tc>
        <w:tc>
          <w:tcPr>
            <w:tcW w:w="1650" w:type="dxa"/>
            <w:noWrap/>
            <w:hideMark/>
          </w:tcPr>
          <w:p w14:paraId="6C171444" w14:textId="540102E6" w:rsidR="00377F31" w:rsidRPr="004D6618" w:rsidRDefault="00377F31" w:rsidP="00A1577A">
            <w:pPr>
              <w:pStyle w:val="Tabletext"/>
            </w:pPr>
            <w:r w:rsidRPr="004D6618">
              <w:t xml:space="preserve">34.1 </w:t>
            </w:r>
          </w:p>
        </w:tc>
      </w:tr>
    </w:tbl>
    <w:p w14:paraId="2D4E0B72" w14:textId="274A312B" w:rsidR="001148D2" w:rsidRPr="006337F3" w:rsidRDefault="00F941D9" w:rsidP="006337F3">
      <w:pPr>
        <w:pStyle w:val="Text"/>
        <w:rPr>
          <w:b/>
          <w:bCs/>
        </w:rPr>
      </w:pPr>
      <w:r w:rsidRPr="006337F3">
        <w:rPr>
          <w:b/>
          <w:bCs/>
        </w:rPr>
        <w:t>1.</w:t>
      </w:r>
      <w:r w:rsidR="00F16F22" w:rsidRPr="006337F3">
        <w:rPr>
          <w:b/>
          <w:bCs/>
        </w:rPr>
        <w:t>3</w:t>
      </w:r>
      <w:r w:rsidR="00895066">
        <w:rPr>
          <w:b/>
          <w:bCs/>
        </w:rPr>
        <w:t>.</w:t>
      </w:r>
      <w:r w:rsidRPr="006337F3">
        <w:rPr>
          <w:b/>
          <w:bCs/>
        </w:rPr>
        <w:t xml:space="preserve"> Despite representing</w:t>
      </w:r>
      <w:r w:rsidR="0043268D">
        <w:rPr>
          <w:b/>
          <w:bCs/>
        </w:rPr>
        <w:t xml:space="preserve"> only</w:t>
      </w:r>
      <w:r w:rsidRPr="006337F3">
        <w:rPr>
          <w:b/>
          <w:bCs/>
        </w:rPr>
        <w:t xml:space="preserve"> </w:t>
      </w:r>
      <w:r w:rsidR="00882DB3" w:rsidRPr="006337F3">
        <w:rPr>
          <w:b/>
          <w:bCs/>
        </w:rPr>
        <w:t>21</w:t>
      </w:r>
      <w:r w:rsidRPr="006337F3">
        <w:rPr>
          <w:b/>
          <w:bCs/>
        </w:rPr>
        <w:t>% of the world population, countries in the Global North own 6</w:t>
      </w:r>
      <w:r w:rsidR="00882DB3" w:rsidRPr="006337F3">
        <w:rPr>
          <w:b/>
          <w:bCs/>
        </w:rPr>
        <w:t>9</w:t>
      </w:r>
      <w:r w:rsidRPr="006337F3">
        <w:rPr>
          <w:b/>
          <w:bCs/>
        </w:rPr>
        <w:t>% of global wealth and are home to 7</w:t>
      </w:r>
      <w:r w:rsidR="00882DB3" w:rsidRPr="006337F3">
        <w:rPr>
          <w:b/>
          <w:bCs/>
        </w:rPr>
        <w:t>4</w:t>
      </w:r>
      <w:r w:rsidRPr="006337F3">
        <w:rPr>
          <w:b/>
          <w:bCs/>
        </w:rPr>
        <w:t xml:space="preserve">% of the world’s billionaire wealth. </w:t>
      </w:r>
    </w:p>
    <w:p w14:paraId="0C3374A4" w14:textId="39C8A781" w:rsidR="002412C2" w:rsidRPr="007713F3" w:rsidRDefault="00F941D9" w:rsidP="006337F3">
      <w:pPr>
        <w:pStyle w:val="Text"/>
      </w:pPr>
      <w:r w:rsidRPr="007713F3">
        <w:t xml:space="preserve">Data on global wealth and population is from the UBS </w:t>
      </w:r>
      <w:r w:rsidRPr="0043268D">
        <w:rPr>
          <w:i/>
          <w:iCs/>
        </w:rPr>
        <w:t>2023 Global Wealth Report</w:t>
      </w:r>
      <w:r w:rsidR="004C6AD6">
        <w:t>,</w:t>
      </w:r>
      <w:r w:rsidRPr="007713F3">
        <w:rPr>
          <w:vertAlign w:val="superscript"/>
        </w:rPr>
        <w:endnoteReference w:id="21"/>
      </w:r>
      <w:r w:rsidRPr="007713F3">
        <w:t xml:space="preserve"> while billionaire data is from the Forbes real-time billionaires</w:t>
      </w:r>
      <w:r w:rsidRPr="007713F3">
        <w:rPr>
          <w:vertAlign w:val="superscript"/>
        </w:rPr>
        <w:endnoteReference w:id="22"/>
      </w:r>
      <w:r w:rsidRPr="007713F3">
        <w:t xml:space="preserve"> list as of </w:t>
      </w:r>
      <w:r w:rsidR="00D8643F">
        <w:t xml:space="preserve">the </w:t>
      </w:r>
      <w:r w:rsidR="00443B91" w:rsidRPr="007713F3">
        <w:t xml:space="preserve">end </w:t>
      </w:r>
      <w:r w:rsidR="00D8643F">
        <w:t xml:space="preserve">of </w:t>
      </w:r>
      <w:r w:rsidR="004C6AD6">
        <w:t>30</w:t>
      </w:r>
      <w:r w:rsidR="004C6AD6" w:rsidRPr="007713F3">
        <w:t xml:space="preserve"> </w:t>
      </w:r>
      <w:r w:rsidR="007713F3" w:rsidRPr="007713F3">
        <w:t>November</w:t>
      </w:r>
      <w:r w:rsidRPr="007713F3">
        <w:t xml:space="preserve"> 2023. </w:t>
      </w:r>
    </w:p>
    <w:p w14:paraId="1A8755BE" w14:textId="6960054C" w:rsidR="00F941D9" w:rsidRPr="007713F3" w:rsidRDefault="00F941D9" w:rsidP="006337F3">
      <w:pPr>
        <w:pStyle w:val="Text"/>
      </w:pPr>
      <w:r w:rsidRPr="007713F3">
        <w:t>Global South countries are based on the list from the Financial Centre for South-South Cooperation</w:t>
      </w:r>
      <w:r w:rsidR="005C2687">
        <w:t>.</w:t>
      </w:r>
      <w:r w:rsidR="00A80BA7" w:rsidRPr="007713F3">
        <w:rPr>
          <w:rStyle w:val="EndnoteReference"/>
          <w:rFonts w:cstheme="minorHAnsi"/>
        </w:rPr>
        <w:endnoteReference w:id="23"/>
      </w:r>
      <w:r w:rsidRPr="007713F3">
        <w:t xml:space="preserve"> Any country not in this list is assumed to be part of the Global North. </w:t>
      </w:r>
    </w:p>
    <w:p w14:paraId="4F9E1A08" w14:textId="5A4F11F2" w:rsidR="006E3BF3" w:rsidRDefault="00F941D9" w:rsidP="006337F3">
      <w:pPr>
        <w:pStyle w:val="Text"/>
      </w:pPr>
      <w:r w:rsidRPr="007713F3">
        <w:t>Global wealth was US$454 trillion in 2022. There were 2</w:t>
      </w:r>
      <w:r w:rsidR="004C6AD6">
        <w:t>,</w:t>
      </w:r>
      <w:r w:rsidR="00A95F40" w:rsidRPr="007713F3">
        <w:t>56</w:t>
      </w:r>
      <w:r w:rsidR="006E385F">
        <w:t>6</w:t>
      </w:r>
      <w:r w:rsidRPr="007713F3">
        <w:t xml:space="preserve"> billionaires as of </w:t>
      </w:r>
      <w:r w:rsidR="004C6AD6">
        <w:t xml:space="preserve">30 </w:t>
      </w:r>
      <w:r w:rsidR="00A95F40" w:rsidRPr="007713F3">
        <w:t>November</w:t>
      </w:r>
      <w:r w:rsidRPr="007713F3">
        <w:t xml:space="preserve"> 2023, with a combined wealth of US$12.</w:t>
      </w:r>
      <w:r w:rsidR="00A95F40" w:rsidRPr="007713F3">
        <w:t>8</w:t>
      </w:r>
      <w:r w:rsidRPr="007713F3">
        <w:t xml:space="preserve"> trillion. The total</w:t>
      </w:r>
      <w:r w:rsidRPr="00C43014">
        <w:t xml:space="preserve"> </w:t>
      </w:r>
      <w:r>
        <w:t xml:space="preserve">global </w:t>
      </w:r>
      <w:r w:rsidRPr="00C43014">
        <w:t xml:space="preserve">population in 2022 was 7.53 billion people for </w:t>
      </w:r>
      <w:r>
        <w:t xml:space="preserve">the </w:t>
      </w:r>
      <w:r w:rsidRPr="00C43014">
        <w:t xml:space="preserve">countries with wealth </w:t>
      </w:r>
      <w:r>
        <w:t xml:space="preserve">data </w:t>
      </w:r>
      <w:r w:rsidRPr="00C43014">
        <w:t xml:space="preserve">in </w:t>
      </w:r>
      <w:r>
        <w:t xml:space="preserve">the </w:t>
      </w:r>
      <w:r w:rsidRPr="00C43014">
        <w:t xml:space="preserve">UBS database. </w:t>
      </w:r>
    </w:p>
    <w:p w14:paraId="4D88C450" w14:textId="3E607662" w:rsidR="00F941D9" w:rsidRDefault="00F941D9" w:rsidP="006337F3">
      <w:pPr>
        <w:pStyle w:val="Text"/>
      </w:pPr>
      <w:r w:rsidRPr="00C43014">
        <w:t xml:space="preserve">Our calculations show that while countries in </w:t>
      </w:r>
      <w:r w:rsidR="004C6AD6">
        <w:t xml:space="preserve">the </w:t>
      </w:r>
      <w:r w:rsidRPr="00C43014">
        <w:t>Global North are home to 1.</w:t>
      </w:r>
      <w:r w:rsidR="00882374">
        <w:t>55</w:t>
      </w:r>
      <w:r w:rsidRPr="00C43014">
        <w:t xml:space="preserve"> </w:t>
      </w:r>
      <w:r w:rsidRPr="007713F3">
        <w:t>billion people, they h</w:t>
      </w:r>
      <w:r w:rsidR="009A062C" w:rsidRPr="007713F3">
        <w:t>e</w:t>
      </w:r>
      <w:r w:rsidRPr="007713F3">
        <w:t>ld a combined wealth of US$31</w:t>
      </w:r>
      <w:r w:rsidR="00882374">
        <w:t>4.7</w:t>
      </w:r>
      <w:r w:rsidRPr="007713F3">
        <w:t xml:space="preserve"> trillion, or 6</w:t>
      </w:r>
      <w:r w:rsidR="00882374">
        <w:t>9</w:t>
      </w:r>
      <w:r w:rsidR="00D8643F">
        <w:t>.3</w:t>
      </w:r>
      <w:r w:rsidRPr="007713F3">
        <w:t>% of the global total wealth in 2022</w:t>
      </w:r>
      <w:r w:rsidR="001E0100" w:rsidRPr="007713F3">
        <w:t xml:space="preserve">, and </w:t>
      </w:r>
      <w:r w:rsidRPr="007713F3">
        <w:t>US$</w:t>
      </w:r>
      <w:r w:rsidR="00A10752" w:rsidRPr="007713F3">
        <w:t>9.</w:t>
      </w:r>
      <w:r w:rsidR="00882374">
        <w:t>5</w:t>
      </w:r>
      <w:r w:rsidR="00A10752" w:rsidRPr="007713F3">
        <w:t xml:space="preserve"> </w:t>
      </w:r>
      <w:r w:rsidRPr="007713F3">
        <w:t>trillion</w:t>
      </w:r>
      <w:r w:rsidR="009B70B5" w:rsidRPr="007713F3">
        <w:t>, or 7</w:t>
      </w:r>
      <w:r w:rsidR="00882374">
        <w:t>4.2</w:t>
      </w:r>
      <w:r w:rsidR="009B70B5" w:rsidRPr="007713F3">
        <w:t>%</w:t>
      </w:r>
      <w:r w:rsidR="008548DE" w:rsidRPr="007713F3">
        <w:t xml:space="preserve"> of total </w:t>
      </w:r>
      <w:r w:rsidR="00A10752" w:rsidRPr="007713F3">
        <w:t>billionaire</w:t>
      </w:r>
      <w:r w:rsidR="008548DE" w:rsidRPr="007713F3">
        <w:t xml:space="preserve"> wealth</w:t>
      </w:r>
      <w:r w:rsidR="007713F3" w:rsidRPr="007713F3">
        <w:t xml:space="preserve"> as of </w:t>
      </w:r>
      <w:r w:rsidR="004C6AD6">
        <w:t xml:space="preserve">the </w:t>
      </w:r>
      <w:r w:rsidR="007713F3" w:rsidRPr="007713F3">
        <w:t xml:space="preserve">end </w:t>
      </w:r>
      <w:r w:rsidR="004C6AD6">
        <w:t xml:space="preserve">of </w:t>
      </w:r>
      <w:r w:rsidR="007713F3" w:rsidRPr="007713F3">
        <w:t>November 2023.</w:t>
      </w:r>
    </w:p>
    <w:p w14:paraId="58A8400E" w14:textId="77777777" w:rsidR="006337F3" w:rsidRDefault="006337F3" w:rsidP="00C43014">
      <w:pPr>
        <w:spacing w:line="259" w:lineRule="auto"/>
        <w:rPr>
          <w:rFonts w:cstheme="minorHAnsi"/>
          <w:b/>
          <w:bCs/>
        </w:rPr>
      </w:pPr>
    </w:p>
    <w:p w14:paraId="5BEBB754" w14:textId="61CC6FA1" w:rsidR="00F941D9" w:rsidRPr="0065441F" w:rsidRDefault="00F941D9" w:rsidP="00F7019D">
      <w:pPr>
        <w:pStyle w:val="Tablecaption"/>
      </w:pPr>
      <w:r>
        <w:lastRenderedPageBreak/>
        <w:t xml:space="preserve">Table 1.3: </w:t>
      </w:r>
      <w:r w:rsidRPr="0065441F">
        <w:t xml:space="preserve">Wealth held in </w:t>
      </w:r>
      <w:r w:rsidR="00166234">
        <w:t xml:space="preserve">the </w:t>
      </w:r>
      <w:r>
        <w:t>G</w:t>
      </w:r>
      <w:r w:rsidRPr="0065441F">
        <w:t xml:space="preserve">lobal North </w:t>
      </w:r>
    </w:p>
    <w:tbl>
      <w:tblPr>
        <w:tblStyle w:val="TableGrid"/>
        <w:tblW w:w="0" w:type="auto"/>
        <w:tblInd w:w="-5" w:type="dxa"/>
        <w:tblLook w:val="04A0" w:firstRow="1" w:lastRow="0" w:firstColumn="1" w:lastColumn="0" w:noHBand="0" w:noVBand="1"/>
      </w:tblPr>
      <w:tblGrid>
        <w:gridCol w:w="1978"/>
        <w:gridCol w:w="1280"/>
        <w:gridCol w:w="1220"/>
        <w:gridCol w:w="1305"/>
        <w:gridCol w:w="1146"/>
      </w:tblGrid>
      <w:tr w:rsidR="00F941D9" w:rsidRPr="00C43014" w14:paraId="61F7DB2B" w14:textId="77777777" w:rsidTr="004D7D11">
        <w:trPr>
          <w:trHeight w:val="290"/>
        </w:trPr>
        <w:tc>
          <w:tcPr>
            <w:tcW w:w="1978" w:type="dxa"/>
            <w:noWrap/>
          </w:tcPr>
          <w:p w14:paraId="74E45DF9" w14:textId="77777777" w:rsidR="00F941D9" w:rsidRPr="00C43014" w:rsidRDefault="00F941D9" w:rsidP="00A733E6">
            <w:pPr>
              <w:pStyle w:val="Tableheading1"/>
              <w:rPr>
                <w:lang w:val="en-US"/>
              </w:rPr>
            </w:pPr>
            <w:r w:rsidRPr="00C43014">
              <w:rPr>
                <w:lang w:val="en-US"/>
              </w:rPr>
              <w:t>Area</w:t>
            </w:r>
          </w:p>
        </w:tc>
        <w:tc>
          <w:tcPr>
            <w:tcW w:w="1280" w:type="dxa"/>
            <w:noWrap/>
          </w:tcPr>
          <w:p w14:paraId="77F616BC" w14:textId="564C9026" w:rsidR="00F941D9" w:rsidRPr="00C43014" w:rsidRDefault="00F941D9" w:rsidP="00A733E6">
            <w:pPr>
              <w:pStyle w:val="Tableheading1"/>
              <w:rPr>
                <w:lang w:val="en-US"/>
              </w:rPr>
            </w:pPr>
            <w:r w:rsidRPr="00C43014">
              <w:rPr>
                <w:lang w:val="en-US"/>
              </w:rPr>
              <w:t>Population</w:t>
            </w:r>
            <w:r>
              <w:rPr>
                <w:lang w:val="en-US"/>
              </w:rPr>
              <w:t>, millions</w:t>
            </w:r>
            <w:r w:rsidR="004112D3">
              <w:rPr>
                <w:lang w:val="en-US"/>
              </w:rPr>
              <w:t xml:space="preserve"> (countries with wealth data)</w:t>
            </w:r>
          </w:p>
        </w:tc>
        <w:tc>
          <w:tcPr>
            <w:tcW w:w="1220" w:type="dxa"/>
            <w:noWrap/>
          </w:tcPr>
          <w:p w14:paraId="36D31F1C" w14:textId="145F62DD" w:rsidR="00F941D9" w:rsidRPr="00C43014" w:rsidRDefault="00F941D9" w:rsidP="00A733E6">
            <w:pPr>
              <w:pStyle w:val="Tableheading1"/>
              <w:rPr>
                <w:lang w:val="en-US"/>
              </w:rPr>
            </w:pPr>
            <w:r w:rsidRPr="00C43014">
              <w:rPr>
                <w:lang w:val="en-US"/>
              </w:rPr>
              <w:t xml:space="preserve">Total wealth, </w:t>
            </w:r>
            <w:proofErr w:type="spellStart"/>
            <w:r w:rsidRPr="00C43014">
              <w:rPr>
                <w:lang w:val="en-US"/>
              </w:rPr>
              <w:t>US$</w:t>
            </w:r>
            <w:r w:rsidR="00630696">
              <w:rPr>
                <w:lang w:val="en-US"/>
              </w:rPr>
              <w:t>bn</w:t>
            </w:r>
            <w:proofErr w:type="spellEnd"/>
            <w:r w:rsidR="00630696">
              <w:rPr>
                <w:lang w:val="en-US"/>
              </w:rPr>
              <w:t xml:space="preserve"> </w:t>
            </w:r>
          </w:p>
        </w:tc>
        <w:tc>
          <w:tcPr>
            <w:tcW w:w="1305" w:type="dxa"/>
            <w:noWrap/>
          </w:tcPr>
          <w:p w14:paraId="5C5D55E7" w14:textId="77777777" w:rsidR="00F941D9" w:rsidRPr="00C43014" w:rsidRDefault="00F941D9" w:rsidP="00A733E6">
            <w:pPr>
              <w:pStyle w:val="Tableheading1"/>
              <w:rPr>
                <w:lang w:val="en-US"/>
              </w:rPr>
            </w:pPr>
            <w:r w:rsidRPr="00C43014">
              <w:rPr>
                <w:lang w:val="en-US"/>
              </w:rPr>
              <w:t>Billionaires</w:t>
            </w:r>
          </w:p>
        </w:tc>
        <w:tc>
          <w:tcPr>
            <w:tcW w:w="1146" w:type="dxa"/>
            <w:noWrap/>
          </w:tcPr>
          <w:p w14:paraId="03B56BDE" w14:textId="48419EF1" w:rsidR="00F941D9" w:rsidRPr="00C43014" w:rsidRDefault="00F941D9" w:rsidP="00A733E6">
            <w:pPr>
              <w:pStyle w:val="Tableheading1"/>
              <w:rPr>
                <w:lang w:val="en-US"/>
              </w:rPr>
            </w:pPr>
            <w:r w:rsidRPr="00C43014">
              <w:rPr>
                <w:lang w:val="en-US"/>
              </w:rPr>
              <w:t>Billionaire wealth</w:t>
            </w:r>
            <w:r w:rsidR="00630696">
              <w:rPr>
                <w:lang w:val="en-US"/>
              </w:rPr>
              <w:t xml:space="preserve">, </w:t>
            </w:r>
            <w:proofErr w:type="spellStart"/>
            <w:r w:rsidR="00630696">
              <w:rPr>
                <w:lang w:val="en-US"/>
              </w:rPr>
              <w:t>US$bn</w:t>
            </w:r>
            <w:proofErr w:type="spellEnd"/>
          </w:p>
        </w:tc>
      </w:tr>
      <w:tr w:rsidR="00F941D9" w:rsidRPr="00C43014" w14:paraId="591DE2EA" w14:textId="77777777" w:rsidTr="004D7D11">
        <w:trPr>
          <w:trHeight w:val="290"/>
        </w:trPr>
        <w:tc>
          <w:tcPr>
            <w:tcW w:w="1978" w:type="dxa"/>
            <w:noWrap/>
            <w:hideMark/>
          </w:tcPr>
          <w:p w14:paraId="7C9FF14F" w14:textId="03985197" w:rsidR="00F941D9" w:rsidRPr="00C43014" w:rsidRDefault="00F941D9" w:rsidP="00A733E6">
            <w:pPr>
              <w:pStyle w:val="Tableheading2"/>
              <w:rPr>
                <w:lang w:val="en-US"/>
              </w:rPr>
            </w:pPr>
            <w:r w:rsidRPr="00C43014">
              <w:rPr>
                <w:lang w:val="en-US"/>
              </w:rPr>
              <w:t>World</w:t>
            </w:r>
            <w:r w:rsidR="00E12AF5">
              <w:rPr>
                <w:lang w:val="en-US"/>
              </w:rPr>
              <w:t xml:space="preserve"> </w:t>
            </w:r>
          </w:p>
        </w:tc>
        <w:tc>
          <w:tcPr>
            <w:tcW w:w="1280" w:type="dxa"/>
            <w:noWrap/>
            <w:hideMark/>
          </w:tcPr>
          <w:p w14:paraId="1EF96B19" w14:textId="7B877484" w:rsidR="00F941D9" w:rsidRPr="00C43014" w:rsidRDefault="00F941D9" w:rsidP="00A733E6">
            <w:pPr>
              <w:pStyle w:val="Tabletext"/>
              <w:rPr>
                <w:lang w:val="en-US"/>
              </w:rPr>
            </w:pPr>
            <w:r w:rsidRPr="00C43014">
              <w:rPr>
                <w:lang w:val="en-US"/>
              </w:rPr>
              <w:t>7,527</w:t>
            </w:r>
            <w:r>
              <w:rPr>
                <w:lang w:val="en-US"/>
              </w:rPr>
              <w:t>.</w:t>
            </w:r>
            <w:r w:rsidRPr="00C43014">
              <w:rPr>
                <w:lang w:val="en-US"/>
              </w:rPr>
              <w:t>503</w:t>
            </w:r>
          </w:p>
        </w:tc>
        <w:tc>
          <w:tcPr>
            <w:tcW w:w="1220" w:type="dxa"/>
            <w:noWrap/>
            <w:hideMark/>
          </w:tcPr>
          <w:p w14:paraId="618E5A3F" w14:textId="5E5324B9" w:rsidR="00F941D9" w:rsidRPr="00C43014" w:rsidRDefault="00F941D9" w:rsidP="00A733E6">
            <w:pPr>
              <w:pStyle w:val="Tabletext"/>
              <w:rPr>
                <w:lang w:val="en-US"/>
              </w:rPr>
            </w:pPr>
            <w:r w:rsidRPr="00C43014">
              <w:rPr>
                <w:lang w:val="en-US"/>
              </w:rPr>
              <w:t>454,385</w:t>
            </w:r>
          </w:p>
        </w:tc>
        <w:tc>
          <w:tcPr>
            <w:tcW w:w="1305" w:type="dxa"/>
            <w:noWrap/>
            <w:hideMark/>
          </w:tcPr>
          <w:p w14:paraId="2D291D9F" w14:textId="4B8D6820" w:rsidR="00F941D9" w:rsidRPr="00C43014" w:rsidRDefault="00F941D9" w:rsidP="00A733E6">
            <w:pPr>
              <w:pStyle w:val="Tabletext"/>
              <w:rPr>
                <w:lang w:val="en-US"/>
              </w:rPr>
            </w:pPr>
            <w:r w:rsidRPr="00C43014">
              <w:rPr>
                <w:lang w:val="en-US"/>
              </w:rPr>
              <w:t>2,</w:t>
            </w:r>
            <w:r w:rsidR="0029434A">
              <w:rPr>
                <w:lang w:val="en-US"/>
              </w:rPr>
              <w:t>56</w:t>
            </w:r>
            <w:r w:rsidR="002B253D">
              <w:rPr>
                <w:lang w:val="en-US"/>
              </w:rPr>
              <w:t>6</w:t>
            </w:r>
          </w:p>
        </w:tc>
        <w:tc>
          <w:tcPr>
            <w:tcW w:w="1146" w:type="dxa"/>
            <w:noWrap/>
            <w:hideMark/>
          </w:tcPr>
          <w:p w14:paraId="1D622478" w14:textId="60301041" w:rsidR="00F941D9" w:rsidRPr="00C43014" w:rsidRDefault="00F941D9" w:rsidP="00A733E6">
            <w:pPr>
              <w:pStyle w:val="Tabletext"/>
              <w:rPr>
                <w:lang w:val="en-US"/>
              </w:rPr>
            </w:pPr>
            <w:r w:rsidRPr="00C43014">
              <w:rPr>
                <w:lang w:val="en-US"/>
              </w:rPr>
              <w:t>12,</w:t>
            </w:r>
            <w:r w:rsidR="0029434A">
              <w:rPr>
                <w:lang w:val="en-US"/>
              </w:rPr>
              <w:t>844</w:t>
            </w:r>
          </w:p>
        </w:tc>
      </w:tr>
      <w:tr w:rsidR="00F941D9" w:rsidRPr="00C43014" w14:paraId="1406B6BA" w14:textId="77777777" w:rsidTr="004D7D11">
        <w:trPr>
          <w:trHeight w:val="290"/>
        </w:trPr>
        <w:tc>
          <w:tcPr>
            <w:tcW w:w="1978" w:type="dxa"/>
            <w:noWrap/>
            <w:hideMark/>
          </w:tcPr>
          <w:p w14:paraId="6A97043F" w14:textId="77777777" w:rsidR="00F941D9" w:rsidRPr="00C43014" w:rsidRDefault="00F941D9" w:rsidP="00A733E6">
            <w:pPr>
              <w:pStyle w:val="Tableheading2"/>
              <w:rPr>
                <w:lang w:val="en-US"/>
              </w:rPr>
            </w:pPr>
            <w:r w:rsidRPr="00C43014">
              <w:rPr>
                <w:lang w:val="en-US"/>
              </w:rPr>
              <w:t>Global North</w:t>
            </w:r>
          </w:p>
        </w:tc>
        <w:tc>
          <w:tcPr>
            <w:tcW w:w="1280" w:type="dxa"/>
            <w:noWrap/>
            <w:hideMark/>
          </w:tcPr>
          <w:p w14:paraId="3E8ACB8A" w14:textId="52C129F9" w:rsidR="00F941D9" w:rsidRPr="00BC59D9" w:rsidRDefault="00882374" w:rsidP="004D7D11">
            <w:pPr>
              <w:pStyle w:val="Tabletext"/>
              <w:rPr>
                <w:lang w:val="en-US"/>
              </w:rPr>
            </w:pPr>
            <w:r w:rsidRPr="00882374">
              <w:rPr>
                <w:lang w:val="en-US"/>
              </w:rPr>
              <w:t>1,549,709</w:t>
            </w:r>
          </w:p>
        </w:tc>
        <w:tc>
          <w:tcPr>
            <w:tcW w:w="1220" w:type="dxa"/>
            <w:noWrap/>
            <w:hideMark/>
          </w:tcPr>
          <w:p w14:paraId="6DAF4120" w14:textId="65A7DB93" w:rsidR="00F941D9" w:rsidRPr="00C43014" w:rsidRDefault="00882374" w:rsidP="004D7D11">
            <w:pPr>
              <w:pStyle w:val="Tabletext"/>
              <w:rPr>
                <w:lang w:val="en-US"/>
              </w:rPr>
            </w:pPr>
            <w:r w:rsidRPr="00882374">
              <w:rPr>
                <w:lang w:val="en-US"/>
              </w:rPr>
              <w:t>314,718</w:t>
            </w:r>
          </w:p>
        </w:tc>
        <w:tc>
          <w:tcPr>
            <w:tcW w:w="1305" w:type="dxa"/>
            <w:noWrap/>
            <w:hideMark/>
          </w:tcPr>
          <w:p w14:paraId="77625A37" w14:textId="52C3B547" w:rsidR="00F941D9" w:rsidRPr="00C43014" w:rsidRDefault="00882374" w:rsidP="004D7D11">
            <w:pPr>
              <w:pStyle w:val="Tabletext"/>
              <w:rPr>
                <w:lang w:val="en-US"/>
              </w:rPr>
            </w:pPr>
            <w:r w:rsidRPr="00882374">
              <w:rPr>
                <w:lang w:val="en-US"/>
              </w:rPr>
              <w:t>1,668</w:t>
            </w:r>
          </w:p>
        </w:tc>
        <w:tc>
          <w:tcPr>
            <w:tcW w:w="1146" w:type="dxa"/>
            <w:noWrap/>
            <w:hideMark/>
          </w:tcPr>
          <w:p w14:paraId="132BD7E9" w14:textId="16B64287" w:rsidR="00F941D9" w:rsidRPr="00C43014" w:rsidRDefault="00882374" w:rsidP="004D7D11">
            <w:pPr>
              <w:pStyle w:val="Tabletext"/>
              <w:rPr>
                <w:lang w:val="en-US"/>
              </w:rPr>
            </w:pPr>
            <w:r w:rsidRPr="00882374">
              <w:rPr>
                <w:lang w:val="en-US"/>
              </w:rPr>
              <w:t>9,537</w:t>
            </w:r>
          </w:p>
        </w:tc>
      </w:tr>
      <w:tr w:rsidR="00F941D9" w:rsidRPr="00C43014" w14:paraId="1567477C" w14:textId="77777777" w:rsidTr="004D7D11">
        <w:trPr>
          <w:trHeight w:val="290"/>
        </w:trPr>
        <w:tc>
          <w:tcPr>
            <w:tcW w:w="1978" w:type="dxa"/>
            <w:noWrap/>
            <w:hideMark/>
          </w:tcPr>
          <w:p w14:paraId="609CB012" w14:textId="490CA25A" w:rsidR="00F941D9" w:rsidRPr="006E28CD" w:rsidRDefault="003F4469" w:rsidP="004D7D11">
            <w:pPr>
              <w:pStyle w:val="Tableheading1"/>
              <w:rPr>
                <w:lang w:val="en-US"/>
              </w:rPr>
            </w:pPr>
            <w:r>
              <w:rPr>
                <w:lang w:val="en-US"/>
              </w:rPr>
              <w:t xml:space="preserve">Share of Global </w:t>
            </w:r>
            <w:r w:rsidR="00630696">
              <w:rPr>
                <w:lang w:val="en-US"/>
              </w:rPr>
              <w:t xml:space="preserve">North, </w:t>
            </w:r>
            <w:r w:rsidR="00166234">
              <w:rPr>
                <w:lang w:val="en-US"/>
              </w:rPr>
              <w:t>%</w:t>
            </w:r>
          </w:p>
        </w:tc>
        <w:tc>
          <w:tcPr>
            <w:tcW w:w="1280" w:type="dxa"/>
            <w:noWrap/>
            <w:hideMark/>
          </w:tcPr>
          <w:p w14:paraId="761B8CB6" w14:textId="7B76F3B1" w:rsidR="00F941D9" w:rsidRPr="006E28CD" w:rsidRDefault="00882DB3" w:rsidP="004D7D11">
            <w:pPr>
              <w:pStyle w:val="Tableheading1"/>
              <w:rPr>
                <w:lang w:val="en-US"/>
              </w:rPr>
            </w:pPr>
            <w:r>
              <w:rPr>
                <w:lang w:val="en-US"/>
              </w:rPr>
              <w:t>20.6</w:t>
            </w:r>
            <w:r w:rsidR="00F941D9" w:rsidRPr="006E28CD">
              <w:rPr>
                <w:lang w:val="en-US"/>
              </w:rPr>
              <w:t xml:space="preserve"> </w:t>
            </w:r>
            <w:r w:rsidR="00980956">
              <w:rPr>
                <w:lang w:val="en-US"/>
              </w:rPr>
              <w:t>%</w:t>
            </w:r>
          </w:p>
        </w:tc>
        <w:tc>
          <w:tcPr>
            <w:tcW w:w="1220" w:type="dxa"/>
            <w:noWrap/>
            <w:hideMark/>
          </w:tcPr>
          <w:p w14:paraId="19F20AB8" w14:textId="1D6FC051" w:rsidR="00F941D9" w:rsidRPr="006E28CD" w:rsidRDefault="00F941D9" w:rsidP="004D7D11">
            <w:pPr>
              <w:pStyle w:val="Tableheading1"/>
              <w:rPr>
                <w:lang w:val="en-US"/>
              </w:rPr>
            </w:pPr>
            <w:r w:rsidRPr="006E28CD">
              <w:rPr>
                <w:lang w:val="en-US"/>
              </w:rPr>
              <w:t>6</w:t>
            </w:r>
            <w:r w:rsidR="00882DB3">
              <w:rPr>
                <w:lang w:val="en-US"/>
              </w:rPr>
              <w:t>9.3</w:t>
            </w:r>
            <w:r w:rsidR="00980956">
              <w:rPr>
                <w:lang w:val="en-US"/>
              </w:rPr>
              <w:t>%</w:t>
            </w:r>
            <w:r w:rsidRPr="006E28CD">
              <w:rPr>
                <w:lang w:val="en-US"/>
              </w:rPr>
              <w:t xml:space="preserve"> </w:t>
            </w:r>
          </w:p>
        </w:tc>
        <w:tc>
          <w:tcPr>
            <w:tcW w:w="1305" w:type="dxa"/>
            <w:noWrap/>
            <w:hideMark/>
          </w:tcPr>
          <w:p w14:paraId="7591FE32" w14:textId="3CB9B7FD" w:rsidR="00F941D9" w:rsidRPr="006E28CD" w:rsidRDefault="00F941D9" w:rsidP="004D7D11">
            <w:pPr>
              <w:pStyle w:val="Tableheading1"/>
              <w:rPr>
                <w:lang w:val="en-US"/>
              </w:rPr>
            </w:pPr>
            <w:r w:rsidRPr="006E28CD">
              <w:rPr>
                <w:lang w:val="en-US"/>
              </w:rPr>
              <w:t>64.</w:t>
            </w:r>
            <w:r w:rsidR="009E06A0">
              <w:rPr>
                <w:lang w:val="en-US"/>
              </w:rPr>
              <w:t>5</w:t>
            </w:r>
            <w:r w:rsidR="00980956">
              <w:rPr>
                <w:lang w:val="en-US"/>
              </w:rPr>
              <w:t>%</w:t>
            </w:r>
            <w:r w:rsidRPr="006E28CD">
              <w:rPr>
                <w:lang w:val="en-US"/>
              </w:rPr>
              <w:t xml:space="preserve"> </w:t>
            </w:r>
          </w:p>
        </w:tc>
        <w:tc>
          <w:tcPr>
            <w:tcW w:w="1146" w:type="dxa"/>
            <w:noWrap/>
            <w:hideMark/>
          </w:tcPr>
          <w:p w14:paraId="7CD1BDB2" w14:textId="3BD43F80" w:rsidR="00F941D9" w:rsidRPr="006E28CD" w:rsidRDefault="00F941D9" w:rsidP="004D7D11">
            <w:pPr>
              <w:pStyle w:val="Tableheading1"/>
              <w:rPr>
                <w:lang w:val="en-US"/>
              </w:rPr>
            </w:pPr>
            <w:r w:rsidRPr="006E28CD">
              <w:rPr>
                <w:lang w:val="en-US"/>
              </w:rPr>
              <w:t>7</w:t>
            </w:r>
            <w:r w:rsidR="00882DB3">
              <w:rPr>
                <w:lang w:val="en-US"/>
              </w:rPr>
              <w:t>4.2</w:t>
            </w:r>
            <w:r w:rsidR="00980956">
              <w:rPr>
                <w:lang w:val="en-US"/>
              </w:rPr>
              <w:t>%</w:t>
            </w:r>
          </w:p>
        </w:tc>
      </w:tr>
    </w:tbl>
    <w:p w14:paraId="7BED2E02" w14:textId="3920A3D1" w:rsidR="00F941D9" w:rsidRPr="005535D6" w:rsidRDefault="00F941D9" w:rsidP="005535D6">
      <w:pPr>
        <w:pStyle w:val="Text"/>
        <w:rPr>
          <w:b/>
          <w:bCs/>
        </w:rPr>
      </w:pPr>
      <w:r w:rsidRPr="005535D6">
        <w:rPr>
          <w:b/>
          <w:bCs/>
        </w:rPr>
        <w:t>1.</w:t>
      </w:r>
      <w:r w:rsidR="00154181" w:rsidRPr="005535D6">
        <w:rPr>
          <w:b/>
          <w:bCs/>
        </w:rPr>
        <w:t>4</w:t>
      </w:r>
      <w:r w:rsidRPr="005535D6">
        <w:rPr>
          <w:b/>
          <w:bCs/>
        </w:rPr>
        <w:t xml:space="preserve">. Globally, men own </w:t>
      </w:r>
      <w:r w:rsidR="001D12FD">
        <w:rPr>
          <w:b/>
          <w:bCs/>
        </w:rPr>
        <w:t>US</w:t>
      </w:r>
      <w:r w:rsidRPr="005535D6">
        <w:rPr>
          <w:b/>
          <w:bCs/>
        </w:rPr>
        <w:t>$105 trillion more wealth than women</w:t>
      </w:r>
      <w:r w:rsidR="004C6AD6" w:rsidRPr="005535D6">
        <w:rPr>
          <w:b/>
          <w:bCs/>
        </w:rPr>
        <w:t xml:space="preserve"> – </w:t>
      </w:r>
      <w:r w:rsidRPr="005535D6">
        <w:rPr>
          <w:b/>
          <w:bCs/>
        </w:rPr>
        <w:t>equivalent to four times the size of the US economy.</w:t>
      </w:r>
    </w:p>
    <w:p w14:paraId="7E7B8F65" w14:textId="5995E5E1" w:rsidR="005E1840" w:rsidRDefault="00F941D9" w:rsidP="005535D6">
      <w:pPr>
        <w:pStyle w:val="Text"/>
        <w:rPr>
          <w:rFonts w:cstheme="minorHAnsi"/>
        </w:rPr>
      </w:pPr>
      <w:r w:rsidRPr="00A752CF">
        <w:rPr>
          <w:rFonts w:cstheme="minorHAnsi"/>
        </w:rPr>
        <w:t xml:space="preserve">According to the Credit Suisse </w:t>
      </w:r>
      <w:r w:rsidRPr="00D935D6">
        <w:rPr>
          <w:rFonts w:cstheme="minorHAnsi"/>
          <w:i/>
          <w:iCs/>
        </w:rPr>
        <w:t>2018 Global Wealth Databook</w:t>
      </w:r>
      <w:r w:rsidR="005C2687">
        <w:rPr>
          <w:rFonts w:cstheme="minorHAnsi"/>
        </w:rPr>
        <w:t>,</w:t>
      </w:r>
      <w:r w:rsidRPr="00A752CF">
        <w:rPr>
          <w:rFonts w:cstheme="minorHAnsi"/>
          <w:vertAlign w:val="superscript"/>
        </w:rPr>
        <w:endnoteReference w:id="24"/>
      </w:r>
      <w:r w:rsidRPr="00A752CF">
        <w:rPr>
          <w:rFonts w:cstheme="minorHAnsi"/>
        </w:rPr>
        <w:t xml:space="preserve"> women own between 35% </w:t>
      </w:r>
      <w:r w:rsidR="00153A37">
        <w:rPr>
          <w:rFonts w:cstheme="minorHAnsi"/>
        </w:rPr>
        <w:t>and</w:t>
      </w:r>
      <w:r w:rsidR="00153A37" w:rsidRPr="00A752CF">
        <w:rPr>
          <w:rFonts w:cstheme="minorHAnsi"/>
        </w:rPr>
        <w:t xml:space="preserve"> </w:t>
      </w:r>
      <w:r w:rsidRPr="00A752CF">
        <w:rPr>
          <w:rFonts w:cstheme="minorHAnsi"/>
        </w:rPr>
        <w:t xml:space="preserve">42% of the global wealth, which averages to 38.5%. </w:t>
      </w:r>
      <w:r w:rsidR="000B4D31">
        <w:rPr>
          <w:rFonts w:cstheme="minorHAnsi"/>
        </w:rPr>
        <w:t xml:space="preserve">We use estimates </w:t>
      </w:r>
      <w:r w:rsidR="004C6AD6">
        <w:rPr>
          <w:rFonts w:cstheme="minorHAnsi"/>
        </w:rPr>
        <w:t xml:space="preserve">from 2018, </w:t>
      </w:r>
      <w:r w:rsidR="000B4D31">
        <w:rPr>
          <w:rFonts w:cstheme="minorHAnsi"/>
        </w:rPr>
        <w:t xml:space="preserve">as it </w:t>
      </w:r>
      <w:r w:rsidR="0036778C">
        <w:rPr>
          <w:rFonts w:cstheme="minorHAnsi"/>
        </w:rPr>
        <w:t xml:space="preserve">is </w:t>
      </w:r>
      <w:r w:rsidR="00185FD6">
        <w:rPr>
          <w:rFonts w:cstheme="minorHAnsi"/>
        </w:rPr>
        <w:t xml:space="preserve">the </w:t>
      </w:r>
      <w:r w:rsidR="000E273C" w:rsidRPr="000E273C">
        <w:rPr>
          <w:rFonts w:cstheme="minorHAnsi"/>
        </w:rPr>
        <w:t xml:space="preserve">most recent </w:t>
      </w:r>
      <w:r w:rsidR="002005EC">
        <w:rPr>
          <w:rFonts w:cstheme="minorHAnsi"/>
        </w:rPr>
        <w:t xml:space="preserve">year </w:t>
      </w:r>
      <w:r w:rsidR="0036778C">
        <w:rPr>
          <w:rFonts w:cstheme="minorHAnsi"/>
        </w:rPr>
        <w:t>Credi</w:t>
      </w:r>
      <w:r w:rsidR="004C6AD6">
        <w:rPr>
          <w:rFonts w:cstheme="minorHAnsi"/>
        </w:rPr>
        <w:t>t</w:t>
      </w:r>
      <w:r w:rsidR="0036778C">
        <w:rPr>
          <w:rFonts w:cstheme="minorHAnsi"/>
        </w:rPr>
        <w:t xml:space="preserve"> Suisse (now absorbed by UBS)</w:t>
      </w:r>
      <w:r w:rsidR="00E065D2">
        <w:rPr>
          <w:rFonts w:cstheme="minorHAnsi"/>
        </w:rPr>
        <w:t xml:space="preserve"> did a </w:t>
      </w:r>
      <w:r w:rsidR="00185FD6" w:rsidRPr="000E273C">
        <w:rPr>
          <w:rFonts w:cstheme="minorHAnsi"/>
        </w:rPr>
        <w:t>global wealth distribution estimate</w:t>
      </w:r>
      <w:r w:rsidR="000E273C" w:rsidRPr="000E273C">
        <w:rPr>
          <w:rFonts w:cstheme="minorHAnsi"/>
        </w:rPr>
        <w:t xml:space="preserve"> by gender. We assume that since 2018, the share of women</w:t>
      </w:r>
      <w:r w:rsidR="004C6AD6">
        <w:rPr>
          <w:rFonts w:cstheme="minorHAnsi"/>
        </w:rPr>
        <w:t>’s</w:t>
      </w:r>
      <w:r w:rsidR="000E273C" w:rsidRPr="000E273C">
        <w:rPr>
          <w:rFonts w:cstheme="minorHAnsi"/>
        </w:rPr>
        <w:t xml:space="preserve"> and men’s wealth has remained the same</w:t>
      </w:r>
      <w:r w:rsidR="002005EC">
        <w:rPr>
          <w:rFonts w:cstheme="minorHAnsi"/>
        </w:rPr>
        <w:t>.</w:t>
      </w:r>
    </w:p>
    <w:p w14:paraId="25254D20" w14:textId="141A22DA" w:rsidR="00154181" w:rsidRDefault="00F941D9" w:rsidP="005535D6">
      <w:pPr>
        <w:pStyle w:val="Text"/>
        <w:rPr>
          <w:rFonts w:cstheme="minorHAnsi"/>
        </w:rPr>
      </w:pPr>
      <w:r w:rsidRPr="00A752CF">
        <w:rPr>
          <w:rFonts w:cstheme="minorHAnsi"/>
        </w:rPr>
        <w:t xml:space="preserve">In 2023, total global wealth was estimated at </w:t>
      </w:r>
      <w:r w:rsidR="00D935D6">
        <w:rPr>
          <w:rFonts w:cstheme="minorHAnsi"/>
        </w:rPr>
        <w:t>US</w:t>
      </w:r>
      <w:r w:rsidRPr="00A752CF">
        <w:rPr>
          <w:rFonts w:cstheme="minorHAnsi"/>
        </w:rPr>
        <w:t>$454 trillion by UBS.</w:t>
      </w:r>
      <w:r w:rsidRPr="00A752CF">
        <w:rPr>
          <w:rFonts w:cstheme="minorHAnsi"/>
          <w:vertAlign w:val="superscript"/>
        </w:rPr>
        <w:endnoteReference w:id="25"/>
      </w:r>
      <w:r w:rsidR="00D935D6">
        <w:rPr>
          <w:rFonts w:cstheme="minorHAnsi"/>
        </w:rPr>
        <w:t xml:space="preserve"> </w:t>
      </w:r>
      <w:r w:rsidRPr="00A752CF">
        <w:rPr>
          <w:rFonts w:cstheme="minorHAnsi"/>
        </w:rPr>
        <w:t xml:space="preserve">Applying the women’s wealth share of 38.5% to the 2022 global wealth, in 2022 </w:t>
      </w:r>
      <w:r w:rsidR="004C6AD6">
        <w:rPr>
          <w:rFonts w:cstheme="minorHAnsi"/>
        </w:rPr>
        <w:t xml:space="preserve">women </w:t>
      </w:r>
      <w:r w:rsidRPr="00A752CF">
        <w:rPr>
          <w:rFonts w:cstheme="minorHAnsi"/>
        </w:rPr>
        <w:t xml:space="preserve">owned US$175 trillion, while men owned US$279 trillion. The difference between the two is US$105 trillion. </w:t>
      </w:r>
    </w:p>
    <w:p w14:paraId="6F020E4B" w14:textId="1BB0905F" w:rsidR="005535D6" w:rsidRPr="005535D6" w:rsidRDefault="00F941D9" w:rsidP="005535D6">
      <w:pPr>
        <w:pStyle w:val="Text"/>
        <w:rPr>
          <w:rFonts w:cstheme="minorHAnsi"/>
        </w:rPr>
      </w:pPr>
      <w:r w:rsidRPr="00A752CF">
        <w:rPr>
          <w:rFonts w:cstheme="minorHAnsi"/>
        </w:rPr>
        <w:t xml:space="preserve">According to the </w:t>
      </w:r>
      <w:r w:rsidR="00D8643F">
        <w:rPr>
          <w:rFonts w:cstheme="minorHAnsi"/>
        </w:rPr>
        <w:t>International Monetary Fund (</w:t>
      </w:r>
      <w:r w:rsidRPr="00A752CF">
        <w:rPr>
          <w:rFonts w:cstheme="minorHAnsi"/>
        </w:rPr>
        <w:t>IMF</w:t>
      </w:r>
      <w:r w:rsidR="00D8643F">
        <w:rPr>
          <w:rFonts w:cstheme="minorHAnsi"/>
        </w:rPr>
        <w:t>)</w:t>
      </w:r>
      <w:r w:rsidRPr="00A752CF">
        <w:rPr>
          <w:rFonts w:cstheme="minorHAnsi"/>
        </w:rPr>
        <w:t xml:space="preserve"> Oct</w:t>
      </w:r>
      <w:r w:rsidR="004C6AD6">
        <w:rPr>
          <w:rFonts w:cstheme="minorHAnsi"/>
        </w:rPr>
        <w:t>ober</w:t>
      </w:r>
      <w:r w:rsidRPr="00A752CF">
        <w:rPr>
          <w:rFonts w:cstheme="minorHAnsi"/>
        </w:rPr>
        <w:t xml:space="preserve"> 2023 World Economic Outlook</w:t>
      </w:r>
      <w:r w:rsidRPr="00A752CF">
        <w:rPr>
          <w:rFonts w:cstheme="minorHAnsi"/>
          <w:vertAlign w:val="superscript"/>
        </w:rPr>
        <w:endnoteReference w:id="26"/>
      </w:r>
      <w:r w:rsidRPr="00A752CF">
        <w:rPr>
          <w:rFonts w:cstheme="minorHAnsi"/>
        </w:rPr>
        <w:t xml:space="preserve"> the </w:t>
      </w:r>
      <w:r>
        <w:rPr>
          <w:rFonts w:cstheme="minorHAnsi"/>
        </w:rPr>
        <w:t xml:space="preserve">GDP of </w:t>
      </w:r>
      <w:r w:rsidR="004C6AD6">
        <w:rPr>
          <w:rFonts w:cstheme="minorHAnsi"/>
        </w:rPr>
        <w:t xml:space="preserve">the </w:t>
      </w:r>
      <w:r>
        <w:rPr>
          <w:rFonts w:cstheme="minorHAnsi"/>
        </w:rPr>
        <w:t>US</w:t>
      </w:r>
      <w:r w:rsidR="004C6AD6">
        <w:rPr>
          <w:rFonts w:cstheme="minorHAnsi"/>
        </w:rPr>
        <w:t>A</w:t>
      </w:r>
      <w:r>
        <w:rPr>
          <w:rFonts w:cstheme="minorHAnsi"/>
        </w:rPr>
        <w:t xml:space="preserve"> </w:t>
      </w:r>
      <w:r w:rsidRPr="00A752CF">
        <w:rPr>
          <w:rFonts w:cstheme="minorHAnsi"/>
        </w:rPr>
        <w:t>was US$</w:t>
      </w:r>
      <w:r>
        <w:rPr>
          <w:rFonts w:cstheme="minorHAnsi"/>
        </w:rPr>
        <w:t xml:space="preserve">26.8 </w:t>
      </w:r>
      <w:r w:rsidRPr="00A752CF">
        <w:rPr>
          <w:rFonts w:cstheme="minorHAnsi"/>
        </w:rPr>
        <w:t>trillion in 2023</w:t>
      </w:r>
      <w:r>
        <w:rPr>
          <w:rFonts w:cstheme="minorHAnsi"/>
        </w:rPr>
        <w:t xml:space="preserve">, meaning that the difference between men’s and women’s wealth is four times the size of </w:t>
      </w:r>
      <w:r w:rsidR="00D8643F">
        <w:rPr>
          <w:rFonts w:cstheme="minorHAnsi"/>
        </w:rPr>
        <w:t xml:space="preserve">the </w:t>
      </w:r>
      <w:r>
        <w:rPr>
          <w:rFonts w:cstheme="minorHAnsi"/>
        </w:rPr>
        <w:t xml:space="preserve">US economy. </w:t>
      </w:r>
    </w:p>
    <w:p w14:paraId="0BED2FDF" w14:textId="22DFFFFB" w:rsidR="00F941D9" w:rsidRPr="00056307" w:rsidRDefault="00F941D9" w:rsidP="005535D6">
      <w:pPr>
        <w:pStyle w:val="Tablecaption"/>
      </w:pPr>
      <w:r>
        <w:t xml:space="preserve">Table 1.4: </w:t>
      </w:r>
      <w:r w:rsidR="00D8643F">
        <w:t>Difference in w</w:t>
      </w:r>
      <w:r w:rsidRPr="00056307">
        <w:t>ealth held by women</w:t>
      </w:r>
      <w:r>
        <w:t xml:space="preserve"> </w:t>
      </w:r>
      <w:r w:rsidR="00D8643F">
        <w:t xml:space="preserve">and men </w:t>
      </w:r>
      <w:proofErr w:type="gramStart"/>
      <w:r w:rsidR="00980956">
        <w:t>globally</w:t>
      </w:r>
      <w:proofErr w:type="gramEnd"/>
    </w:p>
    <w:tbl>
      <w:tblPr>
        <w:tblStyle w:val="TableGrid"/>
        <w:tblW w:w="0" w:type="auto"/>
        <w:tblInd w:w="-5" w:type="dxa"/>
        <w:tblLook w:val="04A0" w:firstRow="1" w:lastRow="0" w:firstColumn="1" w:lastColumn="0" w:noHBand="0" w:noVBand="1"/>
      </w:tblPr>
      <w:tblGrid>
        <w:gridCol w:w="4018"/>
        <w:gridCol w:w="2928"/>
      </w:tblGrid>
      <w:tr w:rsidR="00980956" w:rsidRPr="00980956" w14:paraId="284429E2" w14:textId="77777777" w:rsidTr="005535D6">
        <w:trPr>
          <w:trHeight w:val="290"/>
        </w:trPr>
        <w:tc>
          <w:tcPr>
            <w:tcW w:w="4018" w:type="dxa"/>
            <w:hideMark/>
          </w:tcPr>
          <w:p w14:paraId="598932DB" w14:textId="77777777" w:rsidR="00980956" w:rsidRPr="00980956" w:rsidRDefault="00980956" w:rsidP="00980956">
            <w:pPr>
              <w:spacing w:line="259" w:lineRule="auto"/>
              <w:rPr>
                <w:rFonts w:cstheme="minorHAnsi"/>
              </w:rPr>
            </w:pPr>
            <w:r w:rsidRPr="00980956">
              <w:rPr>
                <w:rFonts w:cstheme="minorHAnsi"/>
              </w:rPr>
              <w:t> </w:t>
            </w:r>
          </w:p>
        </w:tc>
        <w:tc>
          <w:tcPr>
            <w:tcW w:w="2928" w:type="dxa"/>
            <w:hideMark/>
          </w:tcPr>
          <w:p w14:paraId="7F70DFBC" w14:textId="7F3F47E8" w:rsidR="00980956" w:rsidRPr="00980956" w:rsidRDefault="00980956" w:rsidP="005535D6">
            <w:pPr>
              <w:pStyle w:val="Tableheading1"/>
            </w:pPr>
            <w:r w:rsidRPr="00980956">
              <w:t>US</w:t>
            </w:r>
            <w:r>
              <w:t>$ trillions</w:t>
            </w:r>
          </w:p>
        </w:tc>
      </w:tr>
      <w:tr w:rsidR="00980956" w:rsidRPr="00980956" w14:paraId="13C2A9E5" w14:textId="77777777" w:rsidTr="005535D6">
        <w:trPr>
          <w:trHeight w:val="290"/>
        </w:trPr>
        <w:tc>
          <w:tcPr>
            <w:tcW w:w="4018" w:type="dxa"/>
            <w:noWrap/>
            <w:hideMark/>
          </w:tcPr>
          <w:p w14:paraId="5A077CDF" w14:textId="7C5F8439" w:rsidR="00980956" w:rsidRPr="00980956" w:rsidRDefault="00980956" w:rsidP="005535D6">
            <w:pPr>
              <w:pStyle w:val="Tableheading2"/>
            </w:pPr>
            <w:r>
              <w:t>Women’s</w:t>
            </w:r>
            <w:r w:rsidRPr="00980956">
              <w:t xml:space="preserve"> wealth</w:t>
            </w:r>
          </w:p>
        </w:tc>
        <w:tc>
          <w:tcPr>
            <w:tcW w:w="2928" w:type="dxa"/>
            <w:noWrap/>
            <w:hideMark/>
          </w:tcPr>
          <w:p w14:paraId="6C4E5292" w14:textId="77777777" w:rsidR="00980956" w:rsidRPr="00980956" w:rsidRDefault="00980956" w:rsidP="005535D6">
            <w:pPr>
              <w:pStyle w:val="Tabletext"/>
            </w:pPr>
            <w:r w:rsidRPr="00980956">
              <w:t>175</w:t>
            </w:r>
          </w:p>
        </w:tc>
      </w:tr>
      <w:tr w:rsidR="00980956" w:rsidRPr="00980956" w14:paraId="0DC5CA0E" w14:textId="77777777" w:rsidTr="005535D6">
        <w:trPr>
          <w:trHeight w:val="290"/>
        </w:trPr>
        <w:tc>
          <w:tcPr>
            <w:tcW w:w="4018" w:type="dxa"/>
            <w:noWrap/>
            <w:hideMark/>
          </w:tcPr>
          <w:p w14:paraId="2DFC7D99" w14:textId="3D7D0222" w:rsidR="00980956" w:rsidRPr="00980956" w:rsidRDefault="00980956" w:rsidP="005535D6">
            <w:pPr>
              <w:pStyle w:val="Tableheading2"/>
            </w:pPr>
            <w:r w:rsidRPr="00980956">
              <w:t>M</w:t>
            </w:r>
            <w:r>
              <w:t>en’s</w:t>
            </w:r>
            <w:r w:rsidRPr="00980956">
              <w:t xml:space="preserve"> wealth</w:t>
            </w:r>
          </w:p>
        </w:tc>
        <w:tc>
          <w:tcPr>
            <w:tcW w:w="2928" w:type="dxa"/>
            <w:noWrap/>
            <w:hideMark/>
          </w:tcPr>
          <w:p w14:paraId="4A6B3464" w14:textId="77777777" w:rsidR="00980956" w:rsidRPr="00980956" w:rsidRDefault="00980956" w:rsidP="005535D6">
            <w:pPr>
              <w:pStyle w:val="Tabletext"/>
            </w:pPr>
            <w:r w:rsidRPr="00980956">
              <w:t>279</w:t>
            </w:r>
          </w:p>
        </w:tc>
      </w:tr>
      <w:tr w:rsidR="00980956" w:rsidRPr="00980956" w14:paraId="18379765" w14:textId="77777777" w:rsidTr="005535D6">
        <w:trPr>
          <w:trHeight w:val="520"/>
        </w:trPr>
        <w:tc>
          <w:tcPr>
            <w:tcW w:w="4018" w:type="dxa"/>
            <w:hideMark/>
          </w:tcPr>
          <w:p w14:paraId="4CBDD2E7" w14:textId="3CDA79CA" w:rsidR="00980956" w:rsidRPr="00980956" w:rsidRDefault="00980956" w:rsidP="005535D6">
            <w:pPr>
              <w:pStyle w:val="Tableheading2"/>
            </w:pPr>
            <w:r w:rsidRPr="00980956">
              <w:t>Difference between men</w:t>
            </w:r>
            <w:r>
              <w:t>’s</w:t>
            </w:r>
            <w:r w:rsidRPr="00980956">
              <w:t xml:space="preserve"> and women</w:t>
            </w:r>
            <w:r>
              <w:t>’s</w:t>
            </w:r>
            <w:r w:rsidRPr="00980956">
              <w:t xml:space="preserve"> wealth</w:t>
            </w:r>
          </w:p>
        </w:tc>
        <w:tc>
          <w:tcPr>
            <w:tcW w:w="2928" w:type="dxa"/>
            <w:noWrap/>
            <w:hideMark/>
          </w:tcPr>
          <w:p w14:paraId="2950B4DF" w14:textId="77777777" w:rsidR="00980956" w:rsidRPr="00980956" w:rsidRDefault="00980956" w:rsidP="005535D6">
            <w:pPr>
              <w:pStyle w:val="Tabletext"/>
            </w:pPr>
            <w:r w:rsidRPr="00980956">
              <w:t>105</w:t>
            </w:r>
          </w:p>
        </w:tc>
      </w:tr>
      <w:tr w:rsidR="00980956" w:rsidRPr="00980956" w14:paraId="2E66D89D" w14:textId="77777777" w:rsidTr="005535D6">
        <w:trPr>
          <w:trHeight w:val="290"/>
        </w:trPr>
        <w:tc>
          <w:tcPr>
            <w:tcW w:w="4018" w:type="dxa"/>
            <w:noWrap/>
            <w:hideMark/>
          </w:tcPr>
          <w:p w14:paraId="27B7C300" w14:textId="025133B0" w:rsidR="00980956" w:rsidRPr="00980956" w:rsidRDefault="00980956" w:rsidP="005535D6">
            <w:pPr>
              <w:pStyle w:val="Tableheading2"/>
            </w:pPr>
            <w:r w:rsidRPr="00980956">
              <w:t>US GDP, 2023</w:t>
            </w:r>
          </w:p>
        </w:tc>
        <w:tc>
          <w:tcPr>
            <w:tcW w:w="2928" w:type="dxa"/>
            <w:noWrap/>
            <w:hideMark/>
          </w:tcPr>
          <w:p w14:paraId="4FC0B183" w14:textId="1D592AB4" w:rsidR="00980956" w:rsidRPr="00980956" w:rsidRDefault="00980956" w:rsidP="005535D6">
            <w:pPr>
              <w:pStyle w:val="Tabletext"/>
            </w:pPr>
            <w:r w:rsidRPr="00980956">
              <w:t xml:space="preserve">26.9 </w:t>
            </w:r>
          </w:p>
        </w:tc>
      </w:tr>
    </w:tbl>
    <w:p w14:paraId="10FEDFC3" w14:textId="053220A6" w:rsidR="00BD6930" w:rsidRPr="000D7426" w:rsidRDefault="00BD6930" w:rsidP="000D7426">
      <w:pPr>
        <w:pStyle w:val="Text"/>
        <w:rPr>
          <w:b/>
          <w:bCs/>
        </w:rPr>
      </w:pPr>
      <w:r w:rsidRPr="000D7426">
        <w:rPr>
          <w:b/>
          <w:bCs/>
        </w:rPr>
        <w:t>1.5</w:t>
      </w:r>
      <w:r w:rsidR="00895066">
        <w:rPr>
          <w:b/>
          <w:bCs/>
        </w:rPr>
        <w:t>.</w:t>
      </w:r>
      <w:r w:rsidRPr="000D7426">
        <w:rPr>
          <w:b/>
          <w:bCs/>
        </w:rPr>
        <w:t xml:space="preserve"> </w:t>
      </w:r>
      <w:r w:rsidR="0088646C" w:rsidRPr="000D7426">
        <w:rPr>
          <w:b/>
          <w:bCs/>
        </w:rPr>
        <w:t>If the current trend continue</w:t>
      </w:r>
      <w:r w:rsidR="009210EB" w:rsidRPr="000D7426">
        <w:rPr>
          <w:b/>
          <w:bCs/>
        </w:rPr>
        <w:t>s</w:t>
      </w:r>
      <w:r w:rsidR="0088646C" w:rsidRPr="000D7426">
        <w:rPr>
          <w:b/>
          <w:bCs/>
        </w:rPr>
        <w:t xml:space="preserve">, we will see the first trillionaire in </w:t>
      </w:r>
      <w:r w:rsidR="004C6AD6" w:rsidRPr="000D7426">
        <w:rPr>
          <w:b/>
          <w:bCs/>
        </w:rPr>
        <w:t>10</w:t>
      </w:r>
      <w:r w:rsidR="0088646C" w:rsidRPr="000D7426">
        <w:rPr>
          <w:b/>
          <w:bCs/>
        </w:rPr>
        <w:t xml:space="preserve"> years, but we will not eliminate poverty for 230 years.</w:t>
      </w:r>
    </w:p>
    <w:p w14:paraId="29B8532D" w14:textId="475D0E54" w:rsidR="000D7426" w:rsidRPr="000D7426" w:rsidRDefault="00F941D9" w:rsidP="000D7426">
      <w:pPr>
        <w:pStyle w:val="Text"/>
        <w:rPr>
          <w:b/>
          <w:bCs/>
        </w:rPr>
      </w:pPr>
      <w:r w:rsidRPr="000D7426">
        <w:rPr>
          <w:b/>
          <w:bCs/>
        </w:rPr>
        <w:t xml:space="preserve">a) Estimating the number of </w:t>
      </w:r>
      <w:proofErr w:type="gramStart"/>
      <w:r w:rsidRPr="000D7426">
        <w:rPr>
          <w:b/>
          <w:bCs/>
        </w:rPr>
        <w:t>years</w:t>
      </w:r>
      <w:proofErr w:type="gramEnd"/>
      <w:r w:rsidRPr="000D7426">
        <w:rPr>
          <w:b/>
          <w:bCs/>
        </w:rPr>
        <w:t xml:space="preserve"> it will take to produce the first trillionaire</w:t>
      </w:r>
      <w:r w:rsidR="00D935D6">
        <w:rPr>
          <w:b/>
          <w:bCs/>
        </w:rPr>
        <w:t>.</w:t>
      </w:r>
      <w:r w:rsidRPr="000D7426">
        <w:rPr>
          <w:b/>
          <w:bCs/>
        </w:rPr>
        <w:t xml:space="preserve"> </w:t>
      </w:r>
    </w:p>
    <w:p w14:paraId="48419D61" w14:textId="41BABE0A" w:rsidR="00F941D9" w:rsidRPr="00AF2260" w:rsidRDefault="00F941D9" w:rsidP="000D7426">
      <w:pPr>
        <w:pStyle w:val="Text"/>
      </w:pPr>
      <w:r w:rsidRPr="00AF2260">
        <w:t xml:space="preserve">Using the Forbes billionaires list, we calculate how long it will take to produce the first dollar trillionaire. To do this, we use the wealth of the current </w:t>
      </w:r>
      <w:r w:rsidR="00F410EE">
        <w:t>five</w:t>
      </w:r>
      <w:r w:rsidRPr="00AF2260">
        <w:t xml:space="preserve"> richest </w:t>
      </w:r>
      <w:r w:rsidRPr="003F02BA">
        <w:t xml:space="preserve">billionaires </w:t>
      </w:r>
      <w:r w:rsidR="003E6BBD">
        <w:t>(</w:t>
      </w:r>
      <w:r w:rsidRPr="003F02BA">
        <w:t xml:space="preserve">as of </w:t>
      </w:r>
      <w:r w:rsidR="004C6AD6">
        <w:t xml:space="preserve">30 </w:t>
      </w:r>
      <w:r w:rsidR="00AC7392" w:rsidRPr="003F02BA">
        <w:t>November</w:t>
      </w:r>
      <w:r w:rsidRPr="003F02BA">
        <w:t xml:space="preserve"> 2023) to calculate</w:t>
      </w:r>
      <w:r w:rsidRPr="00AF2260">
        <w:t xml:space="preserve"> the real average annual growth rate of their total wealth over the past five years</w:t>
      </w:r>
      <w:r w:rsidR="00EA58EC">
        <w:t>. We then use this</w:t>
      </w:r>
      <w:r w:rsidR="0046556B">
        <w:t xml:space="preserve"> growth rate to estimate how long it will take for the five richest billionaires to have an average wealth of US$1 trillion. </w:t>
      </w:r>
    </w:p>
    <w:p w14:paraId="52BD9CF9" w14:textId="17BF1749" w:rsidR="00F941D9" w:rsidRPr="00AF2260" w:rsidRDefault="00F941D9" w:rsidP="000D7426">
      <w:pPr>
        <w:pStyle w:val="Text"/>
      </w:pPr>
      <w:r w:rsidRPr="00AF2260">
        <w:lastRenderedPageBreak/>
        <w:t xml:space="preserve">The total wealth of the </w:t>
      </w:r>
      <w:r w:rsidR="00F410EE">
        <w:t>five</w:t>
      </w:r>
      <w:r w:rsidRPr="00AF2260">
        <w:t xml:space="preserve"> richest billionaires</w:t>
      </w:r>
      <w:r w:rsidR="005731AC">
        <w:t xml:space="preserve"> </w:t>
      </w:r>
      <w:r w:rsidR="005731AC" w:rsidRPr="00AF2260">
        <w:t>increased</w:t>
      </w:r>
      <w:r w:rsidRPr="00AF2260">
        <w:t xml:space="preserve"> from US$</w:t>
      </w:r>
      <w:r w:rsidR="00A3718A">
        <w:t>453</w:t>
      </w:r>
      <w:r w:rsidR="004C6AD6">
        <w:t>bn</w:t>
      </w:r>
      <w:r w:rsidRPr="00AF2260">
        <w:t xml:space="preserve"> </w:t>
      </w:r>
      <w:r w:rsidR="00A3718A">
        <w:t xml:space="preserve">(when inflation is </w:t>
      </w:r>
      <w:proofErr w:type="gramStart"/>
      <w:r w:rsidR="00A3718A">
        <w:t>taken into account</w:t>
      </w:r>
      <w:proofErr w:type="gramEnd"/>
      <w:r w:rsidR="00A3718A">
        <w:t xml:space="preserve"> </w:t>
      </w:r>
      <w:r w:rsidR="00A3718A" w:rsidRPr="003F02BA">
        <w:t>using US CPI</w:t>
      </w:r>
      <w:r w:rsidR="00A3718A" w:rsidRPr="003F02BA">
        <w:rPr>
          <w:vertAlign w:val="superscript"/>
        </w:rPr>
        <w:endnoteReference w:id="27"/>
      </w:r>
      <w:r w:rsidR="00A3718A" w:rsidRPr="003F02BA">
        <w:t xml:space="preserve"> for the months of March 2019 and October</w:t>
      </w:r>
      <w:r w:rsidR="00A3718A" w:rsidRPr="00AF2260">
        <w:t xml:space="preserve"> 2023</w:t>
      </w:r>
      <w:r w:rsidR="00A3718A">
        <w:t xml:space="preserve">) </w:t>
      </w:r>
      <w:r w:rsidRPr="00AF2260">
        <w:t>in 2019 to US$</w:t>
      </w:r>
      <w:r w:rsidR="003F02BA">
        <w:t>869</w:t>
      </w:r>
      <w:r w:rsidR="002342A5">
        <w:t>bn</w:t>
      </w:r>
      <w:r w:rsidRPr="00AF2260">
        <w:t xml:space="preserve"> as of </w:t>
      </w:r>
      <w:r w:rsidR="004C6AD6">
        <w:t xml:space="preserve">30 </w:t>
      </w:r>
      <w:r w:rsidR="003F02BA" w:rsidRPr="003F02BA">
        <w:t>November</w:t>
      </w:r>
      <w:r w:rsidRPr="003F02BA">
        <w:t xml:space="preserve"> 2023</w:t>
      </w:r>
      <w:r w:rsidR="008D0897">
        <w:t>,</w:t>
      </w:r>
      <w:r w:rsidR="00A3718A">
        <w:t xml:space="preserve"> an annual increase of </w:t>
      </w:r>
      <w:r w:rsidR="005B41A6">
        <w:t>18</w:t>
      </w:r>
      <w:r w:rsidR="008D0897">
        <w:t>%</w:t>
      </w:r>
      <w:r w:rsidR="00A3718A">
        <w:t xml:space="preserve"> in real terms.</w:t>
      </w:r>
    </w:p>
    <w:p w14:paraId="272F4546" w14:textId="587D8157" w:rsidR="00F941D9" w:rsidRDefault="0014035D" w:rsidP="000D7426">
      <w:pPr>
        <w:pStyle w:val="Text"/>
      </w:pPr>
      <w:r>
        <w:t>Using this growth rate of</w:t>
      </w:r>
      <w:r w:rsidR="004B7208">
        <w:t xml:space="preserve"> </w:t>
      </w:r>
      <w:r>
        <w:t xml:space="preserve">18%, </w:t>
      </w:r>
      <w:r w:rsidR="004B7208" w:rsidRPr="004B7208">
        <w:t>our calculations shows that a</w:t>
      </w:r>
      <w:r w:rsidR="00F941D9" w:rsidRPr="004B7208">
        <w:t>ll</w:t>
      </w:r>
      <w:r w:rsidR="00F941D9" w:rsidRPr="00AF2260">
        <w:t xml:space="preserve"> </w:t>
      </w:r>
      <w:r w:rsidR="004C6AD6">
        <w:t xml:space="preserve">things </w:t>
      </w:r>
      <w:r w:rsidR="00F941D9" w:rsidRPr="00AF2260">
        <w:t>being equal, th</w:t>
      </w:r>
      <w:r w:rsidR="00A602DD">
        <w:t xml:space="preserve">ese five billionaires </w:t>
      </w:r>
      <w:r w:rsidR="00F941D9" w:rsidRPr="00AF2260">
        <w:t xml:space="preserve">will have </w:t>
      </w:r>
      <w:r w:rsidR="008E0CAE">
        <w:t>an average wealth of US$1 trillion</w:t>
      </w:r>
      <w:r w:rsidR="00F941D9" w:rsidRPr="00AF2260">
        <w:t xml:space="preserve"> in 1</w:t>
      </w:r>
      <w:r w:rsidR="007808E8">
        <w:t>0.</w:t>
      </w:r>
      <w:r w:rsidR="005B41A6">
        <w:t>4</w:t>
      </w:r>
      <w:r w:rsidR="00F941D9" w:rsidRPr="00AF2260">
        <w:t xml:space="preserve"> years.</w:t>
      </w:r>
      <w:r w:rsidR="00F941D9" w:rsidRPr="00AF2260">
        <w:rPr>
          <w:b/>
          <w:bCs/>
        </w:rPr>
        <w:t> </w:t>
      </w:r>
      <w:r w:rsidR="005436B2" w:rsidRPr="005436B2">
        <w:t xml:space="preserve">This is of course </w:t>
      </w:r>
      <w:r w:rsidR="009210EB">
        <w:t xml:space="preserve">an estimate and </w:t>
      </w:r>
      <w:r w:rsidR="005436B2" w:rsidRPr="005436B2">
        <w:t>subject to uncertainty</w:t>
      </w:r>
      <w:r w:rsidR="009210EB">
        <w:t>.</w:t>
      </w:r>
      <w:r w:rsidR="00CC24E0">
        <w:t xml:space="preserve"> </w:t>
      </w:r>
      <w:r w:rsidR="006C7FB4">
        <w:t>Importantly,</w:t>
      </w:r>
      <w:r w:rsidR="008E0ED9">
        <w:t xml:space="preserve"> </w:t>
      </w:r>
      <w:r w:rsidR="005A67D3">
        <w:t xml:space="preserve">the wealth of Elon </w:t>
      </w:r>
      <w:r w:rsidR="00B45B64">
        <w:t>Musk</w:t>
      </w:r>
      <w:r w:rsidR="002342A5">
        <w:t>,</w:t>
      </w:r>
      <w:r w:rsidR="00B45B64">
        <w:t xml:space="preserve"> which has </w:t>
      </w:r>
      <w:r w:rsidR="002342A5">
        <w:t xml:space="preserve">grown </w:t>
      </w:r>
      <w:r w:rsidR="00B45B64">
        <w:t>exponentially</w:t>
      </w:r>
      <w:r w:rsidR="006C7FB4">
        <w:t xml:space="preserve"> over the past five years</w:t>
      </w:r>
      <w:r w:rsidR="002342A5">
        <w:t>,</w:t>
      </w:r>
      <w:r w:rsidR="00B45B64">
        <w:t xml:space="preserve"> </w:t>
      </w:r>
      <w:r w:rsidR="00C93B71">
        <w:t xml:space="preserve">heavily influences the average growth of the total wealth of the five richest billionaires. </w:t>
      </w:r>
    </w:p>
    <w:p w14:paraId="61D7D99E" w14:textId="77777777" w:rsidR="000D7426" w:rsidRPr="00AF2260" w:rsidRDefault="000D7426" w:rsidP="000D7426">
      <w:pPr>
        <w:pStyle w:val="Text"/>
        <w:rPr>
          <w:b/>
          <w:bCs/>
        </w:rPr>
      </w:pPr>
    </w:p>
    <w:p w14:paraId="5B814B1F" w14:textId="1579C50B" w:rsidR="00F941D9" w:rsidRPr="00AF2260" w:rsidRDefault="00570DAB" w:rsidP="00AF2260">
      <w:pPr>
        <w:spacing w:line="259" w:lineRule="auto"/>
        <w:rPr>
          <w:rFonts w:cstheme="minorHAnsi"/>
        </w:rPr>
      </w:pPr>
      <m:oMathPara>
        <m:oMath>
          <m:r>
            <w:rPr>
              <w:rFonts w:ascii="Cambria Math" w:hAnsi="Cambria Math" w:cstheme="minorHAnsi"/>
            </w:rPr>
            <m:t>n=</m:t>
          </m:r>
          <m:func>
            <m:funcPr>
              <m:ctrlPr>
                <w:rPr>
                  <w:rFonts w:ascii="Cambria Math" w:hAnsi="Cambria Math" w:cstheme="minorHAnsi"/>
                  <w:i/>
                </w:rPr>
              </m:ctrlPr>
            </m:funcPr>
            <m:fName>
              <m:r>
                <w:rPr>
                  <w:rFonts w:ascii="Cambria Math" w:hAnsi="Cambria Math" w:cstheme="minorHAnsi"/>
                </w:rPr>
                <m:t>ln</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o</m:t>
                      </m:r>
                    </m:sub>
                  </m:sSub>
                </m:e>
              </m:d>
            </m:e>
          </m:func>
          <m:r>
            <w:rPr>
              <w:rFonts w:ascii="Cambria Math" w:hAnsi="Cambria Math" w:cstheme="minorHAnsi"/>
            </w:rPr>
            <m:t>∕ln</m:t>
          </m:r>
          <m:d>
            <m:dPr>
              <m:ctrlPr>
                <w:rPr>
                  <w:rFonts w:ascii="Cambria Math" w:hAnsi="Cambria Math" w:cstheme="minorHAnsi"/>
                  <w:i/>
                </w:rPr>
              </m:ctrlPr>
            </m:dPr>
            <m:e>
              <m:r>
                <w:rPr>
                  <w:rFonts w:ascii="Cambria Math" w:hAnsi="Cambria Math" w:cstheme="minorHAnsi"/>
                </w:rPr>
                <m:t>1+r</m:t>
              </m:r>
            </m:e>
          </m:d>
        </m:oMath>
      </m:oMathPara>
    </w:p>
    <w:p w14:paraId="38BF3901" w14:textId="1AFABDBF" w:rsidR="000D7426" w:rsidRPr="00AF2260" w:rsidRDefault="002342A5" w:rsidP="000D7426">
      <w:pPr>
        <w:pStyle w:val="Text"/>
      </w:pPr>
      <w:r>
        <w:t>w</w:t>
      </w:r>
      <w:r w:rsidR="00F941D9" w:rsidRPr="00AF2260">
        <w:t>here</w:t>
      </w:r>
      <w:r>
        <w:t>:</w:t>
      </w:r>
    </w:p>
    <w:p w14:paraId="63134E12" w14:textId="77777777" w:rsidR="00F941D9" w:rsidRPr="00AF2260" w:rsidRDefault="00F941D9" w:rsidP="00D65075">
      <w:pPr>
        <w:pStyle w:val="Textlistbullet"/>
      </w:pPr>
      <w:r w:rsidRPr="00D65075">
        <w:rPr>
          <w:i/>
          <w:iCs/>
        </w:rPr>
        <w:t>n</w:t>
      </w:r>
      <w:r w:rsidRPr="00AF2260">
        <w:t xml:space="preserve"> is the number of years it will take to gain US$1 </w:t>
      </w:r>
      <w:proofErr w:type="gramStart"/>
      <w:r w:rsidRPr="00AF2260">
        <w:t>trillion;</w:t>
      </w:r>
      <w:proofErr w:type="gramEnd"/>
      <w:r w:rsidRPr="00AF2260">
        <w:t xml:space="preserve"> </w:t>
      </w:r>
    </w:p>
    <w:p w14:paraId="76A6EF7D" w14:textId="0E24E983" w:rsidR="00F941D9" w:rsidRPr="00AF2260" w:rsidRDefault="00F941D9" w:rsidP="00D65075">
      <w:pPr>
        <w:pStyle w:val="Textlistbullet"/>
      </w:pPr>
      <w:r w:rsidRPr="00D65075">
        <w:rPr>
          <w:i/>
          <w:iCs/>
        </w:rPr>
        <w:t>P</w:t>
      </w:r>
      <w:r w:rsidRPr="00D65075">
        <w:rPr>
          <w:i/>
          <w:iCs/>
          <w:vertAlign w:val="subscript"/>
        </w:rPr>
        <w:t>t</w:t>
      </w:r>
      <w:r w:rsidRPr="00D65075">
        <w:rPr>
          <w:i/>
          <w:iCs/>
        </w:rPr>
        <w:t xml:space="preserve"> </w:t>
      </w:r>
      <w:r w:rsidRPr="00AF2260">
        <w:t xml:space="preserve">is the target wealth, </w:t>
      </w:r>
      <w:proofErr w:type="gramStart"/>
      <w:r w:rsidRPr="00AF2260">
        <w:t>i.e.</w:t>
      </w:r>
      <w:proofErr w:type="gramEnd"/>
      <w:r>
        <w:t xml:space="preserve"> US</w:t>
      </w:r>
      <w:r w:rsidRPr="00AF2260">
        <w:t>$</w:t>
      </w:r>
      <w:r w:rsidR="00383610">
        <w:t>5</w:t>
      </w:r>
      <w:r w:rsidRPr="00AF2260">
        <w:t xml:space="preserve"> trillion</w:t>
      </w:r>
      <w:r w:rsidR="00383610">
        <w:t xml:space="preserve"> (which </w:t>
      </w:r>
      <w:r w:rsidR="00004D2F">
        <w:t>averages to US$1 trillion for the five billionaires)</w:t>
      </w:r>
      <w:r w:rsidRPr="00AF2260">
        <w:t xml:space="preserve">; </w:t>
      </w:r>
    </w:p>
    <w:p w14:paraId="7D3E7E46" w14:textId="6AC5DC49" w:rsidR="00F941D9" w:rsidRPr="00AF2260" w:rsidRDefault="00F941D9" w:rsidP="00D65075">
      <w:pPr>
        <w:pStyle w:val="Textlistbullet"/>
      </w:pPr>
      <w:r w:rsidRPr="00D65075">
        <w:rPr>
          <w:i/>
          <w:iCs/>
        </w:rPr>
        <w:t>P</w:t>
      </w:r>
      <w:r w:rsidRPr="00D65075">
        <w:rPr>
          <w:i/>
          <w:iCs/>
          <w:vertAlign w:val="subscript"/>
        </w:rPr>
        <w:t>o</w:t>
      </w:r>
      <w:r w:rsidRPr="00AF2260">
        <w:t xml:space="preserve"> is the current wealth of each </w:t>
      </w:r>
      <w:proofErr w:type="gramStart"/>
      <w:r w:rsidRPr="00AF2260">
        <w:t>billionaire</w:t>
      </w:r>
      <w:r w:rsidR="002342A5">
        <w:t>;</w:t>
      </w:r>
      <w:proofErr w:type="gramEnd"/>
    </w:p>
    <w:p w14:paraId="617F4AF9" w14:textId="256E6A22" w:rsidR="00F941D9" w:rsidRDefault="00F941D9" w:rsidP="00D65075">
      <w:pPr>
        <w:pStyle w:val="Textlistbullet"/>
      </w:pPr>
      <w:r w:rsidRPr="00D65075">
        <w:rPr>
          <w:i/>
          <w:iCs/>
        </w:rPr>
        <w:t xml:space="preserve">r </w:t>
      </w:r>
      <w:r w:rsidRPr="00AF2260">
        <w:t xml:space="preserve">is the average annual growth rate of the total wealth of the </w:t>
      </w:r>
      <w:r w:rsidR="006C7244">
        <w:t>five</w:t>
      </w:r>
      <w:r w:rsidRPr="00AF2260">
        <w:t xml:space="preserve"> billionaires for the last five years, </w:t>
      </w:r>
      <w:proofErr w:type="gramStart"/>
      <w:r w:rsidRPr="00AF2260">
        <w:t>i.e.</w:t>
      </w:r>
      <w:proofErr w:type="gramEnd"/>
      <w:r w:rsidRPr="00AF2260">
        <w:t xml:space="preserve"> 1</w:t>
      </w:r>
      <w:r w:rsidR="00004D2F">
        <w:t>8</w:t>
      </w:r>
      <w:r w:rsidRPr="00AF2260">
        <w:t>%. </w:t>
      </w:r>
    </w:p>
    <w:p w14:paraId="4D84020B" w14:textId="6B7BC567" w:rsidR="00F941D9" w:rsidRDefault="00F941D9" w:rsidP="000D7426">
      <w:pPr>
        <w:pStyle w:val="Tablecaption"/>
      </w:pPr>
      <w:r w:rsidRPr="00D25BCA">
        <w:t xml:space="preserve">Table </w:t>
      </w:r>
      <w:r>
        <w:t>1.5</w:t>
      </w:r>
      <w:r w:rsidRPr="00D25BCA">
        <w:t>: Year</w:t>
      </w:r>
      <w:r w:rsidR="002342A5">
        <w:t>s</w:t>
      </w:r>
      <w:r w:rsidRPr="00D25BCA">
        <w:t xml:space="preserve"> u</w:t>
      </w:r>
      <w:r>
        <w:t>n</w:t>
      </w:r>
      <w:r w:rsidRPr="00D25BCA">
        <w:t>til we have the first trillionaire</w:t>
      </w:r>
      <w:r w:rsidR="000E5AF8">
        <w:t>.</w:t>
      </w:r>
    </w:p>
    <w:tbl>
      <w:tblPr>
        <w:tblStyle w:val="TableGrid"/>
        <w:tblW w:w="8105" w:type="dxa"/>
        <w:tblInd w:w="-5" w:type="dxa"/>
        <w:tblLook w:val="04A0" w:firstRow="1" w:lastRow="0" w:firstColumn="1" w:lastColumn="0" w:noHBand="0" w:noVBand="1"/>
      </w:tblPr>
      <w:tblGrid>
        <w:gridCol w:w="1709"/>
        <w:gridCol w:w="1277"/>
        <w:gridCol w:w="1142"/>
        <w:gridCol w:w="1425"/>
        <w:gridCol w:w="2552"/>
      </w:tblGrid>
      <w:tr w:rsidR="007F78E0" w:rsidRPr="00F94E7E" w14:paraId="72ED2EFC" w14:textId="77777777" w:rsidTr="000D7426">
        <w:trPr>
          <w:trHeight w:val="290"/>
        </w:trPr>
        <w:tc>
          <w:tcPr>
            <w:tcW w:w="1709" w:type="dxa"/>
            <w:noWrap/>
            <w:hideMark/>
          </w:tcPr>
          <w:p w14:paraId="7505AFBC" w14:textId="0B4E0173" w:rsidR="007F78E0" w:rsidRPr="00F94E7E" w:rsidRDefault="007F78E0" w:rsidP="000D7426">
            <w:pPr>
              <w:pStyle w:val="Tableheading1"/>
            </w:pPr>
          </w:p>
        </w:tc>
        <w:tc>
          <w:tcPr>
            <w:tcW w:w="1277" w:type="dxa"/>
            <w:noWrap/>
            <w:hideMark/>
          </w:tcPr>
          <w:p w14:paraId="7633AE7D" w14:textId="2733C261" w:rsidR="007F78E0" w:rsidRPr="00A3718A" w:rsidRDefault="00A3718A" w:rsidP="000D7426">
            <w:pPr>
              <w:pStyle w:val="Tableheading1"/>
            </w:pPr>
            <w:r w:rsidRPr="00A3718A">
              <w:t>Wealth, US$ bn</w:t>
            </w:r>
          </w:p>
        </w:tc>
        <w:tc>
          <w:tcPr>
            <w:tcW w:w="1142" w:type="dxa"/>
            <w:noWrap/>
            <w:hideMark/>
          </w:tcPr>
          <w:p w14:paraId="458AFAC3" w14:textId="66413AAC" w:rsidR="007F78E0" w:rsidRPr="00A3718A" w:rsidRDefault="00A3718A" w:rsidP="000D7426">
            <w:pPr>
              <w:pStyle w:val="Tableheading1"/>
            </w:pPr>
            <w:r w:rsidRPr="00A3718A">
              <w:t>Wealth, US$ bn</w:t>
            </w:r>
          </w:p>
        </w:tc>
        <w:tc>
          <w:tcPr>
            <w:tcW w:w="1425" w:type="dxa"/>
            <w:noWrap/>
            <w:hideMark/>
          </w:tcPr>
          <w:p w14:paraId="7FC2E3B4" w14:textId="77777777" w:rsidR="007F78E0" w:rsidRPr="00F94E7E" w:rsidRDefault="007F78E0" w:rsidP="000D7426">
            <w:pPr>
              <w:pStyle w:val="Tableheading1"/>
            </w:pPr>
            <w:r w:rsidRPr="00F94E7E">
              <w:t>Average annual growth rate</w:t>
            </w:r>
          </w:p>
        </w:tc>
        <w:tc>
          <w:tcPr>
            <w:tcW w:w="2552" w:type="dxa"/>
            <w:vMerge w:val="restart"/>
            <w:hideMark/>
          </w:tcPr>
          <w:p w14:paraId="72A65A90" w14:textId="77777777" w:rsidR="007F78E0" w:rsidRPr="00F94E7E" w:rsidRDefault="007F78E0" w:rsidP="000D7426">
            <w:pPr>
              <w:pStyle w:val="Tableheading1"/>
            </w:pPr>
            <w:r w:rsidRPr="00F94E7E">
              <w:t>Years to reach US$1 trillion using average growth of the past five years</w:t>
            </w:r>
          </w:p>
        </w:tc>
      </w:tr>
      <w:tr w:rsidR="007F78E0" w:rsidRPr="00F94E7E" w14:paraId="1B820953" w14:textId="77777777" w:rsidTr="000D7426">
        <w:trPr>
          <w:trHeight w:val="580"/>
        </w:trPr>
        <w:tc>
          <w:tcPr>
            <w:tcW w:w="1709" w:type="dxa"/>
            <w:noWrap/>
            <w:hideMark/>
          </w:tcPr>
          <w:p w14:paraId="10307050" w14:textId="77777777" w:rsidR="007F78E0" w:rsidRPr="00F94E7E" w:rsidRDefault="007F78E0" w:rsidP="000D7426">
            <w:pPr>
              <w:pStyle w:val="Tableheading2"/>
            </w:pPr>
            <w:r w:rsidRPr="00F94E7E">
              <w:t>Time</w:t>
            </w:r>
          </w:p>
        </w:tc>
        <w:tc>
          <w:tcPr>
            <w:tcW w:w="1277" w:type="dxa"/>
            <w:noWrap/>
            <w:hideMark/>
          </w:tcPr>
          <w:p w14:paraId="2D515CCB" w14:textId="77777777" w:rsidR="007F78E0" w:rsidRPr="00F94E7E" w:rsidRDefault="007F78E0" w:rsidP="000D7426">
            <w:pPr>
              <w:pStyle w:val="Tableheading2"/>
            </w:pPr>
            <w:r w:rsidRPr="00F94E7E">
              <w:t>2019</w:t>
            </w:r>
          </w:p>
        </w:tc>
        <w:tc>
          <w:tcPr>
            <w:tcW w:w="1142" w:type="dxa"/>
            <w:noWrap/>
            <w:hideMark/>
          </w:tcPr>
          <w:p w14:paraId="186A9B71" w14:textId="6A20771E" w:rsidR="007F78E0" w:rsidRPr="00F94E7E" w:rsidRDefault="007F78E0" w:rsidP="000D7426">
            <w:pPr>
              <w:pStyle w:val="Tableheading2"/>
            </w:pPr>
            <w:r w:rsidRPr="00F94E7E">
              <w:t>Nov</w:t>
            </w:r>
            <w:r w:rsidR="002342A5">
              <w:t xml:space="preserve"> 20</w:t>
            </w:r>
            <w:r w:rsidRPr="00F94E7E">
              <w:t>23</w:t>
            </w:r>
          </w:p>
        </w:tc>
        <w:tc>
          <w:tcPr>
            <w:tcW w:w="1425" w:type="dxa"/>
            <w:noWrap/>
            <w:hideMark/>
          </w:tcPr>
          <w:p w14:paraId="4CDA0E00" w14:textId="57D30BB3" w:rsidR="007F78E0" w:rsidRPr="00F94E7E" w:rsidRDefault="007F78E0" w:rsidP="000D7426">
            <w:pPr>
              <w:pStyle w:val="Tableheading2"/>
            </w:pPr>
            <w:r w:rsidRPr="00F94E7E">
              <w:t>2019</w:t>
            </w:r>
            <w:r w:rsidR="007718C2" w:rsidRPr="007718C2">
              <w:t>–</w:t>
            </w:r>
            <w:r w:rsidRPr="00F94E7E">
              <w:t>O</w:t>
            </w:r>
            <w:r w:rsidR="002342A5">
              <w:t>c</w:t>
            </w:r>
            <w:r w:rsidRPr="00F94E7E">
              <w:t xml:space="preserve">t </w:t>
            </w:r>
            <w:r w:rsidR="00AC7AF2">
              <w:t>20</w:t>
            </w:r>
            <w:r w:rsidRPr="00F94E7E">
              <w:t>23</w:t>
            </w:r>
          </w:p>
        </w:tc>
        <w:tc>
          <w:tcPr>
            <w:tcW w:w="2552" w:type="dxa"/>
            <w:vMerge/>
            <w:hideMark/>
          </w:tcPr>
          <w:p w14:paraId="6457E892" w14:textId="77777777" w:rsidR="007F78E0" w:rsidRPr="00F94E7E" w:rsidRDefault="007F78E0" w:rsidP="00F94E7E">
            <w:pPr>
              <w:spacing w:line="259" w:lineRule="auto"/>
              <w:rPr>
                <w:rFonts w:cstheme="minorHAnsi"/>
                <w:b/>
                <w:bCs/>
              </w:rPr>
            </w:pPr>
          </w:p>
        </w:tc>
      </w:tr>
      <w:tr w:rsidR="007F78E0" w:rsidRPr="00F94E7E" w14:paraId="79AF8DAA" w14:textId="77777777" w:rsidTr="000D7426">
        <w:trPr>
          <w:trHeight w:val="290"/>
        </w:trPr>
        <w:tc>
          <w:tcPr>
            <w:tcW w:w="1709" w:type="dxa"/>
            <w:noWrap/>
            <w:hideMark/>
          </w:tcPr>
          <w:p w14:paraId="50A15074" w14:textId="77777777" w:rsidR="007F78E0" w:rsidRPr="00F94E7E" w:rsidRDefault="007F78E0" w:rsidP="000D7426">
            <w:pPr>
              <w:pStyle w:val="Tabletext"/>
            </w:pPr>
            <w:r w:rsidRPr="00F94E7E">
              <w:t>Elon Musk</w:t>
            </w:r>
          </w:p>
        </w:tc>
        <w:tc>
          <w:tcPr>
            <w:tcW w:w="1277" w:type="dxa"/>
            <w:noWrap/>
            <w:hideMark/>
          </w:tcPr>
          <w:p w14:paraId="57984828" w14:textId="144AEEC9" w:rsidR="007F78E0" w:rsidRPr="00F94E7E" w:rsidRDefault="007F78E0" w:rsidP="000D7426">
            <w:pPr>
              <w:pStyle w:val="Tabletext"/>
            </w:pPr>
            <w:r w:rsidRPr="00F94E7E">
              <w:t>27</w:t>
            </w:r>
            <w:r w:rsidR="00A3718A">
              <w:t>.0</w:t>
            </w:r>
          </w:p>
        </w:tc>
        <w:tc>
          <w:tcPr>
            <w:tcW w:w="1142" w:type="dxa"/>
            <w:noWrap/>
            <w:hideMark/>
          </w:tcPr>
          <w:p w14:paraId="40614C26" w14:textId="43FD55E5" w:rsidR="007F78E0" w:rsidRPr="00F94E7E" w:rsidRDefault="007F78E0" w:rsidP="000D7426">
            <w:pPr>
              <w:pStyle w:val="Tabletext"/>
            </w:pPr>
            <w:r w:rsidRPr="00F94E7E">
              <w:t>24</w:t>
            </w:r>
            <w:r w:rsidR="00012667">
              <w:t>5.5</w:t>
            </w:r>
          </w:p>
        </w:tc>
        <w:tc>
          <w:tcPr>
            <w:tcW w:w="1425" w:type="dxa"/>
            <w:noWrap/>
            <w:hideMark/>
          </w:tcPr>
          <w:p w14:paraId="6FB31BE1" w14:textId="77777777" w:rsidR="007F78E0" w:rsidRPr="00F94E7E" w:rsidRDefault="007F78E0" w:rsidP="000D7426">
            <w:pPr>
              <w:pStyle w:val="Tabletext"/>
            </w:pPr>
            <w:r w:rsidRPr="00F94E7E">
              <w:t>162%</w:t>
            </w:r>
          </w:p>
        </w:tc>
        <w:tc>
          <w:tcPr>
            <w:tcW w:w="2552" w:type="dxa"/>
            <w:noWrap/>
            <w:hideMark/>
          </w:tcPr>
          <w:p w14:paraId="45416AEB" w14:textId="77777777" w:rsidR="007F78E0" w:rsidRPr="00F94E7E" w:rsidRDefault="007F78E0" w:rsidP="00D65075">
            <w:pPr>
              <w:pStyle w:val="Tabletext"/>
            </w:pPr>
            <w:r w:rsidRPr="00F94E7E">
              <w:t>8.3</w:t>
            </w:r>
          </w:p>
        </w:tc>
      </w:tr>
      <w:tr w:rsidR="007F78E0" w:rsidRPr="00F94E7E" w14:paraId="6E3D6FCE" w14:textId="77777777" w:rsidTr="000D7426">
        <w:trPr>
          <w:trHeight w:val="580"/>
        </w:trPr>
        <w:tc>
          <w:tcPr>
            <w:tcW w:w="1709" w:type="dxa"/>
            <w:noWrap/>
            <w:hideMark/>
          </w:tcPr>
          <w:p w14:paraId="5EDA99DC" w14:textId="2C1F3080" w:rsidR="007F78E0" w:rsidRPr="00F94E7E" w:rsidRDefault="007F78E0" w:rsidP="000D7426">
            <w:pPr>
              <w:pStyle w:val="Tabletext"/>
            </w:pPr>
            <w:r w:rsidRPr="00F94E7E">
              <w:t xml:space="preserve">Bernard </w:t>
            </w:r>
            <w:proofErr w:type="spellStart"/>
            <w:r w:rsidRPr="00F94E7E">
              <w:t>Arnault</w:t>
            </w:r>
            <w:proofErr w:type="spellEnd"/>
            <w:r w:rsidRPr="00F94E7E">
              <w:t xml:space="preserve"> </w:t>
            </w:r>
            <w:r w:rsidR="002342A5">
              <w:t>and</w:t>
            </w:r>
            <w:r w:rsidRPr="00F94E7E">
              <w:t xml:space="preserve"> family</w:t>
            </w:r>
          </w:p>
        </w:tc>
        <w:tc>
          <w:tcPr>
            <w:tcW w:w="1277" w:type="dxa"/>
            <w:noWrap/>
            <w:hideMark/>
          </w:tcPr>
          <w:p w14:paraId="034D645E" w14:textId="78174015" w:rsidR="007F78E0" w:rsidRPr="00F94E7E" w:rsidRDefault="007F78E0" w:rsidP="000D7426">
            <w:pPr>
              <w:pStyle w:val="Tabletext"/>
            </w:pPr>
            <w:r w:rsidRPr="00F94E7E">
              <w:t>92</w:t>
            </w:r>
            <w:r w:rsidR="00A3718A">
              <w:t>.0</w:t>
            </w:r>
          </w:p>
        </w:tc>
        <w:tc>
          <w:tcPr>
            <w:tcW w:w="1142" w:type="dxa"/>
            <w:noWrap/>
            <w:hideMark/>
          </w:tcPr>
          <w:p w14:paraId="50ADEAF5" w14:textId="7CD04F05" w:rsidR="007F78E0" w:rsidRPr="00F94E7E" w:rsidRDefault="007F78E0" w:rsidP="000D7426">
            <w:pPr>
              <w:pStyle w:val="Tabletext"/>
            </w:pPr>
            <w:r w:rsidRPr="00F94E7E">
              <w:t>191</w:t>
            </w:r>
            <w:r w:rsidR="00A3718A">
              <w:t>.</w:t>
            </w:r>
            <w:r w:rsidR="00012667">
              <w:t>3</w:t>
            </w:r>
          </w:p>
        </w:tc>
        <w:tc>
          <w:tcPr>
            <w:tcW w:w="1425" w:type="dxa"/>
            <w:noWrap/>
            <w:hideMark/>
          </w:tcPr>
          <w:p w14:paraId="3B1BAA99" w14:textId="77777777" w:rsidR="007F78E0" w:rsidRPr="00F94E7E" w:rsidRDefault="007F78E0" w:rsidP="000D7426">
            <w:pPr>
              <w:pStyle w:val="Tabletext"/>
            </w:pPr>
            <w:r w:rsidRPr="00F94E7E">
              <w:t>22%</w:t>
            </w:r>
          </w:p>
        </w:tc>
        <w:tc>
          <w:tcPr>
            <w:tcW w:w="2552" w:type="dxa"/>
            <w:noWrap/>
            <w:hideMark/>
          </w:tcPr>
          <w:p w14:paraId="2F6C7125" w14:textId="77777777" w:rsidR="007F78E0" w:rsidRPr="00F94E7E" w:rsidRDefault="007F78E0" w:rsidP="00D65075">
            <w:pPr>
              <w:pStyle w:val="Tabletext"/>
            </w:pPr>
            <w:r w:rsidRPr="00F94E7E">
              <w:t>9.8</w:t>
            </w:r>
          </w:p>
        </w:tc>
      </w:tr>
      <w:tr w:rsidR="007F78E0" w:rsidRPr="00F94E7E" w14:paraId="44CFEEF7" w14:textId="77777777" w:rsidTr="000D7426">
        <w:trPr>
          <w:trHeight w:val="290"/>
        </w:trPr>
        <w:tc>
          <w:tcPr>
            <w:tcW w:w="1709" w:type="dxa"/>
            <w:noWrap/>
            <w:hideMark/>
          </w:tcPr>
          <w:p w14:paraId="45F72A19" w14:textId="77777777" w:rsidR="007F78E0" w:rsidRPr="00F94E7E" w:rsidRDefault="007F78E0" w:rsidP="000D7426">
            <w:pPr>
              <w:pStyle w:val="Tabletext"/>
            </w:pPr>
            <w:r w:rsidRPr="00F94E7E">
              <w:t>Jeff Bezos</w:t>
            </w:r>
          </w:p>
        </w:tc>
        <w:tc>
          <w:tcPr>
            <w:tcW w:w="1277" w:type="dxa"/>
            <w:noWrap/>
            <w:hideMark/>
          </w:tcPr>
          <w:p w14:paraId="3616C917" w14:textId="3FBF1FD6" w:rsidR="007F78E0" w:rsidRPr="00F94E7E" w:rsidRDefault="007F78E0" w:rsidP="000D7426">
            <w:pPr>
              <w:pStyle w:val="Tabletext"/>
            </w:pPr>
            <w:r w:rsidRPr="00F94E7E">
              <w:t>15</w:t>
            </w:r>
            <w:r w:rsidR="00A3718A">
              <w:t>8.6</w:t>
            </w:r>
          </w:p>
        </w:tc>
        <w:tc>
          <w:tcPr>
            <w:tcW w:w="1142" w:type="dxa"/>
            <w:noWrap/>
            <w:hideMark/>
          </w:tcPr>
          <w:p w14:paraId="229FBDC2" w14:textId="0E0C3E80" w:rsidR="007F78E0" w:rsidRPr="00F94E7E" w:rsidRDefault="007F78E0" w:rsidP="000D7426">
            <w:pPr>
              <w:pStyle w:val="Tabletext"/>
            </w:pPr>
            <w:r w:rsidRPr="00F94E7E">
              <w:t>167</w:t>
            </w:r>
            <w:r w:rsidR="00A3718A">
              <w:t>.4</w:t>
            </w:r>
          </w:p>
        </w:tc>
        <w:tc>
          <w:tcPr>
            <w:tcW w:w="1425" w:type="dxa"/>
            <w:noWrap/>
            <w:hideMark/>
          </w:tcPr>
          <w:p w14:paraId="653F8488" w14:textId="77777777" w:rsidR="007F78E0" w:rsidRPr="00F94E7E" w:rsidRDefault="007F78E0" w:rsidP="000D7426">
            <w:pPr>
              <w:pStyle w:val="Tabletext"/>
            </w:pPr>
            <w:r w:rsidRPr="00F94E7E">
              <w:t>1%</w:t>
            </w:r>
          </w:p>
        </w:tc>
        <w:tc>
          <w:tcPr>
            <w:tcW w:w="2552" w:type="dxa"/>
            <w:noWrap/>
            <w:hideMark/>
          </w:tcPr>
          <w:p w14:paraId="50CC3311" w14:textId="77777777" w:rsidR="007F78E0" w:rsidRPr="00F94E7E" w:rsidRDefault="007F78E0" w:rsidP="00D65075">
            <w:pPr>
              <w:pStyle w:val="Tabletext"/>
            </w:pPr>
            <w:r w:rsidRPr="00F94E7E">
              <w:t>10.6</w:t>
            </w:r>
          </w:p>
        </w:tc>
      </w:tr>
      <w:tr w:rsidR="007F78E0" w:rsidRPr="00F94E7E" w14:paraId="140807A0" w14:textId="77777777" w:rsidTr="000D7426">
        <w:trPr>
          <w:trHeight w:val="290"/>
        </w:trPr>
        <w:tc>
          <w:tcPr>
            <w:tcW w:w="1709" w:type="dxa"/>
            <w:noWrap/>
            <w:hideMark/>
          </w:tcPr>
          <w:p w14:paraId="780F40C2" w14:textId="77777777" w:rsidR="007F78E0" w:rsidRPr="00F94E7E" w:rsidRDefault="007F78E0" w:rsidP="000D7426">
            <w:pPr>
              <w:pStyle w:val="Tabletext"/>
            </w:pPr>
            <w:r w:rsidRPr="00F94E7E">
              <w:t>Larry Ellison</w:t>
            </w:r>
          </w:p>
        </w:tc>
        <w:tc>
          <w:tcPr>
            <w:tcW w:w="1277" w:type="dxa"/>
            <w:noWrap/>
            <w:hideMark/>
          </w:tcPr>
          <w:p w14:paraId="7C345A2B" w14:textId="11D22E73" w:rsidR="007F78E0" w:rsidRPr="00F94E7E" w:rsidRDefault="007F78E0" w:rsidP="000D7426">
            <w:pPr>
              <w:pStyle w:val="Tabletext"/>
            </w:pPr>
            <w:r w:rsidRPr="00F94E7E">
              <w:t>7</w:t>
            </w:r>
            <w:r w:rsidR="00A3718A">
              <w:t>5.6</w:t>
            </w:r>
          </w:p>
        </w:tc>
        <w:tc>
          <w:tcPr>
            <w:tcW w:w="1142" w:type="dxa"/>
            <w:noWrap/>
            <w:hideMark/>
          </w:tcPr>
          <w:p w14:paraId="66EDFC32" w14:textId="70670554" w:rsidR="007F78E0" w:rsidRPr="00F94E7E" w:rsidRDefault="007F78E0" w:rsidP="000D7426">
            <w:pPr>
              <w:pStyle w:val="Tabletext"/>
            </w:pPr>
            <w:r w:rsidRPr="00F94E7E">
              <w:t>14</w:t>
            </w:r>
            <w:r w:rsidR="00012667">
              <w:t>5.5</w:t>
            </w:r>
          </w:p>
        </w:tc>
        <w:tc>
          <w:tcPr>
            <w:tcW w:w="1425" w:type="dxa"/>
            <w:noWrap/>
            <w:hideMark/>
          </w:tcPr>
          <w:p w14:paraId="52F0F529" w14:textId="77777777" w:rsidR="007F78E0" w:rsidRPr="00F94E7E" w:rsidRDefault="007F78E0" w:rsidP="000D7426">
            <w:pPr>
              <w:pStyle w:val="Tabletext"/>
            </w:pPr>
            <w:r w:rsidRPr="00F94E7E">
              <w:t>18%</w:t>
            </w:r>
          </w:p>
        </w:tc>
        <w:tc>
          <w:tcPr>
            <w:tcW w:w="2552" w:type="dxa"/>
            <w:noWrap/>
            <w:hideMark/>
          </w:tcPr>
          <w:p w14:paraId="00FA0E6C" w14:textId="77777777" w:rsidR="007F78E0" w:rsidRPr="00F94E7E" w:rsidRDefault="007F78E0" w:rsidP="00D65075">
            <w:pPr>
              <w:pStyle w:val="Tabletext"/>
            </w:pPr>
            <w:r w:rsidRPr="00F94E7E">
              <w:t>11.4</w:t>
            </w:r>
          </w:p>
        </w:tc>
      </w:tr>
      <w:tr w:rsidR="007F78E0" w:rsidRPr="00F94E7E" w14:paraId="43D92111" w14:textId="77777777" w:rsidTr="000D7426">
        <w:trPr>
          <w:trHeight w:val="290"/>
        </w:trPr>
        <w:tc>
          <w:tcPr>
            <w:tcW w:w="1709" w:type="dxa"/>
            <w:noWrap/>
            <w:hideMark/>
          </w:tcPr>
          <w:p w14:paraId="1319360F" w14:textId="77777777" w:rsidR="007F78E0" w:rsidRPr="00F94E7E" w:rsidRDefault="007F78E0" w:rsidP="000D7426">
            <w:pPr>
              <w:pStyle w:val="Tabletext"/>
            </w:pPr>
            <w:r w:rsidRPr="00F94E7E">
              <w:t>Warren Buffett</w:t>
            </w:r>
          </w:p>
        </w:tc>
        <w:tc>
          <w:tcPr>
            <w:tcW w:w="1277" w:type="dxa"/>
            <w:noWrap/>
            <w:hideMark/>
          </w:tcPr>
          <w:p w14:paraId="493B8D84" w14:textId="7EE0553A" w:rsidR="007F78E0" w:rsidRPr="00F94E7E" w:rsidRDefault="00A3718A" w:rsidP="000D7426">
            <w:pPr>
              <w:pStyle w:val="Tabletext"/>
            </w:pPr>
            <w:r>
              <w:t>99.9</w:t>
            </w:r>
          </w:p>
        </w:tc>
        <w:tc>
          <w:tcPr>
            <w:tcW w:w="1142" w:type="dxa"/>
            <w:noWrap/>
            <w:hideMark/>
          </w:tcPr>
          <w:p w14:paraId="79815024" w14:textId="1206B4FD" w:rsidR="007F78E0" w:rsidRPr="00F94E7E" w:rsidRDefault="007F78E0" w:rsidP="000D7426">
            <w:pPr>
              <w:pStyle w:val="Tabletext"/>
            </w:pPr>
            <w:r w:rsidRPr="00F94E7E">
              <w:t>119</w:t>
            </w:r>
            <w:r w:rsidR="00012667">
              <w:t>.2</w:t>
            </w:r>
          </w:p>
        </w:tc>
        <w:tc>
          <w:tcPr>
            <w:tcW w:w="1425" w:type="dxa"/>
            <w:noWrap/>
            <w:hideMark/>
          </w:tcPr>
          <w:p w14:paraId="70EC6DEF" w14:textId="77777777" w:rsidR="007F78E0" w:rsidRPr="00F94E7E" w:rsidRDefault="007F78E0" w:rsidP="000D7426">
            <w:pPr>
              <w:pStyle w:val="Tabletext"/>
            </w:pPr>
            <w:r w:rsidRPr="00F94E7E">
              <w:t>4%</w:t>
            </w:r>
          </w:p>
        </w:tc>
        <w:tc>
          <w:tcPr>
            <w:tcW w:w="2552" w:type="dxa"/>
            <w:noWrap/>
            <w:hideMark/>
          </w:tcPr>
          <w:p w14:paraId="39426994" w14:textId="77777777" w:rsidR="007F78E0" w:rsidRPr="00F94E7E" w:rsidRDefault="007F78E0" w:rsidP="00D65075">
            <w:pPr>
              <w:pStyle w:val="Tabletext"/>
            </w:pPr>
            <w:r w:rsidRPr="00F94E7E">
              <w:t>12.6</w:t>
            </w:r>
          </w:p>
        </w:tc>
      </w:tr>
      <w:tr w:rsidR="007F78E0" w:rsidRPr="00F94E7E" w14:paraId="55479921" w14:textId="77777777" w:rsidTr="000D7426">
        <w:trPr>
          <w:trHeight w:val="290"/>
        </w:trPr>
        <w:tc>
          <w:tcPr>
            <w:tcW w:w="1709" w:type="dxa"/>
            <w:noWrap/>
            <w:hideMark/>
          </w:tcPr>
          <w:p w14:paraId="7BD65BE5" w14:textId="77777777" w:rsidR="007F78E0" w:rsidRPr="00F94E7E" w:rsidRDefault="007F78E0" w:rsidP="000D7426">
            <w:pPr>
              <w:pStyle w:val="Tableheading1"/>
            </w:pPr>
            <w:r w:rsidRPr="00F94E7E">
              <w:t>Total</w:t>
            </w:r>
          </w:p>
        </w:tc>
        <w:tc>
          <w:tcPr>
            <w:tcW w:w="1277" w:type="dxa"/>
            <w:noWrap/>
            <w:hideMark/>
          </w:tcPr>
          <w:p w14:paraId="69904E69" w14:textId="77777777" w:rsidR="007F78E0" w:rsidRPr="00F94E7E" w:rsidRDefault="007F78E0" w:rsidP="000D7426">
            <w:pPr>
              <w:pStyle w:val="Tableheading1"/>
            </w:pPr>
            <w:r w:rsidRPr="00F94E7E">
              <w:t>453</w:t>
            </w:r>
          </w:p>
        </w:tc>
        <w:tc>
          <w:tcPr>
            <w:tcW w:w="1142" w:type="dxa"/>
            <w:noWrap/>
            <w:hideMark/>
          </w:tcPr>
          <w:p w14:paraId="6F377C54" w14:textId="77777777" w:rsidR="007F78E0" w:rsidRPr="00F94E7E" w:rsidRDefault="007F78E0" w:rsidP="000D7426">
            <w:pPr>
              <w:pStyle w:val="Tableheading1"/>
            </w:pPr>
            <w:r w:rsidRPr="00F94E7E">
              <w:t>869</w:t>
            </w:r>
          </w:p>
        </w:tc>
        <w:tc>
          <w:tcPr>
            <w:tcW w:w="1425" w:type="dxa"/>
            <w:noWrap/>
            <w:hideMark/>
          </w:tcPr>
          <w:p w14:paraId="3EA99FF2" w14:textId="77777777" w:rsidR="007F78E0" w:rsidRPr="00A20FB6" w:rsidRDefault="007F78E0" w:rsidP="000D7426">
            <w:pPr>
              <w:pStyle w:val="Tableheading1"/>
            </w:pPr>
            <w:r w:rsidRPr="00A20FB6">
              <w:t>18%</w:t>
            </w:r>
          </w:p>
        </w:tc>
        <w:tc>
          <w:tcPr>
            <w:tcW w:w="2552" w:type="dxa"/>
            <w:noWrap/>
            <w:hideMark/>
          </w:tcPr>
          <w:p w14:paraId="0C69E374" w14:textId="77777777" w:rsidR="007F78E0" w:rsidRPr="00F94E7E" w:rsidRDefault="007F78E0" w:rsidP="000D7426">
            <w:pPr>
              <w:pStyle w:val="Tableheading1"/>
            </w:pPr>
            <w:r w:rsidRPr="00F94E7E">
              <w:t>10.4</w:t>
            </w:r>
          </w:p>
        </w:tc>
      </w:tr>
    </w:tbl>
    <w:p w14:paraId="6B6C22EC" w14:textId="0231A5AA" w:rsidR="00F941D9" w:rsidRPr="00AF2260" w:rsidRDefault="00F941D9" w:rsidP="00420C6B">
      <w:pPr>
        <w:pStyle w:val="Text"/>
        <w:rPr>
          <w:b/>
          <w:bCs/>
        </w:rPr>
      </w:pPr>
      <w:r w:rsidRPr="00AF2260">
        <w:rPr>
          <w:b/>
          <w:bCs/>
        </w:rPr>
        <w:t xml:space="preserve">b) Estimating how long it will take to reduce global poverty headcount to below </w:t>
      </w:r>
      <w:r w:rsidR="002342A5">
        <w:rPr>
          <w:b/>
          <w:bCs/>
        </w:rPr>
        <w:t>1%</w:t>
      </w:r>
      <w:r w:rsidR="00D65075">
        <w:rPr>
          <w:b/>
          <w:bCs/>
        </w:rPr>
        <w:t>.</w:t>
      </w:r>
    </w:p>
    <w:p w14:paraId="769F5CA0" w14:textId="5506961A" w:rsidR="00AD3EE2" w:rsidRDefault="00F941D9" w:rsidP="00420C6B">
      <w:pPr>
        <w:pStyle w:val="Text"/>
      </w:pPr>
      <w:r w:rsidRPr="00AF2260">
        <w:t>We use</w:t>
      </w:r>
      <w:r w:rsidR="005C2687">
        <w:t xml:space="preserve"> </w:t>
      </w:r>
      <w:r w:rsidRPr="00AF2260">
        <w:t>World Bank data</w:t>
      </w:r>
      <w:r w:rsidRPr="00AF2260">
        <w:rPr>
          <w:vertAlign w:val="superscript"/>
        </w:rPr>
        <w:endnoteReference w:id="28"/>
      </w:r>
      <w:r w:rsidRPr="00AF2260">
        <w:t xml:space="preserve"> to calculate the </w:t>
      </w:r>
      <w:r w:rsidR="00776116">
        <w:t>time</w:t>
      </w:r>
      <w:r w:rsidR="00776116" w:rsidRPr="00AF2260">
        <w:t xml:space="preserve"> </w:t>
      </w:r>
      <w:r w:rsidRPr="00AF2260">
        <w:t xml:space="preserve">needed </w:t>
      </w:r>
      <w:r w:rsidR="00AD3EE2">
        <w:t xml:space="preserve">to </w:t>
      </w:r>
      <w:r w:rsidR="00776116">
        <w:t xml:space="preserve">reduce </w:t>
      </w:r>
      <w:r w:rsidRPr="00AF2260">
        <w:t>(</w:t>
      </w:r>
      <w:r w:rsidR="00776116">
        <w:t xml:space="preserve">to </w:t>
      </w:r>
      <w:r>
        <w:t>below 1%</w:t>
      </w:r>
      <w:r w:rsidRPr="00AF2260">
        <w:t>) poverty at</w:t>
      </w:r>
      <w:r w:rsidR="005C2687">
        <w:t xml:space="preserve"> </w:t>
      </w:r>
      <w:r w:rsidRPr="00AF2260">
        <w:t xml:space="preserve">$6.85 a day. </w:t>
      </w:r>
      <w:r w:rsidR="00FD5F88">
        <w:t>This is the higher of the three global poverty lines used by the World Bank</w:t>
      </w:r>
      <w:r w:rsidR="00D65075">
        <w:t>; it</w:t>
      </w:r>
      <w:r w:rsidR="00FD5F88">
        <w:t xml:space="preserve"> is used because we believe it gives the most accurate picture of the numbers of people globally living in poverty.</w:t>
      </w:r>
    </w:p>
    <w:p w14:paraId="6D6A6BCA" w14:textId="4945DB36" w:rsidR="00AB3060" w:rsidRDefault="00F941D9" w:rsidP="00420C6B">
      <w:pPr>
        <w:pStyle w:val="Text"/>
      </w:pPr>
      <w:r w:rsidRPr="00AF2260">
        <w:t xml:space="preserve">First, we calculate the average annual reduction in global poverty headcount between 2015 </w:t>
      </w:r>
      <w:r w:rsidR="00776116">
        <w:t>and</w:t>
      </w:r>
      <w:r w:rsidR="00776116" w:rsidRPr="00AF2260">
        <w:t xml:space="preserve"> </w:t>
      </w:r>
      <w:r w:rsidRPr="00AF2260">
        <w:t>2019</w:t>
      </w:r>
      <w:r>
        <w:t>. Global poverty headcount at US$6.85 per day reduced from 51.17% in 2015 to 46.92% in 2019, an annual dec</w:t>
      </w:r>
      <w:r w:rsidR="002953EE">
        <w:t>rease</w:t>
      </w:r>
      <w:r>
        <w:t xml:space="preserve"> of</w:t>
      </w:r>
      <w:r w:rsidRPr="00AF2260">
        <w:t xml:space="preserve"> 1.7%. </w:t>
      </w:r>
      <w:r w:rsidR="002423A3">
        <w:t>Using this rate of reduction in poverty, w</w:t>
      </w:r>
      <w:r>
        <w:t>e forecast how long it will take to reduce global poverty to 0.99%</w:t>
      </w:r>
      <w:r w:rsidR="003114D6">
        <w:t xml:space="preserve">. </w:t>
      </w:r>
    </w:p>
    <w:p w14:paraId="6DBAFE2E" w14:textId="1F58D85B" w:rsidR="00F941D9" w:rsidRDefault="00F941D9" w:rsidP="00420C6B">
      <w:pPr>
        <w:pStyle w:val="Text"/>
      </w:pPr>
      <w:r w:rsidRPr="00AF2260">
        <w:lastRenderedPageBreak/>
        <w:t xml:space="preserve">The result shows it will take 229 (almost 230) years for poverty </w:t>
      </w:r>
      <w:r w:rsidR="00AB3060">
        <w:t>at</w:t>
      </w:r>
      <w:r w:rsidR="00464A76">
        <w:t xml:space="preserve"> the</w:t>
      </w:r>
      <w:r w:rsidR="00AB3060">
        <w:t xml:space="preserve"> US$6.85</w:t>
      </w:r>
      <w:r w:rsidR="00464A76">
        <w:t xml:space="preserve"> poverty line</w:t>
      </w:r>
      <w:r w:rsidR="00AB3060">
        <w:t xml:space="preserve"> </w:t>
      </w:r>
      <w:r w:rsidRPr="00AF2260">
        <w:t>to fall below 1%. </w:t>
      </w:r>
      <w:r w:rsidR="00185FD6">
        <w:t>Since more women than men live in poverty,</w:t>
      </w:r>
      <w:r w:rsidR="00185FD6">
        <w:rPr>
          <w:rStyle w:val="EndnoteReference"/>
          <w:rFonts w:cstheme="minorHAnsi"/>
        </w:rPr>
        <w:endnoteReference w:id="29"/>
      </w:r>
      <w:r w:rsidR="00185FD6">
        <w:t xml:space="preserve"> it would take women more time to reach a poverty target of </w:t>
      </w:r>
      <w:r w:rsidR="00BB6A6F">
        <w:t>1</w:t>
      </w:r>
      <w:r w:rsidR="00185FD6">
        <w:t>% and below</w:t>
      </w:r>
      <w:r w:rsidR="00BB6A6F">
        <w:t xml:space="preserve"> than the 229 years calculated here</w:t>
      </w:r>
      <w:r w:rsidR="00882374">
        <w:t>.</w:t>
      </w:r>
    </w:p>
    <w:p w14:paraId="2E70EED4" w14:textId="77777777" w:rsidR="00464A76" w:rsidRPr="00AF2260" w:rsidRDefault="00464A76" w:rsidP="00420C6B">
      <w:pPr>
        <w:pStyle w:val="Text"/>
      </w:pPr>
    </w:p>
    <w:p w14:paraId="39B6152F" w14:textId="4A7E1A93" w:rsidR="00F941D9" w:rsidRPr="00AF2260" w:rsidRDefault="00F941D9" w:rsidP="00AF2260">
      <w:pPr>
        <w:spacing w:line="259" w:lineRule="auto"/>
        <w:rPr>
          <w:rFonts w:cstheme="minorHAnsi"/>
        </w:rPr>
      </w:pPr>
      <m:oMathPara>
        <m:oMath>
          <m:r>
            <w:rPr>
              <w:rFonts w:ascii="Cambria Math" w:hAnsi="Cambria Math" w:cstheme="minorHAnsi"/>
            </w:rPr>
            <m:t>n=</m:t>
          </m:r>
          <m:func>
            <m:funcPr>
              <m:ctrlPr>
                <w:rPr>
                  <w:rFonts w:ascii="Cambria Math" w:hAnsi="Cambria Math" w:cstheme="minorHAnsi"/>
                  <w:i/>
                </w:rPr>
              </m:ctrlPr>
            </m:funcPr>
            <m:fName>
              <m:r>
                <w:rPr>
                  <w:rFonts w:ascii="Cambria Math" w:hAnsi="Cambria Math" w:cstheme="minorHAnsi"/>
                </w:rPr>
                <m:t>Ln</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o</m:t>
                      </m:r>
                    </m:sub>
                  </m:sSub>
                </m:e>
              </m:d>
            </m:e>
          </m:func>
          <m:r>
            <w:rPr>
              <w:rFonts w:ascii="Cambria Math" w:hAnsi="Cambria Math" w:cstheme="minorHAnsi"/>
            </w:rPr>
            <m:t>∕Ln</m:t>
          </m:r>
          <m:d>
            <m:dPr>
              <m:ctrlPr>
                <w:rPr>
                  <w:rFonts w:ascii="Cambria Math" w:hAnsi="Cambria Math" w:cstheme="minorHAnsi"/>
                  <w:i/>
                </w:rPr>
              </m:ctrlPr>
            </m:dPr>
            <m:e>
              <m:r>
                <w:rPr>
                  <w:rFonts w:ascii="Cambria Math" w:hAnsi="Cambria Math" w:cstheme="minorHAnsi"/>
                </w:rPr>
                <m:t>1+r</m:t>
              </m:r>
            </m:e>
          </m:d>
        </m:oMath>
      </m:oMathPara>
    </w:p>
    <w:p w14:paraId="19578A43" w14:textId="0E1BFA71" w:rsidR="00F941D9" w:rsidRPr="00AF2260" w:rsidRDefault="002342A5" w:rsidP="00420C6B">
      <w:pPr>
        <w:pStyle w:val="Text"/>
      </w:pPr>
      <w:r>
        <w:t>w</w:t>
      </w:r>
      <w:r w:rsidR="00F941D9" w:rsidRPr="73A29971">
        <w:t>here</w:t>
      </w:r>
      <w:r>
        <w:t>:</w:t>
      </w:r>
    </w:p>
    <w:p w14:paraId="4E5FEC2E" w14:textId="62636CBB" w:rsidR="00F941D9" w:rsidRPr="00AF2260" w:rsidRDefault="00F941D9" w:rsidP="00420C6B">
      <w:pPr>
        <w:pStyle w:val="Textlistbullet"/>
      </w:pPr>
      <w:r w:rsidRPr="00895066">
        <w:rPr>
          <w:i/>
          <w:iCs/>
        </w:rPr>
        <w:t>n</w:t>
      </w:r>
      <w:r w:rsidRPr="00AF2260">
        <w:t xml:space="preserve"> is the number of years it will take to reach the target poverty </w:t>
      </w:r>
      <w:proofErr w:type="gramStart"/>
      <w:r w:rsidRPr="00AF2260">
        <w:t>headcount</w:t>
      </w:r>
      <w:r w:rsidR="002342A5">
        <w:t>;</w:t>
      </w:r>
      <w:proofErr w:type="gramEnd"/>
    </w:p>
    <w:p w14:paraId="50F47142" w14:textId="1B5108CD" w:rsidR="00F941D9" w:rsidRPr="00AF2260" w:rsidRDefault="00F941D9" w:rsidP="00420C6B">
      <w:pPr>
        <w:pStyle w:val="Textlistbullet"/>
      </w:pPr>
      <w:r w:rsidRPr="00895066">
        <w:rPr>
          <w:i/>
          <w:iCs/>
        </w:rPr>
        <w:t>P</w:t>
      </w:r>
      <w:r w:rsidRPr="00895066">
        <w:rPr>
          <w:i/>
          <w:iCs/>
          <w:vertAlign w:val="subscript"/>
        </w:rPr>
        <w:t>t</w:t>
      </w:r>
      <w:r w:rsidRPr="00895066">
        <w:rPr>
          <w:i/>
          <w:iCs/>
        </w:rPr>
        <w:t xml:space="preserve"> </w:t>
      </w:r>
      <w:r w:rsidRPr="00AF2260">
        <w:t xml:space="preserve">is the target poverty headcount, </w:t>
      </w:r>
      <w:proofErr w:type="gramStart"/>
      <w:r w:rsidRPr="00AF2260">
        <w:t>i.e.</w:t>
      </w:r>
      <w:proofErr w:type="gramEnd"/>
      <w:r w:rsidRPr="00AF2260">
        <w:t xml:space="preserve"> 0.99%; </w:t>
      </w:r>
    </w:p>
    <w:p w14:paraId="4CA9D4EE" w14:textId="47E739C2" w:rsidR="00F941D9" w:rsidRPr="00AF2260" w:rsidRDefault="00F941D9" w:rsidP="00420C6B">
      <w:pPr>
        <w:pStyle w:val="Textlistbullet"/>
      </w:pPr>
      <w:r w:rsidRPr="00895066">
        <w:rPr>
          <w:i/>
          <w:iCs/>
        </w:rPr>
        <w:t>P</w:t>
      </w:r>
      <w:r w:rsidRPr="00895066">
        <w:rPr>
          <w:i/>
          <w:iCs/>
          <w:vertAlign w:val="subscript"/>
        </w:rPr>
        <w:t>o</w:t>
      </w:r>
      <w:r w:rsidRPr="00895066">
        <w:rPr>
          <w:i/>
          <w:iCs/>
        </w:rPr>
        <w:t xml:space="preserve"> </w:t>
      </w:r>
      <w:r w:rsidRPr="00AF2260">
        <w:t xml:space="preserve">is the current poverty </w:t>
      </w:r>
      <w:r w:rsidR="00971D53">
        <w:t>headcount</w:t>
      </w:r>
      <w:r w:rsidRPr="00AF2260">
        <w:t xml:space="preserve">, </w:t>
      </w:r>
      <w:proofErr w:type="gramStart"/>
      <w:r w:rsidRPr="00AF2260">
        <w:t>i.e.</w:t>
      </w:r>
      <w:proofErr w:type="gramEnd"/>
      <w:r w:rsidRPr="00AF2260">
        <w:t xml:space="preserve"> 45.9%</w:t>
      </w:r>
      <w:r w:rsidR="002342A5">
        <w:t>;</w:t>
      </w:r>
    </w:p>
    <w:p w14:paraId="5D619401" w14:textId="76D49246" w:rsidR="00420C6B" w:rsidRPr="00420C6B" w:rsidRDefault="00F941D9" w:rsidP="00420C6B">
      <w:pPr>
        <w:pStyle w:val="Textlistbullet"/>
      </w:pPr>
      <w:r w:rsidRPr="00895066">
        <w:rPr>
          <w:i/>
          <w:iCs/>
        </w:rPr>
        <w:t xml:space="preserve">r </w:t>
      </w:r>
      <w:r w:rsidRPr="00AF2260">
        <w:t>is the annual reduction rate in poverty headcount between 2015</w:t>
      </w:r>
      <w:r w:rsidR="002342A5">
        <w:t xml:space="preserve"> and</w:t>
      </w:r>
      <w:r w:rsidR="00776116">
        <w:t xml:space="preserve"> </w:t>
      </w:r>
      <w:r w:rsidR="002342A5">
        <w:t>20</w:t>
      </w:r>
      <w:r w:rsidRPr="00AF2260">
        <w:t>19</w:t>
      </w:r>
      <w:r w:rsidR="002342A5">
        <w:t>,</w:t>
      </w:r>
      <w:r w:rsidRPr="00AF2260">
        <w:t xml:space="preserve"> </w:t>
      </w:r>
      <w:proofErr w:type="gramStart"/>
      <w:r w:rsidRPr="00AF2260">
        <w:t>i.e</w:t>
      </w:r>
      <w:r w:rsidR="002342A5">
        <w:t>.</w:t>
      </w:r>
      <w:proofErr w:type="gramEnd"/>
      <w:r w:rsidRPr="00AF2260">
        <w:t xml:space="preserve"> -1.7%.</w:t>
      </w:r>
    </w:p>
    <w:p w14:paraId="3AFAF5E0" w14:textId="4AB04057" w:rsidR="00F941D9" w:rsidRPr="002375E4" w:rsidRDefault="00F941D9" w:rsidP="00420C6B">
      <w:pPr>
        <w:pStyle w:val="Tablecaption"/>
      </w:pPr>
      <w:r w:rsidRPr="002375E4">
        <w:t xml:space="preserve">Table </w:t>
      </w:r>
      <w:r>
        <w:t>1.6</w:t>
      </w:r>
      <w:r w:rsidRPr="002375E4">
        <w:t xml:space="preserve">: </w:t>
      </w:r>
      <w:r w:rsidR="00FA61CB">
        <w:t xml:space="preserve">Global </w:t>
      </w:r>
      <w:r w:rsidR="00735E8E">
        <w:t>p</w:t>
      </w:r>
      <w:r w:rsidRPr="002375E4">
        <w:t xml:space="preserve">overty headcount </w:t>
      </w:r>
    </w:p>
    <w:tbl>
      <w:tblPr>
        <w:tblStyle w:val="TableGrid"/>
        <w:tblW w:w="7977" w:type="dxa"/>
        <w:tblInd w:w="-5" w:type="dxa"/>
        <w:tblLook w:val="04A0" w:firstRow="1" w:lastRow="0" w:firstColumn="1" w:lastColumn="0" w:noHBand="0" w:noVBand="1"/>
      </w:tblPr>
      <w:tblGrid>
        <w:gridCol w:w="1418"/>
        <w:gridCol w:w="687"/>
        <w:gridCol w:w="686"/>
        <w:gridCol w:w="686"/>
        <w:gridCol w:w="686"/>
        <w:gridCol w:w="685"/>
        <w:gridCol w:w="685"/>
        <w:gridCol w:w="723"/>
        <w:gridCol w:w="816"/>
        <w:gridCol w:w="905"/>
      </w:tblGrid>
      <w:tr w:rsidR="00895066" w:rsidRPr="00AF4C2E" w14:paraId="66619130" w14:textId="77777777" w:rsidTr="00C910A3">
        <w:trPr>
          <w:trHeight w:val="290"/>
        </w:trPr>
        <w:tc>
          <w:tcPr>
            <w:tcW w:w="1418" w:type="dxa"/>
            <w:noWrap/>
            <w:hideMark/>
          </w:tcPr>
          <w:p w14:paraId="0486A32B" w14:textId="6A868C28" w:rsidR="00F941D9" w:rsidRPr="00D63839" w:rsidRDefault="00F941D9" w:rsidP="00E3711F">
            <w:pPr>
              <w:pStyle w:val="Tableheading1"/>
            </w:pPr>
            <w:r>
              <w:t>Poverty line, US$ 2017 PP</w:t>
            </w:r>
            <w:r w:rsidR="007B64A0">
              <w:t>P</w:t>
            </w:r>
          </w:p>
        </w:tc>
        <w:tc>
          <w:tcPr>
            <w:tcW w:w="687" w:type="dxa"/>
            <w:noWrap/>
            <w:hideMark/>
          </w:tcPr>
          <w:p w14:paraId="7B72C26A" w14:textId="77777777" w:rsidR="00F941D9" w:rsidRPr="00D63839" w:rsidRDefault="00F941D9" w:rsidP="00E3711F">
            <w:pPr>
              <w:pStyle w:val="Tableheading1"/>
            </w:pPr>
            <w:r w:rsidRPr="00D63839">
              <w:t>2015</w:t>
            </w:r>
          </w:p>
        </w:tc>
        <w:tc>
          <w:tcPr>
            <w:tcW w:w="686" w:type="dxa"/>
            <w:noWrap/>
            <w:hideMark/>
          </w:tcPr>
          <w:p w14:paraId="7C9966C0" w14:textId="77777777" w:rsidR="00F941D9" w:rsidRPr="00D63839" w:rsidRDefault="00F941D9" w:rsidP="00E3711F">
            <w:pPr>
              <w:pStyle w:val="Tableheading1"/>
            </w:pPr>
            <w:r w:rsidRPr="00D63839">
              <w:t>2016</w:t>
            </w:r>
          </w:p>
        </w:tc>
        <w:tc>
          <w:tcPr>
            <w:tcW w:w="686" w:type="dxa"/>
            <w:noWrap/>
            <w:hideMark/>
          </w:tcPr>
          <w:p w14:paraId="2407C977" w14:textId="77777777" w:rsidR="00F941D9" w:rsidRPr="00D63839" w:rsidRDefault="00F941D9" w:rsidP="00E3711F">
            <w:pPr>
              <w:pStyle w:val="Tableheading1"/>
            </w:pPr>
            <w:r w:rsidRPr="00D63839">
              <w:t>2017</w:t>
            </w:r>
          </w:p>
        </w:tc>
        <w:tc>
          <w:tcPr>
            <w:tcW w:w="686" w:type="dxa"/>
            <w:noWrap/>
            <w:hideMark/>
          </w:tcPr>
          <w:p w14:paraId="59C89B7E" w14:textId="77777777" w:rsidR="00F941D9" w:rsidRPr="00D63839" w:rsidRDefault="00F941D9" w:rsidP="00E3711F">
            <w:pPr>
              <w:pStyle w:val="Tableheading1"/>
            </w:pPr>
            <w:r w:rsidRPr="00D63839">
              <w:t>2018</w:t>
            </w:r>
          </w:p>
        </w:tc>
        <w:tc>
          <w:tcPr>
            <w:tcW w:w="685" w:type="dxa"/>
            <w:noWrap/>
            <w:hideMark/>
          </w:tcPr>
          <w:p w14:paraId="000212A2" w14:textId="77777777" w:rsidR="00F941D9" w:rsidRPr="00D63839" w:rsidRDefault="00F941D9" w:rsidP="00E3711F">
            <w:pPr>
              <w:pStyle w:val="Tableheading1"/>
            </w:pPr>
            <w:r w:rsidRPr="00D63839">
              <w:t>2019</w:t>
            </w:r>
          </w:p>
        </w:tc>
        <w:tc>
          <w:tcPr>
            <w:tcW w:w="685" w:type="dxa"/>
            <w:noWrap/>
            <w:hideMark/>
          </w:tcPr>
          <w:p w14:paraId="6A918CDE" w14:textId="77777777" w:rsidR="00F941D9" w:rsidRPr="00D63839" w:rsidRDefault="00F941D9" w:rsidP="00E3711F">
            <w:pPr>
              <w:pStyle w:val="Tableheading1"/>
            </w:pPr>
            <w:r w:rsidRPr="00D63839">
              <w:t>2020</w:t>
            </w:r>
          </w:p>
        </w:tc>
        <w:tc>
          <w:tcPr>
            <w:tcW w:w="723" w:type="dxa"/>
            <w:noWrap/>
            <w:hideMark/>
          </w:tcPr>
          <w:p w14:paraId="6CD60D71" w14:textId="77777777" w:rsidR="00F941D9" w:rsidRPr="00D63839" w:rsidRDefault="00F941D9" w:rsidP="00E3711F">
            <w:pPr>
              <w:pStyle w:val="Tableheading1"/>
            </w:pPr>
            <w:r w:rsidRPr="00D63839">
              <w:t>2021</w:t>
            </w:r>
          </w:p>
        </w:tc>
        <w:tc>
          <w:tcPr>
            <w:tcW w:w="816" w:type="dxa"/>
            <w:noWrap/>
            <w:hideMark/>
          </w:tcPr>
          <w:p w14:paraId="6ACEAC39" w14:textId="77777777" w:rsidR="00F941D9" w:rsidRPr="00D63839" w:rsidRDefault="00F941D9" w:rsidP="00E3711F">
            <w:pPr>
              <w:pStyle w:val="Tableheading1"/>
            </w:pPr>
            <w:r w:rsidRPr="00D63839">
              <w:t>2022</w:t>
            </w:r>
          </w:p>
        </w:tc>
        <w:tc>
          <w:tcPr>
            <w:tcW w:w="905" w:type="dxa"/>
            <w:noWrap/>
            <w:hideMark/>
          </w:tcPr>
          <w:p w14:paraId="15B1F06F" w14:textId="77777777" w:rsidR="00F941D9" w:rsidRPr="00D63839" w:rsidRDefault="00F941D9" w:rsidP="00E3711F">
            <w:pPr>
              <w:pStyle w:val="Tableheading1"/>
            </w:pPr>
            <w:r w:rsidRPr="00D63839">
              <w:t>2023</w:t>
            </w:r>
          </w:p>
        </w:tc>
      </w:tr>
      <w:tr w:rsidR="00895066" w:rsidRPr="00AF4C2E" w14:paraId="594FD7C8" w14:textId="77777777" w:rsidTr="00C910A3">
        <w:trPr>
          <w:trHeight w:val="290"/>
        </w:trPr>
        <w:tc>
          <w:tcPr>
            <w:tcW w:w="1418" w:type="dxa"/>
            <w:noWrap/>
            <w:hideMark/>
          </w:tcPr>
          <w:p w14:paraId="06F0D337" w14:textId="17FFD5BD" w:rsidR="00F941D9" w:rsidRPr="00D63839" w:rsidRDefault="007B64A0" w:rsidP="00895066">
            <w:pPr>
              <w:pStyle w:val="Tableheading2"/>
            </w:pPr>
            <w:r>
              <w:t>US</w:t>
            </w:r>
            <w:r w:rsidR="00F941D9" w:rsidRPr="00D63839">
              <w:t>$2.15</w:t>
            </w:r>
          </w:p>
        </w:tc>
        <w:tc>
          <w:tcPr>
            <w:tcW w:w="687" w:type="dxa"/>
            <w:noWrap/>
            <w:hideMark/>
          </w:tcPr>
          <w:p w14:paraId="68B2539E" w14:textId="77777777" w:rsidR="00F941D9" w:rsidRPr="00AF4C2E" w:rsidRDefault="00F941D9" w:rsidP="00E3711F">
            <w:pPr>
              <w:pStyle w:val="Tabletext"/>
            </w:pPr>
            <w:r w:rsidRPr="00AF4C2E">
              <w:t>10.81</w:t>
            </w:r>
          </w:p>
        </w:tc>
        <w:tc>
          <w:tcPr>
            <w:tcW w:w="686" w:type="dxa"/>
            <w:noWrap/>
            <w:hideMark/>
          </w:tcPr>
          <w:p w14:paraId="1C3ECA0A" w14:textId="77777777" w:rsidR="00F941D9" w:rsidRPr="00AF4C2E" w:rsidRDefault="00F941D9" w:rsidP="00E3711F">
            <w:pPr>
              <w:pStyle w:val="Tabletext"/>
            </w:pPr>
            <w:r w:rsidRPr="00AF4C2E">
              <w:t>10.52</w:t>
            </w:r>
          </w:p>
        </w:tc>
        <w:tc>
          <w:tcPr>
            <w:tcW w:w="686" w:type="dxa"/>
            <w:noWrap/>
            <w:hideMark/>
          </w:tcPr>
          <w:p w14:paraId="2FD99BDA" w14:textId="77777777" w:rsidR="00F941D9" w:rsidRPr="00AF4C2E" w:rsidRDefault="00F941D9" w:rsidP="00E3711F">
            <w:pPr>
              <w:pStyle w:val="Tabletext"/>
            </w:pPr>
            <w:r w:rsidRPr="00AF4C2E">
              <w:t>9.82</w:t>
            </w:r>
          </w:p>
        </w:tc>
        <w:tc>
          <w:tcPr>
            <w:tcW w:w="686" w:type="dxa"/>
            <w:noWrap/>
            <w:hideMark/>
          </w:tcPr>
          <w:p w14:paraId="4A3CD934" w14:textId="77777777" w:rsidR="00F941D9" w:rsidRPr="00AF4C2E" w:rsidRDefault="00F941D9" w:rsidP="00E3711F">
            <w:pPr>
              <w:pStyle w:val="Tabletext"/>
            </w:pPr>
            <w:r w:rsidRPr="00AF4C2E">
              <w:t>9.13</w:t>
            </w:r>
          </w:p>
        </w:tc>
        <w:tc>
          <w:tcPr>
            <w:tcW w:w="685" w:type="dxa"/>
            <w:noWrap/>
            <w:hideMark/>
          </w:tcPr>
          <w:p w14:paraId="1B658605" w14:textId="77777777" w:rsidR="00F941D9" w:rsidRPr="00AF4C2E" w:rsidRDefault="00F941D9" w:rsidP="00E3711F">
            <w:pPr>
              <w:pStyle w:val="Tabletext"/>
            </w:pPr>
            <w:r w:rsidRPr="00AF4C2E">
              <w:t>9.05</w:t>
            </w:r>
          </w:p>
        </w:tc>
        <w:tc>
          <w:tcPr>
            <w:tcW w:w="685" w:type="dxa"/>
            <w:noWrap/>
            <w:hideMark/>
          </w:tcPr>
          <w:p w14:paraId="20D33766" w14:textId="77777777" w:rsidR="00F941D9" w:rsidRPr="00AF4C2E" w:rsidRDefault="00F941D9" w:rsidP="00E3711F">
            <w:pPr>
              <w:pStyle w:val="Tabletext"/>
            </w:pPr>
            <w:r w:rsidRPr="00AF4C2E">
              <w:t>9.74</w:t>
            </w:r>
          </w:p>
        </w:tc>
        <w:tc>
          <w:tcPr>
            <w:tcW w:w="723" w:type="dxa"/>
            <w:noWrap/>
            <w:hideMark/>
          </w:tcPr>
          <w:p w14:paraId="620105C4" w14:textId="54A8B049" w:rsidR="00F941D9" w:rsidRPr="00AF4C2E" w:rsidRDefault="00F941D9" w:rsidP="00E3711F">
            <w:pPr>
              <w:pStyle w:val="Tabletext"/>
            </w:pPr>
            <w:r w:rsidRPr="00AF4C2E">
              <w:t>9.3</w:t>
            </w:r>
            <w:r w:rsidR="00776116">
              <w:t>0</w:t>
            </w:r>
          </w:p>
        </w:tc>
        <w:tc>
          <w:tcPr>
            <w:tcW w:w="816" w:type="dxa"/>
            <w:noWrap/>
            <w:hideMark/>
          </w:tcPr>
          <w:p w14:paraId="5C471581" w14:textId="77777777" w:rsidR="00F941D9" w:rsidRPr="00AF4C2E" w:rsidRDefault="00F941D9" w:rsidP="00E3711F">
            <w:pPr>
              <w:pStyle w:val="Tabletext"/>
            </w:pPr>
            <w:r w:rsidRPr="00AF4C2E">
              <w:t>8.85</w:t>
            </w:r>
          </w:p>
        </w:tc>
        <w:tc>
          <w:tcPr>
            <w:tcW w:w="905" w:type="dxa"/>
            <w:noWrap/>
            <w:hideMark/>
          </w:tcPr>
          <w:p w14:paraId="2E10E5E2" w14:textId="77777777" w:rsidR="00F941D9" w:rsidRPr="00AF4C2E" w:rsidRDefault="00F941D9" w:rsidP="00E3711F">
            <w:pPr>
              <w:pStyle w:val="Tabletext"/>
            </w:pPr>
            <w:r w:rsidRPr="00AF4C2E">
              <w:t>8.61</w:t>
            </w:r>
          </w:p>
        </w:tc>
      </w:tr>
      <w:tr w:rsidR="00895066" w:rsidRPr="00AF4C2E" w14:paraId="3C65C1AD" w14:textId="77777777" w:rsidTr="00C910A3">
        <w:trPr>
          <w:trHeight w:val="290"/>
        </w:trPr>
        <w:tc>
          <w:tcPr>
            <w:tcW w:w="1418" w:type="dxa"/>
            <w:noWrap/>
            <w:hideMark/>
          </w:tcPr>
          <w:p w14:paraId="505EA622" w14:textId="4B6FCD76" w:rsidR="00F941D9" w:rsidRPr="00D63839" w:rsidRDefault="007B64A0" w:rsidP="00895066">
            <w:pPr>
              <w:pStyle w:val="Tableheading2"/>
            </w:pPr>
            <w:r>
              <w:t>US$</w:t>
            </w:r>
            <w:r w:rsidR="00F941D9" w:rsidRPr="00D63839">
              <w:t>3.65</w:t>
            </w:r>
          </w:p>
        </w:tc>
        <w:tc>
          <w:tcPr>
            <w:tcW w:w="687" w:type="dxa"/>
            <w:noWrap/>
            <w:hideMark/>
          </w:tcPr>
          <w:p w14:paraId="53D0560C" w14:textId="77777777" w:rsidR="00F941D9" w:rsidRPr="00AF4C2E" w:rsidRDefault="00F941D9" w:rsidP="00E3711F">
            <w:pPr>
              <w:pStyle w:val="Tabletext"/>
            </w:pPr>
            <w:r w:rsidRPr="00AF4C2E">
              <w:t>28.96</w:t>
            </w:r>
          </w:p>
        </w:tc>
        <w:tc>
          <w:tcPr>
            <w:tcW w:w="686" w:type="dxa"/>
            <w:noWrap/>
            <w:hideMark/>
          </w:tcPr>
          <w:p w14:paraId="7A81FB93" w14:textId="0837A79F" w:rsidR="00F941D9" w:rsidRPr="00AF4C2E" w:rsidRDefault="00F941D9" w:rsidP="00E3711F">
            <w:pPr>
              <w:pStyle w:val="Tabletext"/>
            </w:pPr>
            <w:r w:rsidRPr="00AF4C2E">
              <w:t>28.2</w:t>
            </w:r>
            <w:r w:rsidR="00776116">
              <w:t>0</w:t>
            </w:r>
          </w:p>
        </w:tc>
        <w:tc>
          <w:tcPr>
            <w:tcW w:w="686" w:type="dxa"/>
            <w:noWrap/>
            <w:hideMark/>
          </w:tcPr>
          <w:p w14:paraId="679D21D9" w14:textId="77777777" w:rsidR="00F941D9" w:rsidRPr="00AF4C2E" w:rsidRDefault="00F941D9" w:rsidP="00E3711F">
            <w:pPr>
              <w:pStyle w:val="Tabletext"/>
            </w:pPr>
            <w:r w:rsidRPr="00AF4C2E">
              <w:t>27.05</w:t>
            </w:r>
          </w:p>
        </w:tc>
        <w:tc>
          <w:tcPr>
            <w:tcW w:w="686" w:type="dxa"/>
            <w:noWrap/>
            <w:hideMark/>
          </w:tcPr>
          <w:p w14:paraId="12286DF5" w14:textId="77777777" w:rsidR="00F941D9" w:rsidRPr="00AF4C2E" w:rsidRDefault="00F941D9" w:rsidP="00E3711F">
            <w:pPr>
              <w:pStyle w:val="Tabletext"/>
            </w:pPr>
            <w:r w:rsidRPr="00AF4C2E">
              <w:t>25.16</w:t>
            </w:r>
          </w:p>
        </w:tc>
        <w:tc>
          <w:tcPr>
            <w:tcW w:w="685" w:type="dxa"/>
            <w:noWrap/>
            <w:hideMark/>
          </w:tcPr>
          <w:p w14:paraId="340F079A" w14:textId="77777777" w:rsidR="00F941D9" w:rsidRPr="00AF4C2E" w:rsidRDefault="00F941D9" w:rsidP="00E3711F">
            <w:pPr>
              <w:pStyle w:val="Tabletext"/>
            </w:pPr>
            <w:r w:rsidRPr="00AF4C2E">
              <w:t>24.09</w:t>
            </w:r>
          </w:p>
        </w:tc>
        <w:tc>
          <w:tcPr>
            <w:tcW w:w="685" w:type="dxa"/>
            <w:noWrap/>
            <w:hideMark/>
          </w:tcPr>
          <w:p w14:paraId="3FA3703E" w14:textId="77777777" w:rsidR="00F941D9" w:rsidRPr="00AF4C2E" w:rsidRDefault="00F941D9" w:rsidP="00E3711F">
            <w:pPr>
              <w:pStyle w:val="Tabletext"/>
            </w:pPr>
            <w:r w:rsidRPr="00AF4C2E">
              <w:t>25.09</w:t>
            </w:r>
          </w:p>
        </w:tc>
        <w:tc>
          <w:tcPr>
            <w:tcW w:w="723" w:type="dxa"/>
            <w:noWrap/>
            <w:hideMark/>
          </w:tcPr>
          <w:p w14:paraId="7C15D76E" w14:textId="77777777" w:rsidR="00F941D9" w:rsidRPr="00AF4C2E" w:rsidRDefault="00F941D9" w:rsidP="00E3711F">
            <w:pPr>
              <w:pStyle w:val="Tabletext"/>
            </w:pPr>
            <w:r w:rsidRPr="00AF4C2E">
              <w:t>24.45</w:t>
            </w:r>
          </w:p>
        </w:tc>
        <w:tc>
          <w:tcPr>
            <w:tcW w:w="816" w:type="dxa"/>
            <w:noWrap/>
            <w:hideMark/>
          </w:tcPr>
          <w:p w14:paraId="6CF6A027" w14:textId="7DFA13BD" w:rsidR="00F941D9" w:rsidRPr="00AF4C2E" w:rsidRDefault="00F941D9" w:rsidP="00E3711F">
            <w:pPr>
              <w:pStyle w:val="Tabletext"/>
            </w:pPr>
            <w:r w:rsidRPr="00AF4C2E">
              <w:t>23.6</w:t>
            </w:r>
            <w:r w:rsidR="00776116">
              <w:t>0</w:t>
            </w:r>
          </w:p>
        </w:tc>
        <w:tc>
          <w:tcPr>
            <w:tcW w:w="905" w:type="dxa"/>
            <w:noWrap/>
            <w:hideMark/>
          </w:tcPr>
          <w:p w14:paraId="4C6AE87C" w14:textId="77777777" w:rsidR="00F941D9" w:rsidRPr="00AF4C2E" w:rsidRDefault="00F941D9" w:rsidP="00E3711F">
            <w:pPr>
              <w:pStyle w:val="Tabletext"/>
            </w:pPr>
            <w:r w:rsidRPr="00AF4C2E">
              <w:t>23.02</w:t>
            </w:r>
          </w:p>
        </w:tc>
      </w:tr>
      <w:tr w:rsidR="00895066" w:rsidRPr="00AF4C2E" w14:paraId="0AE42AFE" w14:textId="77777777" w:rsidTr="00C910A3">
        <w:trPr>
          <w:trHeight w:val="290"/>
        </w:trPr>
        <w:tc>
          <w:tcPr>
            <w:tcW w:w="1418" w:type="dxa"/>
            <w:noWrap/>
            <w:hideMark/>
          </w:tcPr>
          <w:p w14:paraId="43AF4C5C" w14:textId="4AA3C157" w:rsidR="00F941D9" w:rsidRPr="00D63839" w:rsidRDefault="007B64A0" w:rsidP="00895066">
            <w:pPr>
              <w:pStyle w:val="Tableheading2"/>
            </w:pPr>
            <w:r>
              <w:t>US</w:t>
            </w:r>
            <w:r w:rsidR="00F941D9" w:rsidRPr="00D63839">
              <w:t>$6.85</w:t>
            </w:r>
          </w:p>
        </w:tc>
        <w:tc>
          <w:tcPr>
            <w:tcW w:w="687" w:type="dxa"/>
            <w:noWrap/>
            <w:hideMark/>
          </w:tcPr>
          <w:p w14:paraId="027E9414" w14:textId="77777777" w:rsidR="00F941D9" w:rsidRPr="00AF4C2E" w:rsidRDefault="00F941D9" w:rsidP="00E3711F">
            <w:pPr>
              <w:pStyle w:val="Tabletext"/>
            </w:pPr>
            <w:r w:rsidRPr="00AF4C2E">
              <w:t>51.17</w:t>
            </w:r>
          </w:p>
        </w:tc>
        <w:tc>
          <w:tcPr>
            <w:tcW w:w="686" w:type="dxa"/>
            <w:noWrap/>
            <w:hideMark/>
          </w:tcPr>
          <w:p w14:paraId="4D036DF9" w14:textId="77777777" w:rsidR="00F941D9" w:rsidRPr="00AF4C2E" w:rsidRDefault="00F941D9" w:rsidP="00E3711F">
            <w:pPr>
              <w:pStyle w:val="Tabletext"/>
            </w:pPr>
            <w:r w:rsidRPr="00AF4C2E">
              <w:t>50.22</w:t>
            </w:r>
          </w:p>
        </w:tc>
        <w:tc>
          <w:tcPr>
            <w:tcW w:w="686" w:type="dxa"/>
            <w:noWrap/>
            <w:hideMark/>
          </w:tcPr>
          <w:p w14:paraId="179ED7D5" w14:textId="77777777" w:rsidR="00F941D9" w:rsidRPr="00AF4C2E" w:rsidRDefault="00F941D9" w:rsidP="00E3711F">
            <w:pPr>
              <w:pStyle w:val="Tabletext"/>
            </w:pPr>
            <w:r w:rsidRPr="00AF4C2E">
              <w:t>49.21</w:t>
            </w:r>
          </w:p>
        </w:tc>
        <w:tc>
          <w:tcPr>
            <w:tcW w:w="686" w:type="dxa"/>
            <w:noWrap/>
            <w:hideMark/>
          </w:tcPr>
          <w:p w14:paraId="43CABFD9" w14:textId="77777777" w:rsidR="00F941D9" w:rsidRPr="00AF4C2E" w:rsidRDefault="00F941D9" w:rsidP="00E3711F">
            <w:pPr>
              <w:pStyle w:val="Tabletext"/>
            </w:pPr>
            <w:r w:rsidRPr="00AF4C2E">
              <w:t>47.81</w:t>
            </w:r>
          </w:p>
        </w:tc>
        <w:tc>
          <w:tcPr>
            <w:tcW w:w="685" w:type="dxa"/>
            <w:noWrap/>
            <w:hideMark/>
          </w:tcPr>
          <w:p w14:paraId="542ECDE2" w14:textId="77777777" w:rsidR="00F941D9" w:rsidRPr="00AF4C2E" w:rsidRDefault="00F941D9" w:rsidP="00E3711F">
            <w:pPr>
              <w:pStyle w:val="Tabletext"/>
            </w:pPr>
            <w:r w:rsidRPr="00AF4C2E">
              <w:t>46.92</w:t>
            </w:r>
          </w:p>
        </w:tc>
        <w:tc>
          <w:tcPr>
            <w:tcW w:w="685" w:type="dxa"/>
            <w:noWrap/>
            <w:hideMark/>
          </w:tcPr>
          <w:p w14:paraId="229D4014" w14:textId="77777777" w:rsidR="00F941D9" w:rsidRPr="00AF4C2E" w:rsidRDefault="00F941D9" w:rsidP="00E3711F">
            <w:pPr>
              <w:pStyle w:val="Tabletext"/>
            </w:pPr>
            <w:r w:rsidRPr="00AF4C2E">
              <w:t>47.76</w:t>
            </w:r>
          </w:p>
        </w:tc>
        <w:tc>
          <w:tcPr>
            <w:tcW w:w="723" w:type="dxa"/>
            <w:noWrap/>
            <w:hideMark/>
          </w:tcPr>
          <w:p w14:paraId="05B0051A" w14:textId="77777777" w:rsidR="00F941D9" w:rsidRPr="00AF4C2E" w:rsidRDefault="00F941D9" w:rsidP="00E3711F">
            <w:pPr>
              <w:pStyle w:val="Tabletext"/>
            </w:pPr>
            <w:r w:rsidRPr="00AF4C2E">
              <w:t>47.14</w:t>
            </w:r>
          </w:p>
        </w:tc>
        <w:tc>
          <w:tcPr>
            <w:tcW w:w="816" w:type="dxa"/>
            <w:noWrap/>
            <w:hideMark/>
          </w:tcPr>
          <w:p w14:paraId="4CC07503" w14:textId="77777777" w:rsidR="00F941D9" w:rsidRPr="00AF4C2E" w:rsidRDefault="00F941D9" w:rsidP="00E3711F">
            <w:pPr>
              <w:pStyle w:val="Tabletext"/>
            </w:pPr>
            <w:r w:rsidRPr="00AF4C2E">
              <w:t>46.55</w:t>
            </w:r>
          </w:p>
        </w:tc>
        <w:tc>
          <w:tcPr>
            <w:tcW w:w="905" w:type="dxa"/>
            <w:noWrap/>
            <w:hideMark/>
          </w:tcPr>
          <w:p w14:paraId="0E55C145" w14:textId="6789D1F8" w:rsidR="00F941D9" w:rsidRPr="00AF4C2E" w:rsidRDefault="00F941D9" w:rsidP="00E3711F">
            <w:pPr>
              <w:pStyle w:val="Tabletext"/>
            </w:pPr>
            <w:r w:rsidRPr="00AF4C2E">
              <w:t>45.9</w:t>
            </w:r>
            <w:r w:rsidR="00776116">
              <w:t>0</w:t>
            </w:r>
          </w:p>
        </w:tc>
      </w:tr>
    </w:tbl>
    <w:p w14:paraId="0C3691D0" w14:textId="77777777" w:rsidR="00F941D9" w:rsidRDefault="00F941D9" w:rsidP="00636D64">
      <w:pPr>
        <w:spacing w:line="259" w:lineRule="auto"/>
        <w:rPr>
          <w:rFonts w:cstheme="minorHAnsi"/>
        </w:rPr>
      </w:pPr>
    </w:p>
    <w:p w14:paraId="5A70D1B5" w14:textId="7B402396" w:rsidR="00FA61CB" w:rsidRPr="00FA61CB" w:rsidRDefault="00FA61CB" w:rsidP="00636D64">
      <w:pPr>
        <w:spacing w:line="259" w:lineRule="auto"/>
        <w:rPr>
          <w:rFonts w:cstheme="minorHAnsi"/>
          <w:b/>
          <w:bCs/>
        </w:rPr>
      </w:pPr>
      <w:r>
        <w:rPr>
          <w:b/>
          <w:bCs/>
        </w:rPr>
        <w:t xml:space="preserve">Table 1.7: </w:t>
      </w:r>
      <w:r w:rsidRPr="00FA61CB">
        <w:rPr>
          <w:b/>
          <w:bCs/>
        </w:rPr>
        <w:t>Number of years to reach poverty rate of 0.99%</w:t>
      </w:r>
    </w:p>
    <w:tbl>
      <w:tblPr>
        <w:tblStyle w:val="TableGrid"/>
        <w:tblpPr w:leftFromText="180" w:rightFromText="180" w:vertAnchor="text" w:horzAnchor="margin" w:tblpY="188"/>
        <w:tblW w:w="7933" w:type="dxa"/>
        <w:tblInd w:w="0" w:type="dxa"/>
        <w:tblLook w:val="04A0" w:firstRow="1" w:lastRow="0" w:firstColumn="1" w:lastColumn="0" w:noHBand="0" w:noVBand="1"/>
      </w:tblPr>
      <w:tblGrid>
        <w:gridCol w:w="3256"/>
        <w:gridCol w:w="1275"/>
        <w:gridCol w:w="1276"/>
        <w:gridCol w:w="2126"/>
      </w:tblGrid>
      <w:tr w:rsidR="00F941D9" w:rsidRPr="00636D64" w14:paraId="79BCC7AD" w14:textId="77777777" w:rsidTr="00895066">
        <w:trPr>
          <w:trHeight w:val="580"/>
        </w:trPr>
        <w:tc>
          <w:tcPr>
            <w:tcW w:w="3256" w:type="dxa"/>
            <w:hideMark/>
          </w:tcPr>
          <w:p w14:paraId="7E14B641" w14:textId="18C3E6D1" w:rsidR="00F941D9" w:rsidRPr="00636D64" w:rsidRDefault="00F941D9" w:rsidP="00E3711F">
            <w:pPr>
              <w:pStyle w:val="Tableheading2"/>
            </w:pPr>
            <w:r w:rsidRPr="00636D64">
              <w:t xml:space="preserve">Target </w:t>
            </w:r>
            <w:r>
              <w:t xml:space="preserve">poverty </w:t>
            </w:r>
            <w:r w:rsidRPr="00636D64">
              <w:t>rate/pov</w:t>
            </w:r>
            <w:r>
              <w:t>erty</w:t>
            </w:r>
            <w:r w:rsidRPr="00636D64">
              <w:t xml:space="preserve"> line</w:t>
            </w:r>
          </w:p>
        </w:tc>
        <w:tc>
          <w:tcPr>
            <w:tcW w:w="1275" w:type="dxa"/>
            <w:noWrap/>
            <w:hideMark/>
          </w:tcPr>
          <w:p w14:paraId="7BA0DF2F" w14:textId="73C918A4" w:rsidR="00F941D9" w:rsidRPr="00636D64" w:rsidRDefault="007B64A0" w:rsidP="00E3711F">
            <w:pPr>
              <w:pStyle w:val="Tabletext"/>
            </w:pPr>
            <w:r>
              <w:t>US</w:t>
            </w:r>
            <w:r w:rsidR="00F941D9" w:rsidRPr="00636D64">
              <w:t>$2.15</w:t>
            </w:r>
          </w:p>
        </w:tc>
        <w:tc>
          <w:tcPr>
            <w:tcW w:w="1276" w:type="dxa"/>
            <w:noWrap/>
            <w:hideMark/>
          </w:tcPr>
          <w:p w14:paraId="659F0CC7" w14:textId="53FFA0D0" w:rsidR="00F941D9" w:rsidRPr="00636D64" w:rsidRDefault="007B64A0" w:rsidP="00E3711F">
            <w:pPr>
              <w:pStyle w:val="Tabletext"/>
            </w:pPr>
            <w:r>
              <w:t>US</w:t>
            </w:r>
            <w:r w:rsidR="00F941D9" w:rsidRPr="00636D64">
              <w:t>$3.65</w:t>
            </w:r>
          </w:p>
        </w:tc>
        <w:tc>
          <w:tcPr>
            <w:tcW w:w="2126" w:type="dxa"/>
            <w:noWrap/>
            <w:hideMark/>
          </w:tcPr>
          <w:p w14:paraId="21BA0E21" w14:textId="108FC7E0" w:rsidR="00F941D9" w:rsidRPr="00636D64" w:rsidRDefault="007B64A0" w:rsidP="00E3711F">
            <w:pPr>
              <w:pStyle w:val="Tabletext"/>
            </w:pPr>
            <w:r>
              <w:t>US</w:t>
            </w:r>
            <w:r w:rsidR="00F941D9" w:rsidRPr="00636D64">
              <w:t>$6.85</w:t>
            </w:r>
          </w:p>
        </w:tc>
      </w:tr>
      <w:tr w:rsidR="00F941D9" w:rsidRPr="00636D64" w14:paraId="690BD01F" w14:textId="77777777" w:rsidTr="00895066">
        <w:trPr>
          <w:trHeight w:val="290"/>
        </w:trPr>
        <w:tc>
          <w:tcPr>
            <w:tcW w:w="3256" w:type="dxa"/>
            <w:noWrap/>
            <w:hideMark/>
          </w:tcPr>
          <w:p w14:paraId="5A4520D2" w14:textId="53B7AEBF" w:rsidR="00F941D9" w:rsidRPr="00636D64" w:rsidRDefault="00F941D9" w:rsidP="00E3711F">
            <w:pPr>
              <w:pStyle w:val="Tableheading2"/>
            </w:pPr>
            <w:r>
              <w:t>Years to reach poverty rate of 0.99%</w:t>
            </w:r>
          </w:p>
        </w:tc>
        <w:tc>
          <w:tcPr>
            <w:tcW w:w="1275" w:type="dxa"/>
            <w:noWrap/>
            <w:hideMark/>
          </w:tcPr>
          <w:p w14:paraId="29090490" w14:textId="77777777" w:rsidR="00F941D9" w:rsidRPr="00636D64" w:rsidRDefault="00F941D9" w:rsidP="00E3711F">
            <w:pPr>
              <w:pStyle w:val="Tabletext"/>
            </w:pPr>
            <w:r w:rsidRPr="00636D64">
              <w:t>65</w:t>
            </w:r>
          </w:p>
        </w:tc>
        <w:tc>
          <w:tcPr>
            <w:tcW w:w="1276" w:type="dxa"/>
            <w:noWrap/>
            <w:hideMark/>
          </w:tcPr>
          <w:p w14:paraId="5A00CDD8" w14:textId="77777777" w:rsidR="00F941D9" w:rsidRPr="00636D64" w:rsidRDefault="00F941D9" w:rsidP="00E3711F">
            <w:pPr>
              <w:pStyle w:val="Tabletext"/>
            </w:pPr>
            <w:r w:rsidRPr="00636D64">
              <w:t>92</w:t>
            </w:r>
          </w:p>
        </w:tc>
        <w:tc>
          <w:tcPr>
            <w:tcW w:w="2126" w:type="dxa"/>
            <w:noWrap/>
            <w:hideMark/>
          </w:tcPr>
          <w:p w14:paraId="6BE5C6E2" w14:textId="77777777" w:rsidR="00F941D9" w:rsidRPr="00636D64" w:rsidRDefault="00F941D9" w:rsidP="00E3711F">
            <w:pPr>
              <w:pStyle w:val="Tabletext"/>
            </w:pPr>
            <w:r w:rsidRPr="00636D64">
              <w:t>229</w:t>
            </w:r>
          </w:p>
        </w:tc>
      </w:tr>
    </w:tbl>
    <w:p w14:paraId="573065E3" w14:textId="7B36A502" w:rsidR="00F941D9" w:rsidRPr="002F3B2B" w:rsidRDefault="00A44E28" w:rsidP="002F3B2B">
      <w:pPr>
        <w:pStyle w:val="Text"/>
        <w:rPr>
          <w:b/>
          <w:bCs/>
        </w:rPr>
      </w:pPr>
      <w:r w:rsidRPr="002F3B2B">
        <w:rPr>
          <w:b/>
          <w:bCs/>
        </w:rPr>
        <w:t>1.6</w:t>
      </w:r>
      <w:r w:rsidR="00895066">
        <w:rPr>
          <w:b/>
          <w:bCs/>
        </w:rPr>
        <w:t>.</w:t>
      </w:r>
      <w:r w:rsidRPr="002F3B2B">
        <w:rPr>
          <w:b/>
          <w:bCs/>
        </w:rPr>
        <w:t xml:space="preserve"> If each of the five wealthiest men were to spend a million dollars daily, they would take </w:t>
      </w:r>
      <w:r w:rsidR="003A55EE" w:rsidRPr="002F3B2B">
        <w:rPr>
          <w:b/>
          <w:bCs/>
        </w:rPr>
        <w:t>4</w:t>
      </w:r>
      <w:r w:rsidR="000B4597" w:rsidRPr="002F3B2B">
        <w:rPr>
          <w:b/>
          <w:bCs/>
        </w:rPr>
        <w:t>76</w:t>
      </w:r>
      <w:r w:rsidR="003A55EE" w:rsidRPr="002F3B2B">
        <w:rPr>
          <w:b/>
          <w:bCs/>
        </w:rPr>
        <w:t xml:space="preserve"> </w:t>
      </w:r>
      <w:r w:rsidRPr="002F3B2B">
        <w:rPr>
          <w:b/>
          <w:bCs/>
        </w:rPr>
        <w:t xml:space="preserve">years to exhaust their combined wealth. </w:t>
      </w:r>
    </w:p>
    <w:p w14:paraId="06A7B318" w14:textId="765F6A40" w:rsidR="00F941D9" w:rsidRDefault="00F941D9" w:rsidP="002F3B2B">
      <w:pPr>
        <w:pStyle w:val="Text"/>
      </w:pPr>
      <w:r w:rsidRPr="004409EB">
        <w:t xml:space="preserve">The data </w:t>
      </w:r>
      <w:r w:rsidR="007B64A0">
        <w:t xml:space="preserve">on </w:t>
      </w:r>
      <w:r>
        <w:t xml:space="preserve">the </w:t>
      </w:r>
      <w:r w:rsidR="00A44E28">
        <w:t>five</w:t>
      </w:r>
      <w:r>
        <w:t xml:space="preserve"> richest men</w:t>
      </w:r>
      <w:r w:rsidRPr="004409EB">
        <w:t xml:space="preserve"> is from </w:t>
      </w:r>
      <w:r>
        <w:t xml:space="preserve">the </w:t>
      </w:r>
      <w:r w:rsidRPr="004409EB">
        <w:t>Forbes real-time billionaires list.</w:t>
      </w:r>
      <w:r>
        <w:rPr>
          <w:rStyle w:val="EndnoteReference"/>
          <w:rFonts w:cstheme="minorHAnsi"/>
        </w:rPr>
        <w:endnoteReference w:id="30"/>
      </w:r>
      <w:r w:rsidRPr="004409EB">
        <w:t xml:space="preserve"> </w:t>
      </w:r>
      <w:r w:rsidRPr="005623E2">
        <w:t xml:space="preserve">As of the end </w:t>
      </w:r>
      <w:r w:rsidR="007B64A0">
        <w:t xml:space="preserve">of </w:t>
      </w:r>
      <w:r w:rsidR="00474544" w:rsidRPr="005623E2">
        <w:t>November 2023</w:t>
      </w:r>
      <w:r w:rsidRPr="004409EB">
        <w:t xml:space="preserve">, the </w:t>
      </w:r>
      <w:r w:rsidR="00A62F48">
        <w:t>five</w:t>
      </w:r>
      <w:r w:rsidRPr="004409EB">
        <w:t xml:space="preserve"> wealthiest billionaires had a combined wealth of US$</w:t>
      </w:r>
      <w:r w:rsidR="00474544">
        <w:t>86</w:t>
      </w:r>
      <w:r w:rsidR="00012667">
        <w:t>9</w:t>
      </w:r>
      <w:r w:rsidR="007B64A0">
        <w:t>bn</w:t>
      </w:r>
      <w:r w:rsidRPr="004409EB">
        <w:t xml:space="preserve">. If each of </w:t>
      </w:r>
      <w:r w:rsidR="00320B1A" w:rsidRPr="004409EB">
        <w:t>th</w:t>
      </w:r>
      <w:r w:rsidR="00320B1A">
        <w:t>ese five billionaires</w:t>
      </w:r>
      <w:r w:rsidRPr="004409EB">
        <w:t xml:space="preserve"> were to spend </w:t>
      </w:r>
      <w:r>
        <w:t>US</w:t>
      </w:r>
      <w:r w:rsidRPr="004409EB">
        <w:t>$1</w:t>
      </w:r>
      <w:r w:rsidR="007B64A0">
        <w:t>m</w:t>
      </w:r>
      <w:r w:rsidRPr="004409EB">
        <w:t xml:space="preserve"> daily, it would take </w:t>
      </w:r>
      <w:r w:rsidR="00020FA6">
        <w:t>them 476</w:t>
      </w:r>
      <w:r w:rsidR="0022283F">
        <w:t xml:space="preserve"> </w:t>
      </w:r>
      <w:r w:rsidRPr="004409EB">
        <w:t xml:space="preserve">years to exhaust their </w:t>
      </w:r>
      <w:r w:rsidR="00694011">
        <w:t xml:space="preserve">combined </w:t>
      </w:r>
      <w:r w:rsidRPr="004409EB">
        <w:t>wealth</w:t>
      </w:r>
      <w:r w:rsidR="00320B1A">
        <w:t>.</w:t>
      </w:r>
    </w:p>
    <w:p w14:paraId="5B81DFEE" w14:textId="16285C0B" w:rsidR="00742107" w:rsidRPr="00FA61CB" w:rsidRDefault="004B3D5F" w:rsidP="00FA61CB">
      <w:pPr>
        <w:pStyle w:val="Text"/>
      </w:pPr>
      <w:r>
        <w:t xml:space="preserve">This figure is purely for illustration and does not include any measure of compound interest on savings; in </w:t>
      </w:r>
      <w:r w:rsidR="005F2DD7">
        <w:t>fact,</w:t>
      </w:r>
      <w:r>
        <w:t xml:space="preserve"> billionaires would need to spend a lot more money to avoid their fortunes rising and not falling. </w:t>
      </w:r>
    </w:p>
    <w:p w14:paraId="6A8E4269" w14:textId="3F00D694" w:rsidR="00F941D9" w:rsidRPr="001C0CFA" w:rsidRDefault="00F941D9" w:rsidP="000474CE">
      <w:pPr>
        <w:pStyle w:val="Tablecaption"/>
      </w:pPr>
      <w:r>
        <w:t>Table 1.</w:t>
      </w:r>
      <w:r w:rsidR="00B5738F">
        <w:t>8</w:t>
      </w:r>
      <w:r>
        <w:t xml:space="preserve">: </w:t>
      </w:r>
      <w:r w:rsidR="00A4642A">
        <w:t>Year</w:t>
      </w:r>
      <w:r w:rsidR="00714482">
        <w:t>s</w:t>
      </w:r>
      <w:r w:rsidR="00A4642A">
        <w:t xml:space="preserve"> it will take the </w:t>
      </w:r>
      <w:r w:rsidR="00994653">
        <w:t>five r</w:t>
      </w:r>
      <w:r w:rsidRPr="001C0CFA">
        <w:t>ichest billionaires</w:t>
      </w:r>
      <w:r w:rsidR="00994653">
        <w:t xml:space="preserve"> </w:t>
      </w:r>
      <w:r w:rsidR="00A4642A">
        <w:t>(as of</w:t>
      </w:r>
      <w:r w:rsidR="00735E8E">
        <w:t xml:space="preserve"> the</w:t>
      </w:r>
      <w:r w:rsidR="00A4642A">
        <w:t xml:space="preserve"> end </w:t>
      </w:r>
      <w:r w:rsidR="00735E8E">
        <w:t xml:space="preserve">of </w:t>
      </w:r>
      <w:r w:rsidR="00A4642A">
        <w:t>Nov</w:t>
      </w:r>
      <w:r w:rsidR="00735E8E">
        <w:t>ember</w:t>
      </w:r>
      <w:r w:rsidR="00A4642A">
        <w:t xml:space="preserve"> 2023)</w:t>
      </w:r>
      <w:r w:rsidRPr="001C0CFA">
        <w:t xml:space="preserve"> </w:t>
      </w:r>
      <w:r w:rsidR="00994653">
        <w:t xml:space="preserve">to exhaust their wealth if each spent </w:t>
      </w:r>
      <w:r w:rsidRPr="001C0CFA">
        <w:t>US$1</w:t>
      </w:r>
      <w:r w:rsidR="005C2687">
        <w:t>m</w:t>
      </w:r>
      <w:r w:rsidRPr="001C0CFA">
        <w:t xml:space="preserve"> </w:t>
      </w:r>
      <w:proofErr w:type="gramStart"/>
      <w:r w:rsidR="003943E2" w:rsidRPr="001C0CFA">
        <w:t>daily</w:t>
      </w:r>
      <w:proofErr w:type="gramEnd"/>
      <w:r w:rsidRPr="001C0CFA">
        <w:t xml:space="preserve"> </w:t>
      </w:r>
    </w:p>
    <w:tbl>
      <w:tblPr>
        <w:tblStyle w:val="TableGrid"/>
        <w:tblW w:w="7938" w:type="dxa"/>
        <w:tblInd w:w="-5" w:type="dxa"/>
        <w:tblLook w:val="04A0" w:firstRow="1" w:lastRow="0" w:firstColumn="1" w:lastColumn="0" w:noHBand="0" w:noVBand="1"/>
      </w:tblPr>
      <w:tblGrid>
        <w:gridCol w:w="2678"/>
        <w:gridCol w:w="2567"/>
        <w:gridCol w:w="2693"/>
      </w:tblGrid>
      <w:tr w:rsidR="00A4642A" w:rsidRPr="00A4642A" w14:paraId="4075134F" w14:textId="77777777" w:rsidTr="00742107">
        <w:trPr>
          <w:trHeight w:val="290"/>
        </w:trPr>
        <w:tc>
          <w:tcPr>
            <w:tcW w:w="2678" w:type="dxa"/>
            <w:noWrap/>
            <w:hideMark/>
          </w:tcPr>
          <w:p w14:paraId="68D77F5F" w14:textId="77777777" w:rsidR="00A4642A" w:rsidRPr="00A4642A" w:rsidRDefault="00A4642A" w:rsidP="000474CE">
            <w:pPr>
              <w:pStyle w:val="Tableheading1"/>
            </w:pPr>
            <w:r w:rsidRPr="00A4642A">
              <w:t>Name</w:t>
            </w:r>
          </w:p>
        </w:tc>
        <w:tc>
          <w:tcPr>
            <w:tcW w:w="2567" w:type="dxa"/>
            <w:noWrap/>
            <w:hideMark/>
          </w:tcPr>
          <w:p w14:paraId="2E3E426B" w14:textId="4E68E83A" w:rsidR="00A4642A" w:rsidRPr="00A4642A" w:rsidRDefault="00A4642A" w:rsidP="000474CE">
            <w:pPr>
              <w:pStyle w:val="Tableheading1"/>
            </w:pPr>
            <w:r w:rsidRPr="00A4642A">
              <w:t xml:space="preserve">Wealth, Oct </w:t>
            </w:r>
            <w:r w:rsidR="007B64A0">
              <w:t>20</w:t>
            </w:r>
            <w:r w:rsidRPr="00A4642A">
              <w:t xml:space="preserve">23 </w:t>
            </w:r>
            <w:r w:rsidR="007B64A0">
              <w:t>(</w:t>
            </w:r>
            <w:proofErr w:type="spellStart"/>
            <w:r w:rsidR="007B64A0">
              <w:t>US$</w:t>
            </w:r>
            <w:r w:rsidR="00810CBB">
              <w:t>bn</w:t>
            </w:r>
            <w:proofErr w:type="spellEnd"/>
            <w:r w:rsidR="007B64A0">
              <w:t>)</w:t>
            </w:r>
          </w:p>
        </w:tc>
        <w:tc>
          <w:tcPr>
            <w:tcW w:w="2693" w:type="dxa"/>
            <w:noWrap/>
            <w:hideMark/>
          </w:tcPr>
          <w:p w14:paraId="2586D3B8" w14:textId="55C22EED" w:rsidR="00A4642A" w:rsidRPr="00A4642A" w:rsidRDefault="00A97EC4" w:rsidP="000474CE">
            <w:pPr>
              <w:pStyle w:val="Tableheading1"/>
            </w:pPr>
            <w:r>
              <w:t>Years to exhaust wealth (</w:t>
            </w:r>
            <w:r w:rsidR="00742107">
              <w:t>US</w:t>
            </w:r>
            <w:r w:rsidR="00A4642A" w:rsidRPr="00A4642A">
              <w:t>$1</w:t>
            </w:r>
            <w:r w:rsidR="007B64A0">
              <w:t>m</w:t>
            </w:r>
            <w:r w:rsidR="00A4642A" w:rsidRPr="00A4642A">
              <w:t xml:space="preserve"> </w:t>
            </w:r>
            <w:r>
              <w:t>daily spend)</w:t>
            </w:r>
          </w:p>
        </w:tc>
      </w:tr>
      <w:tr w:rsidR="00A4642A" w:rsidRPr="00A4642A" w14:paraId="6F1094B9" w14:textId="77777777" w:rsidTr="00742107">
        <w:trPr>
          <w:trHeight w:val="290"/>
        </w:trPr>
        <w:tc>
          <w:tcPr>
            <w:tcW w:w="2678" w:type="dxa"/>
            <w:noWrap/>
            <w:hideMark/>
          </w:tcPr>
          <w:p w14:paraId="667292E4" w14:textId="77777777" w:rsidR="00A4642A" w:rsidRPr="00A4642A" w:rsidRDefault="00A4642A" w:rsidP="000474CE">
            <w:pPr>
              <w:pStyle w:val="Tableheading2"/>
            </w:pPr>
            <w:r w:rsidRPr="00A4642A">
              <w:t>Elon Musk</w:t>
            </w:r>
          </w:p>
        </w:tc>
        <w:tc>
          <w:tcPr>
            <w:tcW w:w="2567" w:type="dxa"/>
            <w:noWrap/>
            <w:hideMark/>
          </w:tcPr>
          <w:p w14:paraId="547A22D2" w14:textId="660A85C1" w:rsidR="00A4642A" w:rsidRPr="00A4642A" w:rsidRDefault="00A4642A" w:rsidP="004825CF">
            <w:pPr>
              <w:pStyle w:val="Tabletext"/>
            </w:pPr>
            <w:r w:rsidRPr="00A4642A">
              <w:t>245</w:t>
            </w:r>
            <w:r w:rsidR="00810CBB">
              <w:t>.</w:t>
            </w:r>
            <w:r w:rsidRPr="00A4642A">
              <w:t>5</w:t>
            </w:r>
          </w:p>
        </w:tc>
        <w:tc>
          <w:tcPr>
            <w:tcW w:w="2693" w:type="dxa"/>
            <w:noWrap/>
            <w:hideMark/>
          </w:tcPr>
          <w:p w14:paraId="6C96C500" w14:textId="4C6B0527" w:rsidR="00A4642A" w:rsidRPr="00A4642A" w:rsidRDefault="00A4642A" w:rsidP="004825CF">
            <w:pPr>
              <w:pStyle w:val="Tabletext"/>
            </w:pPr>
            <w:r w:rsidRPr="00A4642A">
              <w:t>673</w:t>
            </w:r>
          </w:p>
        </w:tc>
      </w:tr>
      <w:tr w:rsidR="00A4642A" w:rsidRPr="00A4642A" w14:paraId="442D5ACA" w14:textId="77777777" w:rsidTr="00742107">
        <w:trPr>
          <w:trHeight w:val="290"/>
        </w:trPr>
        <w:tc>
          <w:tcPr>
            <w:tcW w:w="2678" w:type="dxa"/>
            <w:noWrap/>
            <w:hideMark/>
          </w:tcPr>
          <w:p w14:paraId="6A2663A2" w14:textId="0B7C8624" w:rsidR="00A4642A" w:rsidRPr="00A4642A" w:rsidRDefault="00A4642A" w:rsidP="000474CE">
            <w:pPr>
              <w:pStyle w:val="Tableheading2"/>
            </w:pPr>
            <w:r w:rsidRPr="00A4642A">
              <w:t xml:space="preserve">Bernard </w:t>
            </w:r>
            <w:proofErr w:type="spellStart"/>
            <w:r w:rsidRPr="00A4642A">
              <w:t>Arnault</w:t>
            </w:r>
            <w:proofErr w:type="spellEnd"/>
            <w:r w:rsidRPr="00A4642A">
              <w:t xml:space="preserve"> </w:t>
            </w:r>
            <w:r w:rsidR="005C2687">
              <w:t>and</w:t>
            </w:r>
            <w:r w:rsidRPr="00A4642A">
              <w:t xml:space="preserve"> family</w:t>
            </w:r>
          </w:p>
        </w:tc>
        <w:tc>
          <w:tcPr>
            <w:tcW w:w="2567" w:type="dxa"/>
            <w:noWrap/>
            <w:hideMark/>
          </w:tcPr>
          <w:p w14:paraId="5DC92361" w14:textId="777418F2" w:rsidR="00A4642A" w:rsidRPr="00A4642A" w:rsidRDefault="00A4642A" w:rsidP="004825CF">
            <w:pPr>
              <w:pStyle w:val="Tabletext"/>
            </w:pPr>
            <w:r w:rsidRPr="00A4642A">
              <w:t>191</w:t>
            </w:r>
            <w:r w:rsidR="00810CBB">
              <w:t>.</w:t>
            </w:r>
            <w:r w:rsidRPr="00A4642A">
              <w:t>3</w:t>
            </w:r>
          </w:p>
        </w:tc>
        <w:tc>
          <w:tcPr>
            <w:tcW w:w="2693" w:type="dxa"/>
            <w:noWrap/>
            <w:hideMark/>
          </w:tcPr>
          <w:p w14:paraId="085F1ECD" w14:textId="30394753" w:rsidR="00A4642A" w:rsidRPr="00A4642A" w:rsidRDefault="00A4642A" w:rsidP="004825CF">
            <w:pPr>
              <w:pStyle w:val="Tabletext"/>
            </w:pPr>
            <w:r w:rsidRPr="00A4642A">
              <w:t>524</w:t>
            </w:r>
          </w:p>
        </w:tc>
      </w:tr>
      <w:tr w:rsidR="00A4642A" w:rsidRPr="00A4642A" w14:paraId="135040A1" w14:textId="77777777" w:rsidTr="00742107">
        <w:trPr>
          <w:trHeight w:val="290"/>
        </w:trPr>
        <w:tc>
          <w:tcPr>
            <w:tcW w:w="2678" w:type="dxa"/>
            <w:noWrap/>
            <w:hideMark/>
          </w:tcPr>
          <w:p w14:paraId="1B00D9B1" w14:textId="77777777" w:rsidR="00A4642A" w:rsidRPr="00A4642A" w:rsidRDefault="00A4642A" w:rsidP="000474CE">
            <w:pPr>
              <w:pStyle w:val="Tableheading2"/>
            </w:pPr>
            <w:r w:rsidRPr="00A4642A">
              <w:lastRenderedPageBreak/>
              <w:t>Jeff Bezos</w:t>
            </w:r>
          </w:p>
        </w:tc>
        <w:tc>
          <w:tcPr>
            <w:tcW w:w="2567" w:type="dxa"/>
            <w:noWrap/>
            <w:hideMark/>
          </w:tcPr>
          <w:p w14:paraId="0AAC1AC5" w14:textId="516B9F2A" w:rsidR="00A4642A" w:rsidRPr="00A4642A" w:rsidRDefault="00A4642A" w:rsidP="004825CF">
            <w:pPr>
              <w:pStyle w:val="Tabletext"/>
            </w:pPr>
            <w:r w:rsidRPr="00A4642A">
              <w:t>167</w:t>
            </w:r>
            <w:r w:rsidR="00810CBB">
              <w:t>.</w:t>
            </w:r>
            <w:r w:rsidRPr="00A4642A">
              <w:t>4</w:t>
            </w:r>
          </w:p>
        </w:tc>
        <w:tc>
          <w:tcPr>
            <w:tcW w:w="2693" w:type="dxa"/>
            <w:noWrap/>
            <w:hideMark/>
          </w:tcPr>
          <w:p w14:paraId="078BA547" w14:textId="4B06FD05" w:rsidR="00A4642A" w:rsidRPr="00A4642A" w:rsidRDefault="00A4642A" w:rsidP="004825CF">
            <w:pPr>
              <w:pStyle w:val="Tabletext"/>
            </w:pPr>
            <w:r w:rsidRPr="00A4642A">
              <w:t>459</w:t>
            </w:r>
          </w:p>
        </w:tc>
      </w:tr>
      <w:tr w:rsidR="00A4642A" w:rsidRPr="00A4642A" w14:paraId="30FD4265" w14:textId="77777777" w:rsidTr="00742107">
        <w:trPr>
          <w:trHeight w:val="290"/>
        </w:trPr>
        <w:tc>
          <w:tcPr>
            <w:tcW w:w="2678" w:type="dxa"/>
            <w:noWrap/>
            <w:hideMark/>
          </w:tcPr>
          <w:p w14:paraId="08CC1DEF" w14:textId="77777777" w:rsidR="00A4642A" w:rsidRPr="00A4642A" w:rsidRDefault="00A4642A" w:rsidP="000474CE">
            <w:pPr>
              <w:pStyle w:val="Tableheading2"/>
            </w:pPr>
            <w:r w:rsidRPr="00A4642A">
              <w:t>Larry Ellison</w:t>
            </w:r>
          </w:p>
        </w:tc>
        <w:tc>
          <w:tcPr>
            <w:tcW w:w="2567" w:type="dxa"/>
            <w:noWrap/>
            <w:hideMark/>
          </w:tcPr>
          <w:p w14:paraId="19A50B34" w14:textId="4B22F566" w:rsidR="00A4642A" w:rsidRPr="00A4642A" w:rsidRDefault="00A4642A" w:rsidP="004825CF">
            <w:pPr>
              <w:pStyle w:val="Tabletext"/>
            </w:pPr>
            <w:r w:rsidRPr="00A4642A">
              <w:t>145</w:t>
            </w:r>
            <w:r w:rsidR="00810CBB">
              <w:t>.5</w:t>
            </w:r>
          </w:p>
        </w:tc>
        <w:tc>
          <w:tcPr>
            <w:tcW w:w="2693" w:type="dxa"/>
            <w:noWrap/>
            <w:hideMark/>
          </w:tcPr>
          <w:p w14:paraId="6BAB9843" w14:textId="37D5903D" w:rsidR="00A4642A" w:rsidRPr="00A4642A" w:rsidRDefault="00A4642A" w:rsidP="004825CF">
            <w:pPr>
              <w:pStyle w:val="Tabletext"/>
            </w:pPr>
            <w:r w:rsidRPr="00A4642A">
              <w:t>399</w:t>
            </w:r>
          </w:p>
        </w:tc>
      </w:tr>
      <w:tr w:rsidR="00A4642A" w:rsidRPr="00A4642A" w14:paraId="19C830A5" w14:textId="77777777" w:rsidTr="00742107">
        <w:trPr>
          <w:trHeight w:val="290"/>
        </w:trPr>
        <w:tc>
          <w:tcPr>
            <w:tcW w:w="2678" w:type="dxa"/>
            <w:noWrap/>
            <w:hideMark/>
          </w:tcPr>
          <w:p w14:paraId="7EE8E07F" w14:textId="77777777" w:rsidR="00A4642A" w:rsidRPr="00A4642A" w:rsidRDefault="00A4642A" w:rsidP="000474CE">
            <w:pPr>
              <w:pStyle w:val="Tableheading2"/>
            </w:pPr>
            <w:r w:rsidRPr="00A4642A">
              <w:t>Warren Buffett</w:t>
            </w:r>
          </w:p>
        </w:tc>
        <w:tc>
          <w:tcPr>
            <w:tcW w:w="2567" w:type="dxa"/>
            <w:noWrap/>
            <w:hideMark/>
          </w:tcPr>
          <w:p w14:paraId="46F9771A" w14:textId="2546A3FF" w:rsidR="00A4642A" w:rsidRPr="00A4642A" w:rsidRDefault="00A4642A" w:rsidP="004825CF">
            <w:pPr>
              <w:pStyle w:val="Tabletext"/>
            </w:pPr>
            <w:r w:rsidRPr="00A4642A">
              <w:t>119</w:t>
            </w:r>
            <w:r w:rsidR="00810CBB">
              <w:t>.</w:t>
            </w:r>
            <w:r w:rsidRPr="00A4642A">
              <w:t>2</w:t>
            </w:r>
          </w:p>
        </w:tc>
        <w:tc>
          <w:tcPr>
            <w:tcW w:w="2693" w:type="dxa"/>
            <w:noWrap/>
            <w:hideMark/>
          </w:tcPr>
          <w:p w14:paraId="6B5AE9CC" w14:textId="160D2532" w:rsidR="00A4642A" w:rsidRPr="00A4642A" w:rsidRDefault="00A4642A" w:rsidP="004825CF">
            <w:pPr>
              <w:pStyle w:val="Tabletext"/>
            </w:pPr>
            <w:r w:rsidRPr="00A4642A">
              <w:t>327</w:t>
            </w:r>
          </w:p>
        </w:tc>
      </w:tr>
      <w:tr w:rsidR="00A4642A" w:rsidRPr="00A4642A" w14:paraId="05B86794" w14:textId="77777777" w:rsidTr="00742107">
        <w:trPr>
          <w:trHeight w:val="290"/>
        </w:trPr>
        <w:tc>
          <w:tcPr>
            <w:tcW w:w="2678" w:type="dxa"/>
            <w:noWrap/>
            <w:hideMark/>
          </w:tcPr>
          <w:p w14:paraId="2FFEF565" w14:textId="579E46F5" w:rsidR="00A4642A" w:rsidRPr="00A4642A" w:rsidRDefault="00A4642A" w:rsidP="000474CE">
            <w:pPr>
              <w:pStyle w:val="Tableheading2"/>
            </w:pPr>
            <w:r w:rsidRPr="00A4642A">
              <w:t xml:space="preserve">Total wealth </w:t>
            </w:r>
          </w:p>
        </w:tc>
        <w:tc>
          <w:tcPr>
            <w:tcW w:w="2567" w:type="dxa"/>
            <w:noWrap/>
            <w:hideMark/>
          </w:tcPr>
          <w:p w14:paraId="6318FA28" w14:textId="1158BEE4" w:rsidR="00A4642A" w:rsidRPr="00A4642A" w:rsidRDefault="00A4642A" w:rsidP="004825CF">
            <w:pPr>
              <w:pStyle w:val="Tabletext"/>
            </w:pPr>
            <w:r w:rsidRPr="00A4642A">
              <w:t>86</w:t>
            </w:r>
            <w:r w:rsidR="00012667">
              <w:t>9</w:t>
            </w:r>
          </w:p>
        </w:tc>
        <w:tc>
          <w:tcPr>
            <w:tcW w:w="2693" w:type="dxa"/>
            <w:noWrap/>
            <w:hideMark/>
          </w:tcPr>
          <w:p w14:paraId="5041C1E6" w14:textId="568D446B" w:rsidR="00A4642A" w:rsidRPr="00A4642A" w:rsidRDefault="00A4642A" w:rsidP="004825CF">
            <w:pPr>
              <w:pStyle w:val="Tabletext"/>
            </w:pPr>
            <w:r w:rsidRPr="00A4642A">
              <w:t>476</w:t>
            </w:r>
          </w:p>
        </w:tc>
      </w:tr>
    </w:tbl>
    <w:p w14:paraId="2CBF7604" w14:textId="3C724A7D" w:rsidR="00F941D9" w:rsidRPr="005C0ED6" w:rsidRDefault="00F941D9" w:rsidP="005C0ED6">
      <w:pPr>
        <w:pStyle w:val="Text"/>
        <w:rPr>
          <w:b/>
          <w:bCs/>
        </w:rPr>
      </w:pPr>
      <w:r w:rsidRPr="005C0ED6">
        <w:rPr>
          <w:b/>
          <w:bCs/>
        </w:rPr>
        <w:t>1.</w:t>
      </w:r>
      <w:r w:rsidR="00FD5F88" w:rsidRPr="005C0ED6">
        <w:rPr>
          <w:b/>
          <w:bCs/>
        </w:rPr>
        <w:t>7</w:t>
      </w:r>
      <w:r w:rsidR="00742107">
        <w:rPr>
          <w:b/>
          <w:bCs/>
        </w:rPr>
        <w:t>.</w:t>
      </w:r>
      <w:r w:rsidR="005C2687" w:rsidRPr="005C0ED6">
        <w:rPr>
          <w:b/>
          <w:bCs/>
        </w:rPr>
        <w:t xml:space="preserve"> </w:t>
      </w:r>
      <w:r w:rsidRPr="005C0ED6">
        <w:rPr>
          <w:b/>
          <w:bCs/>
        </w:rPr>
        <w:t xml:space="preserve">It </w:t>
      </w:r>
      <w:r w:rsidR="00810CBB" w:rsidRPr="005C0ED6">
        <w:rPr>
          <w:b/>
          <w:bCs/>
        </w:rPr>
        <w:t xml:space="preserve">would </w:t>
      </w:r>
      <w:r w:rsidRPr="005C0ED6">
        <w:rPr>
          <w:b/>
          <w:bCs/>
        </w:rPr>
        <w:t>take 1</w:t>
      </w:r>
      <w:r w:rsidR="00A97EC4" w:rsidRPr="005C0ED6">
        <w:rPr>
          <w:b/>
          <w:bCs/>
        </w:rPr>
        <w:t>,</w:t>
      </w:r>
      <w:r w:rsidRPr="005C0ED6">
        <w:rPr>
          <w:b/>
          <w:bCs/>
        </w:rPr>
        <w:t>200 years for a female worker in the health and social sector to earn what a CEO in the biggest Fortune</w:t>
      </w:r>
      <w:r w:rsidR="00FB272D" w:rsidRPr="005C0ED6">
        <w:rPr>
          <w:b/>
          <w:bCs/>
        </w:rPr>
        <w:t xml:space="preserve"> 100</w:t>
      </w:r>
      <w:r w:rsidRPr="005C0ED6">
        <w:rPr>
          <w:b/>
          <w:bCs/>
        </w:rPr>
        <w:t xml:space="preserve"> companies earn</w:t>
      </w:r>
      <w:r w:rsidR="00810CBB" w:rsidRPr="005C0ED6">
        <w:rPr>
          <w:b/>
          <w:bCs/>
        </w:rPr>
        <w:t>s</w:t>
      </w:r>
      <w:r w:rsidRPr="005C0ED6">
        <w:rPr>
          <w:b/>
          <w:bCs/>
        </w:rPr>
        <w:t xml:space="preserve"> on average</w:t>
      </w:r>
      <w:r w:rsidR="00D94941" w:rsidRPr="005C0ED6">
        <w:rPr>
          <w:b/>
          <w:bCs/>
        </w:rPr>
        <w:t xml:space="preserve"> in a year</w:t>
      </w:r>
      <w:r w:rsidRPr="005C0ED6">
        <w:rPr>
          <w:b/>
          <w:bCs/>
        </w:rPr>
        <w:t>.</w:t>
      </w:r>
    </w:p>
    <w:p w14:paraId="434CC123" w14:textId="166F2B60" w:rsidR="00535431" w:rsidRDefault="00F941D9" w:rsidP="005C0ED6">
      <w:pPr>
        <w:pStyle w:val="Text"/>
        <w:rPr>
          <w:lang w:val="en-US"/>
        </w:rPr>
      </w:pPr>
      <w:r w:rsidRPr="005462D0">
        <w:t xml:space="preserve">Using Bloomberg data on the </w:t>
      </w:r>
      <w:r w:rsidRPr="00AC7AF2">
        <w:t>top</w:t>
      </w:r>
      <w:r w:rsidR="00AC7AF2" w:rsidRPr="00AC7AF2">
        <w:t>-</w:t>
      </w:r>
      <w:r w:rsidRPr="00AC7AF2">
        <w:t>paid CEOs</w:t>
      </w:r>
      <w:r>
        <w:rPr>
          <w:rStyle w:val="EndnoteReference"/>
          <w:rFonts w:cstheme="minorHAnsi"/>
        </w:rPr>
        <w:endnoteReference w:id="31"/>
      </w:r>
      <w:r w:rsidRPr="005462D0">
        <w:t xml:space="preserve"> we find </w:t>
      </w:r>
      <w:r w:rsidR="00810CBB">
        <w:t xml:space="preserve">that </w:t>
      </w:r>
      <w:r w:rsidRPr="005462D0">
        <w:t>the average annual salary for the highest</w:t>
      </w:r>
      <w:r w:rsidR="00810CBB">
        <w:t>-</w:t>
      </w:r>
      <w:r w:rsidRPr="005462D0">
        <w:t>earning 100 CEOs is US$</w:t>
      </w:r>
      <w:r w:rsidRPr="00A97EC4">
        <w:t>25,211,159.84</w:t>
      </w:r>
      <w:r w:rsidRPr="00A97EC4">
        <w:rPr>
          <w:lang w:val="en-US"/>
        </w:rPr>
        <w:t>.</w:t>
      </w:r>
      <w:r w:rsidRPr="005462D0">
        <w:rPr>
          <w:lang w:val="en-US"/>
        </w:rPr>
        <w:t xml:space="preserve"> Using </w:t>
      </w:r>
      <w:r w:rsidRPr="00AC7AF2">
        <w:rPr>
          <w:lang w:val="en-US"/>
        </w:rPr>
        <w:t>ILOSTAT data</w:t>
      </w:r>
      <w:r w:rsidRPr="005462D0">
        <w:rPr>
          <w:lang w:val="en-US"/>
        </w:rPr>
        <w:t>,</w:t>
      </w:r>
      <w:r>
        <w:rPr>
          <w:rStyle w:val="EndnoteReference"/>
          <w:rFonts w:cstheme="minorHAnsi"/>
          <w:lang w:val="en-US"/>
        </w:rPr>
        <w:endnoteReference w:id="32"/>
      </w:r>
      <w:r w:rsidRPr="005462D0">
        <w:rPr>
          <w:lang w:val="en-US"/>
        </w:rPr>
        <w:t xml:space="preserve"> we calculate the average annual salary for women working in the health and social sector around the world </w:t>
      </w:r>
      <w:r w:rsidR="00A97EC4">
        <w:rPr>
          <w:lang w:val="en-US"/>
        </w:rPr>
        <w:t>as</w:t>
      </w:r>
      <w:r w:rsidR="00A97EC4" w:rsidRPr="005462D0">
        <w:rPr>
          <w:lang w:val="en-US"/>
        </w:rPr>
        <w:t xml:space="preserve"> </w:t>
      </w:r>
      <w:r w:rsidRPr="005462D0">
        <w:rPr>
          <w:lang w:val="en-US"/>
        </w:rPr>
        <w:t>US$</w:t>
      </w:r>
      <w:r w:rsidRPr="00A97EC4">
        <w:rPr>
          <w:lang w:val="en-US"/>
        </w:rPr>
        <w:t>19,723.17.</w:t>
      </w:r>
      <w:r w:rsidRPr="005462D0">
        <w:rPr>
          <w:lang w:val="en-US"/>
        </w:rPr>
        <w:t xml:space="preserve"> From this, the CEO salary is 1,278.25 times higher than the average salary of a woman working in the health and social sector.</w:t>
      </w:r>
    </w:p>
    <w:p w14:paraId="48BB4939" w14:textId="5B5E9E73" w:rsidR="00C81AA7" w:rsidRPr="002A512B" w:rsidRDefault="00C81AA7" w:rsidP="005C0ED6">
      <w:pPr>
        <w:pStyle w:val="Text"/>
        <w:rPr>
          <w:b/>
          <w:bCs/>
          <w:lang w:val="en-US"/>
        </w:rPr>
      </w:pPr>
      <w:r w:rsidRPr="002A512B">
        <w:rPr>
          <w:b/>
          <w:bCs/>
          <w:lang w:val="en-US"/>
        </w:rPr>
        <w:t>1.</w:t>
      </w:r>
      <w:r w:rsidR="00FD5F88">
        <w:rPr>
          <w:b/>
          <w:bCs/>
          <w:lang w:val="en-US"/>
        </w:rPr>
        <w:t>8</w:t>
      </w:r>
      <w:r w:rsidR="00742107">
        <w:rPr>
          <w:b/>
          <w:bCs/>
          <w:lang w:val="en-US"/>
        </w:rPr>
        <w:t>.</w:t>
      </w:r>
      <w:r w:rsidRPr="002A512B">
        <w:rPr>
          <w:b/>
          <w:bCs/>
          <w:lang w:val="en-US"/>
        </w:rPr>
        <w:t xml:space="preserve"> The richest 1% own </w:t>
      </w:r>
      <w:r w:rsidR="0017301F">
        <w:rPr>
          <w:b/>
          <w:bCs/>
          <w:lang w:val="en-US"/>
        </w:rPr>
        <w:t>43</w:t>
      </w:r>
      <w:r w:rsidRPr="002A512B">
        <w:rPr>
          <w:b/>
          <w:bCs/>
          <w:lang w:val="en-US"/>
        </w:rPr>
        <w:t>% of all global financial assets.</w:t>
      </w:r>
    </w:p>
    <w:p w14:paraId="0C0A9E40" w14:textId="097F3A77" w:rsidR="005A494C" w:rsidRPr="005A494C" w:rsidRDefault="005A494C" w:rsidP="005C0ED6">
      <w:pPr>
        <w:pStyle w:val="Text"/>
      </w:pPr>
      <w:r w:rsidRPr="005A494C">
        <w:t>Data was collected for Oxfam by Wealth</w:t>
      </w:r>
      <w:r w:rsidR="00B01E27">
        <w:t>-</w:t>
      </w:r>
      <w:r w:rsidRPr="005A494C">
        <w:t>X</w:t>
      </w:r>
      <w:r w:rsidR="00A86BB5">
        <w:rPr>
          <w:rStyle w:val="EndnoteReference"/>
          <w:rFonts w:cstheme="minorHAnsi"/>
        </w:rPr>
        <w:endnoteReference w:id="33"/>
      </w:r>
      <w:r w:rsidRPr="005A494C">
        <w:t xml:space="preserve"> (see methodology </w:t>
      </w:r>
      <w:r w:rsidR="004D5CDB">
        <w:t>on p.14</w:t>
      </w:r>
      <w:r w:rsidRPr="005A494C">
        <w:t>), a financial data analytic</w:t>
      </w:r>
      <w:r w:rsidR="00EA7F65">
        <w:t>s</w:t>
      </w:r>
      <w:r w:rsidRPr="005A494C">
        <w:t xml:space="preserve"> firm. </w:t>
      </w:r>
    </w:p>
    <w:p w14:paraId="0E65B3CD" w14:textId="35EA2E73" w:rsidR="005A494C" w:rsidRPr="005A494C" w:rsidRDefault="005A494C" w:rsidP="005C0ED6">
      <w:pPr>
        <w:pStyle w:val="Text"/>
      </w:pPr>
      <w:r w:rsidRPr="005A494C">
        <w:t>Wealth</w:t>
      </w:r>
      <w:r w:rsidR="00B01E27">
        <w:t>-</w:t>
      </w:r>
      <w:r w:rsidRPr="005A494C">
        <w:t>X estimates that the total global financial wealth in 2023 is US$203.2 trillion, accounting for 45.3%</w:t>
      </w:r>
      <w:r w:rsidR="00A86BB5">
        <w:t xml:space="preserve"> </w:t>
      </w:r>
      <w:r w:rsidR="00A97EC4">
        <w:t>of</w:t>
      </w:r>
      <w:r w:rsidR="00A86BB5">
        <w:t xml:space="preserve"> the total global wealth</w:t>
      </w:r>
      <w:r w:rsidRPr="005A494C">
        <w:t>. The total financial wealth of the wealthiest 1% is US$</w:t>
      </w:r>
      <w:r w:rsidR="0017301F">
        <w:t>87.9</w:t>
      </w:r>
      <w:r w:rsidRPr="005A494C">
        <w:t xml:space="preserve"> trillion, equivalent to </w:t>
      </w:r>
      <w:r w:rsidR="0017301F">
        <w:t>43.3</w:t>
      </w:r>
      <w:r w:rsidRPr="005A494C">
        <w:t xml:space="preserve">% of the </w:t>
      </w:r>
      <w:r w:rsidR="00810CBB">
        <w:t xml:space="preserve">total </w:t>
      </w:r>
      <w:r w:rsidRPr="005A494C">
        <w:t>global financial wealth. </w:t>
      </w:r>
    </w:p>
    <w:p w14:paraId="403F9838" w14:textId="1B391F4C" w:rsidR="005C0ED6" w:rsidRPr="005C0ED6" w:rsidRDefault="005A494C" w:rsidP="005C0ED6">
      <w:pPr>
        <w:pStyle w:val="Text"/>
      </w:pPr>
      <w:r w:rsidRPr="005A494C">
        <w:t>Our calculations show that 63.</w:t>
      </w:r>
      <w:r w:rsidR="0017301F">
        <w:t>4</w:t>
      </w:r>
      <w:r w:rsidRPr="005A494C">
        <w:t>%</w:t>
      </w:r>
      <w:r w:rsidR="007E14F3">
        <w:t xml:space="preserve"> of the wealth held by the top 1% is financial wealth</w:t>
      </w:r>
      <w:r w:rsidRPr="005A494C">
        <w:t xml:space="preserve">. On the other hand, the bottom 99% have just </w:t>
      </w:r>
      <w:r w:rsidR="00056485">
        <w:t>37.1</w:t>
      </w:r>
      <w:r w:rsidRPr="005A494C">
        <w:t>% of their wealth in financial assets.</w:t>
      </w:r>
    </w:p>
    <w:p w14:paraId="458BFA25" w14:textId="41DFC2C3" w:rsidR="00364997" w:rsidRPr="00C84BC7" w:rsidRDefault="00364997" w:rsidP="005C0ED6">
      <w:pPr>
        <w:pStyle w:val="Tablecaption"/>
        <w:rPr>
          <w:lang w:val="en-US"/>
        </w:rPr>
      </w:pPr>
      <w:r w:rsidRPr="00C84BC7">
        <w:rPr>
          <w:lang w:val="en-US"/>
        </w:rPr>
        <w:t xml:space="preserve">Table </w:t>
      </w:r>
      <w:r w:rsidR="005C78C6">
        <w:rPr>
          <w:lang w:val="en-US"/>
        </w:rPr>
        <w:t>1.9</w:t>
      </w:r>
      <w:r w:rsidRPr="00C84BC7">
        <w:rPr>
          <w:lang w:val="en-US"/>
        </w:rPr>
        <w:t xml:space="preserve">: Distribution of </w:t>
      </w:r>
      <w:r w:rsidR="002E553B" w:rsidRPr="00C84BC7">
        <w:rPr>
          <w:lang w:val="en-US"/>
        </w:rPr>
        <w:t>financial</w:t>
      </w:r>
      <w:r w:rsidRPr="00C84BC7">
        <w:rPr>
          <w:lang w:val="en-US"/>
        </w:rPr>
        <w:t xml:space="preserve"> wealth </w:t>
      </w:r>
      <w:r w:rsidR="003B1A9A" w:rsidRPr="00C84BC7">
        <w:rPr>
          <w:lang w:val="en-US"/>
        </w:rPr>
        <w:t>in the top 1% and bottom 99%</w:t>
      </w:r>
      <w:r w:rsidR="00D94941">
        <w:rPr>
          <w:lang w:val="en-US"/>
        </w:rPr>
        <w:t xml:space="preserve"> in </w:t>
      </w:r>
      <w:proofErr w:type="gramStart"/>
      <w:r w:rsidR="00D94941">
        <w:rPr>
          <w:lang w:val="en-US"/>
        </w:rPr>
        <w:t>2023</w:t>
      </w:r>
      <w:proofErr w:type="gramEnd"/>
      <w:r w:rsidR="003B1A9A" w:rsidRPr="00C84BC7">
        <w:rPr>
          <w:lang w:val="en-US"/>
        </w:rPr>
        <w:t xml:space="preserve"> </w:t>
      </w:r>
    </w:p>
    <w:tbl>
      <w:tblPr>
        <w:tblStyle w:val="TableGrid"/>
        <w:tblW w:w="7938" w:type="dxa"/>
        <w:tblInd w:w="-5" w:type="dxa"/>
        <w:tblLook w:val="04A0" w:firstRow="1" w:lastRow="0" w:firstColumn="1" w:lastColumn="0" w:noHBand="0" w:noVBand="1"/>
      </w:tblPr>
      <w:tblGrid>
        <w:gridCol w:w="1134"/>
        <w:gridCol w:w="1418"/>
        <w:gridCol w:w="1843"/>
        <w:gridCol w:w="1701"/>
        <w:gridCol w:w="1842"/>
      </w:tblGrid>
      <w:tr w:rsidR="00DD4546" w:rsidRPr="00DD4546" w14:paraId="3ACD823C" w14:textId="77777777" w:rsidTr="00742107">
        <w:trPr>
          <w:trHeight w:val="510"/>
        </w:trPr>
        <w:tc>
          <w:tcPr>
            <w:tcW w:w="1134" w:type="dxa"/>
            <w:noWrap/>
            <w:hideMark/>
          </w:tcPr>
          <w:p w14:paraId="0C65F3F6" w14:textId="77777777" w:rsidR="00DD4546" w:rsidRPr="00DD4546" w:rsidRDefault="00DD4546" w:rsidP="00DD4546">
            <w:pPr>
              <w:spacing w:line="259" w:lineRule="auto"/>
              <w:rPr>
                <w:rFonts w:cstheme="minorHAnsi"/>
                <w:b/>
                <w:bCs/>
              </w:rPr>
            </w:pPr>
            <w:r w:rsidRPr="00DD4546">
              <w:rPr>
                <w:rFonts w:cstheme="minorHAnsi"/>
                <w:b/>
                <w:bCs/>
              </w:rPr>
              <w:t> </w:t>
            </w:r>
          </w:p>
        </w:tc>
        <w:tc>
          <w:tcPr>
            <w:tcW w:w="1418" w:type="dxa"/>
            <w:hideMark/>
          </w:tcPr>
          <w:p w14:paraId="3E4CD572" w14:textId="2FA6B6A0" w:rsidR="00DD4546" w:rsidRPr="00DD4546" w:rsidRDefault="00DD4546" w:rsidP="001D30CA">
            <w:pPr>
              <w:pStyle w:val="Tableheading1"/>
            </w:pPr>
            <w:r w:rsidRPr="00DD4546">
              <w:t>Total wealth, US$ tr</w:t>
            </w:r>
            <w:r w:rsidR="003B1A9A">
              <w:t>illion</w:t>
            </w:r>
          </w:p>
        </w:tc>
        <w:tc>
          <w:tcPr>
            <w:tcW w:w="1843" w:type="dxa"/>
            <w:hideMark/>
          </w:tcPr>
          <w:p w14:paraId="24A54F48" w14:textId="24C18080" w:rsidR="00DD4546" w:rsidRPr="00DD4546" w:rsidRDefault="00DD4546" w:rsidP="001D30CA">
            <w:pPr>
              <w:pStyle w:val="Tableheading1"/>
            </w:pPr>
            <w:r w:rsidRPr="00DD4546">
              <w:t>Total financial wealth, US$ tr</w:t>
            </w:r>
            <w:r w:rsidR="003B1A9A">
              <w:t>illion</w:t>
            </w:r>
          </w:p>
        </w:tc>
        <w:tc>
          <w:tcPr>
            <w:tcW w:w="1701" w:type="dxa"/>
            <w:hideMark/>
          </w:tcPr>
          <w:p w14:paraId="74DF40F7" w14:textId="533C9657" w:rsidR="00DD4546" w:rsidRPr="00DD4546" w:rsidRDefault="00B01E27" w:rsidP="001D30CA">
            <w:pPr>
              <w:pStyle w:val="Tableheading1"/>
            </w:pPr>
            <w:r>
              <w:t>S</w:t>
            </w:r>
            <w:r w:rsidR="00DD4546" w:rsidRPr="00DD4546">
              <w:t>hare of wealth</w:t>
            </w:r>
            <w:r>
              <w:t xml:space="preserve"> </w:t>
            </w:r>
            <w:r w:rsidR="00D94941">
              <w:t xml:space="preserve">held </w:t>
            </w:r>
            <w:r>
              <w:t>in financial assets</w:t>
            </w:r>
            <w:r w:rsidR="00DD4546" w:rsidRPr="00DD4546">
              <w:t>, %</w:t>
            </w:r>
          </w:p>
        </w:tc>
        <w:tc>
          <w:tcPr>
            <w:tcW w:w="1842" w:type="dxa"/>
            <w:hideMark/>
          </w:tcPr>
          <w:p w14:paraId="33CC2C55" w14:textId="7F5542AA" w:rsidR="00DD4546" w:rsidRPr="00DD4546" w:rsidRDefault="00DD4546" w:rsidP="001D30CA">
            <w:pPr>
              <w:pStyle w:val="Tableheading1"/>
            </w:pPr>
            <w:r w:rsidRPr="00DD4546">
              <w:t xml:space="preserve">Share of </w:t>
            </w:r>
            <w:r w:rsidR="00012667">
              <w:t>global</w:t>
            </w:r>
            <w:r w:rsidRPr="00DD4546">
              <w:t xml:space="preserve"> financial wealth, %</w:t>
            </w:r>
          </w:p>
        </w:tc>
      </w:tr>
      <w:tr w:rsidR="00DD4546" w:rsidRPr="00DD4546" w14:paraId="082B0A71" w14:textId="77777777" w:rsidTr="00742107">
        <w:trPr>
          <w:trHeight w:val="290"/>
        </w:trPr>
        <w:tc>
          <w:tcPr>
            <w:tcW w:w="1134" w:type="dxa"/>
            <w:noWrap/>
            <w:hideMark/>
          </w:tcPr>
          <w:p w14:paraId="790A0AF7" w14:textId="77777777" w:rsidR="00DD4546" w:rsidRPr="00DD4546" w:rsidRDefault="00DD4546" w:rsidP="001D30CA">
            <w:pPr>
              <w:pStyle w:val="Tableheading2"/>
            </w:pPr>
            <w:r w:rsidRPr="00DD4546">
              <w:t>All</w:t>
            </w:r>
          </w:p>
        </w:tc>
        <w:tc>
          <w:tcPr>
            <w:tcW w:w="1418" w:type="dxa"/>
            <w:noWrap/>
            <w:hideMark/>
          </w:tcPr>
          <w:p w14:paraId="11539766" w14:textId="093F2D0C" w:rsidR="00DD4546" w:rsidRPr="00DD4546" w:rsidRDefault="00DD4546" w:rsidP="001D30CA">
            <w:pPr>
              <w:pStyle w:val="Tabletext"/>
            </w:pPr>
            <w:r w:rsidRPr="00DD4546">
              <w:t xml:space="preserve">449.1 </w:t>
            </w:r>
          </w:p>
        </w:tc>
        <w:tc>
          <w:tcPr>
            <w:tcW w:w="1843" w:type="dxa"/>
            <w:hideMark/>
          </w:tcPr>
          <w:p w14:paraId="4EE3ECA9" w14:textId="3AFC956C" w:rsidR="00DD4546" w:rsidRPr="00DD4546" w:rsidRDefault="00DD4546" w:rsidP="001D30CA">
            <w:pPr>
              <w:pStyle w:val="Tabletext"/>
            </w:pPr>
            <w:r w:rsidRPr="00DD4546">
              <w:t xml:space="preserve">203.2 </w:t>
            </w:r>
          </w:p>
        </w:tc>
        <w:tc>
          <w:tcPr>
            <w:tcW w:w="1701" w:type="dxa"/>
            <w:hideMark/>
          </w:tcPr>
          <w:p w14:paraId="18FAE99C" w14:textId="77777777" w:rsidR="00DD4546" w:rsidRPr="00DD4546" w:rsidRDefault="00DD4546" w:rsidP="001D30CA">
            <w:pPr>
              <w:pStyle w:val="Tabletext"/>
            </w:pPr>
            <w:r w:rsidRPr="00DD4546">
              <w:t>45.3</w:t>
            </w:r>
          </w:p>
        </w:tc>
        <w:tc>
          <w:tcPr>
            <w:tcW w:w="1842" w:type="dxa"/>
            <w:noWrap/>
            <w:hideMark/>
          </w:tcPr>
          <w:p w14:paraId="6CE0D3D2" w14:textId="77777777" w:rsidR="00DD4546" w:rsidRPr="00DD4546" w:rsidRDefault="00DD4546" w:rsidP="001D30CA">
            <w:pPr>
              <w:pStyle w:val="Tabletext"/>
            </w:pPr>
            <w:r w:rsidRPr="00DD4546">
              <w:t>100.0</w:t>
            </w:r>
          </w:p>
        </w:tc>
      </w:tr>
      <w:tr w:rsidR="00DD4546" w:rsidRPr="00DD4546" w14:paraId="31FA2042" w14:textId="77777777" w:rsidTr="00742107">
        <w:trPr>
          <w:trHeight w:val="290"/>
        </w:trPr>
        <w:tc>
          <w:tcPr>
            <w:tcW w:w="1134" w:type="dxa"/>
            <w:noWrap/>
            <w:hideMark/>
          </w:tcPr>
          <w:p w14:paraId="763C3AEF" w14:textId="77777777" w:rsidR="00DD4546" w:rsidRPr="00DD4546" w:rsidRDefault="00DD4546" w:rsidP="001D30CA">
            <w:pPr>
              <w:pStyle w:val="Tableheading2"/>
            </w:pPr>
            <w:r w:rsidRPr="00DD4546">
              <w:t>Top 1%</w:t>
            </w:r>
          </w:p>
        </w:tc>
        <w:tc>
          <w:tcPr>
            <w:tcW w:w="1418" w:type="dxa"/>
            <w:noWrap/>
            <w:hideMark/>
          </w:tcPr>
          <w:p w14:paraId="7FADD144" w14:textId="7972671F" w:rsidR="00DD4546" w:rsidRPr="00DD4546" w:rsidRDefault="0017301F" w:rsidP="001D30CA">
            <w:pPr>
              <w:pStyle w:val="Tabletext"/>
            </w:pPr>
            <w:r>
              <w:t>138.6</w:t>
            </w:r>
            <w:r w:rsidR="00DD4546" w:rsidRPr="00DD4546">
              <w:t xml:space="preserve"> </w:t>
            </w:r>
          </w:p>
        </w:tc>
        <w:tc>
          <w:tcPr>
            <w:tcW w:w="1843" w:type="dxa"/>
            <w:noWrap/>
            <w:hideMark/>
          </w:tcPr>
          <w:p w14:paraId="4A421404" w14:textId="34EAF92A" w:rsidR="00DD4546" w:rsidRPr="00DD4546" w:rsidRDefault="0017301F" w:rsidP="001D30CA">
            <w:pPr>
              <w:pStyle w:val="Tabletext"/>
            </w:pPr>
            <w:r>
              <w:t>87.9</w:t>
            </w:r>
          </w:p>
        </w:tc>
        <w:tc>
          <w:tcPr>
            <w:tcW w:w="1701" w:type="dxa"/>
            <w:hideMark/>
          </w:tcPr>
          <w:p w14:paraId="6406B019" w14:textId="35657F20" w:rsidR="00DD4546" w:rsidRPr="00DD4546" w:rsidRDefault="00C87880" w:rsidP="001D30CA">
            <w:pPr>
              <w:pStyle w:val="Tabletext"/>
            </w:pPr>
            <w:r>
              <w:t>63.4</w:t>
            </w:r>
          </w:p>
        </w:tc>
        <w:tc>
          <w:tcPr>
            <w:tcW w:w="1842" w:type="dxa"/>
            <w:noWrap/>
            <w:hideMark/>
          </w:tcPr>
          <w:p w14:paraId="6F9E9655" w14:textId="11CAB150" w:rsidR="00DD4546" w:rsidRPr="00DD4546" w:rsidRDefault="00056485" w:rsidP="001D30CA">
            <w:pPr>
              <w:pStyle w:val="Tabletext"/>
            </w:pPr>
            <w:r>
              <w:t>43.3</w:t>
            </w:r>
          </w:p>
        </w:tc>
      </w:tr>
      <w:tr w:rsidR="00DD4546" w:rsidRPr="00DD4546" w14:paraId="748E68E7" w14:textId="77777777" w:rsidTr="00742107">
        <w:trPr>
          <w:trHeight w:val="300"/>
        </w:trPr>
        <w:tc>
          <w:tcPr>
            <w:tcW w:w="1134" w:type="dxa"/>
            <w:noWrap/>
            <w:hideMark/>
          </w:tcPr>
          <w:p w14:paraId="63B454AC" w14:textId="088D427F" w:rsidR="00DD4546" w:rsidRPr="00DD4546" w:rsidRDefault="00DD4546" w:rsidP="001D30CA">
            <w:pPr>
              <w:pStyle w:val="Tableheading2"/>
            </w:pPr>
            <w:r w:rsidRPr="00DD4546">
              <w:t>B</w:t>
            </w:r>
            <w:r w:rsidR="00A97EC4">
              <w:t xml:space="preserve">ottom </w:t>
            </w:r>
            <w:r w:rsidRPr="00DD4546">
              <w:t>99%</w:t>
            </w:r>
          </w:p>
        </w:tc>
        <w:tc>
          <w:tcPr>
            <w:tcW w:w="1418" w:type="dxa"/>
            <w:noWrap/>
            <w:hideMark/>
          </w:tcPr>
          <w:p w14:paraId="18213C61" w14:textId="280116DE" w:rsidR="00DD4546" w:rsidRPr="00DD4546" w:rsidRDefault="00312C99" w:rsidP="001D30CA">
            <w:pPr>
              <w:pStyle w:val="Tabletext"/>
            </w:pPr>
            <w:r>
              <w:t>310.4</w:t>
            </w:r>
            <w:r w:rsidR="00DD4546" w:rsidRPr="00DD4546">
              <w:t xml:space="preserve"> </w:t>
            </w:r>
          </w:p>
        </w:tc>
        <w:tc>
          <w:tcPr>
            <w:tcW w:w="1843" w:type="dxa"/>
            <w:noWrap/>
            <w:hideMark/>
          </w:tcPr>
          <w:p w14:paraId="4E160C4F" w14:textId="4CD6FD18" w:rsidR="00DD4546" w:rsidRPr="00DD4546" w:rsidRDefault="00312C99" w:rsidP="001D30CA">
            <w:pPr>
              <w:pStyle w:val="Tabletext"/>
            </w:pPr>
            <w:r>
              <w:t>115.3</w:t>
            </w:r>
            <w:r w:rsidR="00DD4546" w:rsidRPr="00DD4546">
              <w:t xml:space="preserve"> </w:t>
            </w:r>
          </w:p>
        </w:tc>
        <w:tc>
          <w:tcPr>
            <w:tcW w:w="1701" w:type="dxa"/>
            <w:hideMark/>
          </w:tcPr>
          <w:p w14:paraId="3EE31FF2" w14:textId="6EB84F44" w:rsidR="00DD4546" w:rsidRPr="00DD4546" w:rsidRDefault="00312C99" w:rsidP="001D30CA">
            <w:pPr>
              <w:pStyle w:val="Tabletext"/>
            </w:pPr>
            <w:r>
              <w:t>37.1</w:t>
            </w:r>
          </w:p>
        </w:tc>
        <w:tc>
          <w:tcPr>
            <w:tcW w:w="1842" w:type="dxa"/>
            <w:noWrap/>
            <w:hideMark/>
          </w:tcPr>
          <w:p w14:paraId="2A4D5A50" w14:textId="2FC5E3D5" w:rsidR="00DD4546" w:rsidRPr="00DD4546" w:rsidRDefault="00312C99" w:rsidP="001D30CA">
            <w:pPr>
              <w:pStyle w:val="Tabletext"/>
            </w:pPr>
            <w:r>
              <w:t>56.7</w:t>
            </w:r>
          </w:p>
        </w:tc>
      </w:tr>
    </w:tbl>
    <w:p w14:paraId="4351F6C3" w14:textId="69D299E0" w:rsidR="00AD5ACC" w:rsidRPr="00735E8E" w:rsidRDefault="001C3073" w:rsidP="00735E8E">
      <w:pPr>
        <w:pStyle w:val="Text"/>
        <w:rPr>
          <w:lang w:val="en-US"/>
        </w:rPr>
      </w:pPr>
      <w:r>
        <w:rPr>
          <w:lang w:val="en-US"/>
        </w:rPr>
        <w:t xml:space="preserve">The share of </w:t>
      </w:r>
      <w:r w:rsidR="00DE346F">
        <w:rPr>
          <w:lang w:val="en-US"/>
        </w:rPr>
        <w:t xml:space="preserve">financial </w:t>
      </w:r>
      <w:r>
        <w:rPr>
          <w:lang w:val="en-US"/>
        </w:rPr>
        <w:t>wealth held by the ric</w:t>
      </w:r>
      <w:r w:rsidR="00004F8A">
        <w:rPr>
          <w:lang w:val="en-US"/>
        </w:rPr>
        <w:t xml:space="preserve">hest 1% varies from region to region. </w:t>
      </w:r>
    </w:p>
    <w:p w14:paraId="703354AE" w14:textId="0D1D97B7" w:rsidR="00456480" w:rsidRPr="00456480" w:rsidRDefault="00456480" w:rsidP="008A04DF">
      <w:pPr>
        <w:pStyle w:val="Tablecaption"/>
        <w:rPr>
          <w:lang w:val="en-US"/>
        </w:rPr>
      </w:pPr>
      <w:r w:rsidRPr="00456480">
        <w:rPr>
          <w:lang w:val="en-US"/>
        </w:rPr>
        <w:t xml:space="preserve">Table </w:t>
      </w:r>
      <w:r w:rsidR="007C01C3">
        <w:rPr>
          <w:lang w:val="en-US"/>
        </w:rPr>
        <w:t>1.10</w:t>
      </w:r>
      <w:r w:rsidRPr="00456480">
        <w:rPr>
          <w:lang w:val="en-US"/>
        </w:rPr>
        <w:t>: Share of financial wealth held by the richest 1%</w:t>
      </w:r>
      <w:r w:rsidR="00A97EC4">
        <w:rPr>
          <w:lang w:val="en-US"/>
        </w:rPr>
        <w:t>,</w:t>
      </w:r>
      <w:r w:rsidRPr="00456480">
        <w:rPr>
          <w:lang w:val="en-US"/>
        </w:rPr>
        <w:t xml:space="preserve"> by </w:t>
      </w:r>
      <w:proofErr w:type="gramStart"/>
      <w:r w:rsidRPr="00456480">
        <w:rPr>
          <w:lang w:val="en-US"/>
        </w:rPr>
        <w:t>region</w:t>
      </w:r>
      <w:proofErr w:type="gramEnd"/>
      <w:r w:rsidRPr="00456480">
        <w:rPr>
          <w:lang w:val="en-US"/>
        </w:rPr>
        <w:t xml:space="preserve"> </w:t>
      </w:r>
    </w:p>
    <w:tbl>
      <w:tblPr>
        <w:tblStyle w:val="TableGrid"/>
        <w:tblW w:w="7938" w:type="dxa"/>
        <w:tblInd w:w="-5" w:type="dxa"/>
        <w:tblLook w:val="04A0" w:firstRow="1" w:lastRow="0" w:firstColumn="1" w:lastColumn="0" w:noHBand="0" w:noVBand="1"/>
      </w:tblPr>
      <w:tblGrid>
        <w:gridCol w:w="3828"/>
        <w:gridCol w:w="4110"/>
      </w:tblGrid>
      <w:tr w:rsidR="00004F8A" w:rsidRPr="00004F8A" w14:paraId="271B8C7D" w14:textId="77777777" w:rsidTr="00742107">
        <w:trPr>
          <w:trHeight w:val="290"/>
        </w:trPr>
        <w:tc>
          <w:tcPr>
            <w:tcW w:w="3828" w:type="dxa"/>
            <w:noWrap/>
            <w:hideMark/>
          </w:tcPr>
          <w:p w14:paraId="39261612" w14:textId="77777777" w:rsidR="00004F8A" w:rsidRPr="00004F8A" w:rsidRDefault="00004F8A" w:rsidP="00D86489">
            <w:pPr>
              <w:pStyle w:val="Tableheading1"/>
            </w:pPr>
            <w:r w:rsidRPr="00004F8A">
              <w:t>Region</w:t>
            </w:r>
          </w:p>
        </w:tc>
        <w:tc>
          <w:tcPr>
            <w:tcW w:w="4110" w:type="dxa"/>
            <w:noWrap/>
            <w:hideMark/>
          </w:tcPr>
          <w:p w14:paraId="052993E6" w14:textId="04D20AE1" w:rsidR="00004F8A" w:rsidRPr="00004F8A" w:rsidRDefault="00D94941" w:rsidP="00D86489">
            <w:pPr>
              <w:pStyle w:val="Tableheading1"/>
            </w:pPr>
            <w:r>
              <w:t>Share</w:t>
            </w:r>
            <w:r w:rsidR="00004F8A" w:rsidRPr="00004F8A">
              <w:t xml:space="preserve"> of total financial wealth </w:t>
            </w:r>
            <w:r w:rsidR="004C30A7">
              <w:t>held by the top 1%</w:t>
            </w:r>
          </w:p>
        </w:tc>
      </w:tr>
      <w:tr w:rsidR="00004F8A" w:rsidRPr="00004F8A" w14:paraId="6C5626C0" w14:textId="77777777" w:rsidTr="00742107">
        <w:trPr>
          <w:trHeight w:val="290"/>
        </w:trPr>
        <w:tc>
          <w:tcPr>
            <w:tcW w:w="3828" w:type="dxa"/>
            <w:noWrap/>
            <w:hideMark/>
          </w:tcPr>
          <w:p w14:paraId="66E95825" w14:textId="77777777" w:rsidR="00004F8A" w:rsidRPr="00004F8A" w:rsidRDefault="00004F8A" w:rsidP="00D86489">
            <w:pPr>
              <w:pStyle w:val="Tableheading2"/>
            </w:pPr>
            <w:r w:rsidRPr="00004F8A">
              <w:t>Middle East</w:t>
            </w:r>
          </w:p>
        </w:tc>
        <w:tc>
          <w:tcPr>
            <w:tcW w:w="4110" w:type="dxa"/>
            <w:noWrap/>
            <w:hideMark/>
          </w:tcPr>
          <w:p w14:paraId="20E78140" w14:textId="55C22D3B" w:rsidR="00004F8A" w:rsidRPr="00004F8A" w:rsidRDefault="006A739D" w:rsidP="00D86489">
            <w:pPr>
              <w:pStyle w:val="Tabletext"/>
            </w:pPr>
            <w:r>
              <w:t>47.6%</w:t>
            </w:r>
          </w:p>
        </w:tc>
      </w:tr>
      <w:tr w:rsidR="00004F8A" w:rsidRPr="00004F8A" w14:paraId="0E561F79" w14:textId="77777777" w:rsidTr="00742107">
        <w:trPr>
          <w:trHeight w:val="290"/>
        </w:trPr>
        <w:tc>
          <w:tcPr>
            <w:tcW w:w="3828" w:type="dxa"/>
            <w:noWrap/>
            <w:hideMark/>
          </w:tcPr>
          <w:p w14:paraId="40197DEC" w14:textId="77777777" w:rsidR="00004F8A" w:rsidRPr="00004F8A" w:rsidRDefault="00004F8A" w:rsidP="00D86489">
            <w:pPr>
              <w:pStyle w:val="Tableheading2"/>
            </w:pPr>
            <w:r w:rsidRPr="00004F8A">
              <w:t>World</w:t>
            </w:r>
          </w:p>
        </w:tc>
        <w:tc>
          <w:tcPr>
            <w:tcW w:w="4110" w:type="dxa"/>
            <w:noWrap/>
            <w:hideMark/>
          </w:tcPr>
          <w:p w14:paraId="2D00AF69" w14:textId="317E9737" w:rsidR="00004F8A" w:rsidRPr="00004F8A" w:rsidRDefault="006A739D" w:rsidP="00D86489">
            <w:pPr>
              <w:pStyle w:val="Tabletext"/>
            </w:pPr>
            <w:r>
              <w:t>43.3%</w:t>
            </w:r>
          </w:p>
        </w:tc>
      </w:tr>
      <w:tr w:rsidR="00004F8A" w:rsidRPr="00004F8A" w14:paraId="62B91EC5" w14:textId="77777777" w:rsidTr="00742107">
        <w:trPr>
          <w:trHeight w:val="290"/>
        </w:trPr>
        <w:tc>
          <w:tcPr>
            <w:tcW w:w="3828" w:type="dxa"/>
            <w:noWrap/>
            <w:hideMark/>
          </w:tcPr>
          <w:p w14:paraId="19020DA5" w14:textId="77777777" w:rsidR="00004F8A" w:rsidRPr="00004F8A" w:rsidRDefault="00004F8A" w:rsidP="00D86489">
            <w:pPr>
              <w:pStyle w:val="Tableheading2"/>
            </w:pPr>
            <w:r w:rsidRPr="00004F8A">
              <w:t>Asia</w:t>
            </w:r>
          </w:p>
        </w:tc>
        <w:tc>
          <w:tcPr>
            <w:tcW w:w="4110" w:type="dxa"/>
            <w:noWrap/>
            <w:hideMark/>
          </w:tcPr>
          <w:p w14:paraId="7ED23E9E" w14:textId="78CEA564" w:rsidR="00004F8A" w:rsidRPr="00004F8A" w:rsidRDefault="006A739D" w:rsidP="00D86489">
            <w:pPr>
              <w:pStyle w:val="Tabletext"/>
            </w:pPr>
            <w:r>
              <w:t>50.4%</w:t>
            </w:r>
          </w:p>
        </w:tc>
      </w:tr>
      <w:tr w:rsidR="00004F8A" w:rsidRPr="00004F8A" w14:paraId="0D70DF22" w14:textId="77777777" w:rsidTr="00742107">
        <w:trPr>
          <w:trHeight w:val="290"/>
        </w:trPr>
        <w:tc>
          <w:tcPr>
            <w:tcW w:w="3828" w:type="dxa"/>
            <w:noWrap/>
            <w:hideMark/>
          </w:tcPr>
          <w:p w14:paraId="72DE50A4" w14:textId="77777777" w:rsidR="00004F8A" w:rsidRPr="00004F8A" w:rsidRDefault="00004F8A" w:rsidP="00D86489">
            <w:pPr>
              <w:pStyle w:val="Tableheading2"/>
            </w:pPr>
            <w:r w:rsidRPr="00004F8A">
              <w:t>Europe</w:t>
            </w:r>
          </w:p>
        </w:tc>
        <w:tc>
          <w:tcPr>
            <w:tcW w:w="4110" w:type="dxa"/>
            <w:noWrap/>
            <w:hideMark/>
          </w:tcPr>
          <w:p w14:paraId="55C8A50E" w14:textId="5CDA0751" w:rsidR="00004F8A" w:rsidRPr="00004F8A" w:rsidRDefault="006A739D" w:rsidP="00D86489">
            <w:pPr>
              <w:pStyle w:val="Tabletext"/>
            </w:pPr>
            <w:r>
              <w:t>47.1%</w:t>
            </w:r>
          </w:p>
        </w:tc>
      </w:tr>
      <w:tr w:rsidR="00004F8A" w:rsidRPr="00004F8A" w14:paraId="70B5CA40" w14:textId="77777777" w:rsidTr="00742107">
        <w:trPr>
          <w:trHeight w:val="290"/>
        </w:trPr>
        <w:tc>
          <w:tcPr>
            <w:tcW w:w="3828" w:type="dxa"/>
            <w:noWrap/>
            <w:hideMark/>
          </w:tcPr>
          <w:p w14:paraId="3E2CD50C" w14:textId="77777777" w:rsidR="00004F8A" w:rsidRPr="00004F8A" w:rsidRDefault="00004F8A" w:rsidP="00D86489">
            <w:pPr>
              <w:pStyle w:val="Tableheading2"/>
            </w:pPr>
            <w:r w:rsidRPr="00004F8A">
              <w:t>Africa</w:t>
            </w:r>
          </w:p>
        </w:tc>
        <w:tc>
          <w:tcPr>
            <w:tcW w:w="4110" w:type="dxa"/>
            <w:noWrap/>
            <w:hideMark/>
          </w:tcPr>
          <w:p w14:paraId="58F601F4" w14:textId="05A04136" w:rsidR="00004F8A" w:rsidRPr="00004F8A" w:rsidRDefault="006A739D" w:rsidP="00D86489">
            <w:pPr>
              <w:pStyle w:val="Tabletext"/>
            </w:pPr>
            <w:r>
              <w:t>46.4%</w:t>
            </w:r>
          </w:p>
        </w:tc>
      </w:tr>
      <w:tr w:rsidR="00004F8A" w:rsidRPr="00004F8A" w14:paraId="35FDB060" w14:textId="77777777" w:rsidTr="00742107">
        <w:trPr>
          <w:trHeight w:val="290"/>
        </w:trPr>
        <w:tc>
          <w:tcPr>
            <w:tcW w:w="3828" w:type="dxa"/>
            <w:noWrap/>
            <w:hideMark/>
          </w:tcPr>
          <w:p w14:paraId="091CE693" w14:textId="77777777" w:rsidR="00004F8A" w:rsidRPr="00004F8A" w:rsidRDefault="00004F8A" w:rsidP="00D86489">
            <w:pPr>
              <w:pStyle w:val="Tableheading2"/>
            </w:pPr>
            <w:r w:rsidRPr="00004F8A">
              <w:lastRenderedPageBreak/>
              <w:t>Latin America and the Caribbean</w:t>
            </w:r>
          </w:p>
        </w:tc>
        <w:tc>
          <w:tcPr>
            <w:tcW w:w="4110" w:type="dxa"/>
            <w:noWrap/>
            <w:hideMark/>
          </w:tcPr>
          <w:p w14:paraId="34C6497B" w14:textId="4F50B1B5" w:rsidR="00004F8A" w:rsidRPr="00004F8A" w:rsidRDefault="006A739D" w:rsidP="00D86489">
            <w:pPr>
              <w:pStyle w:val="Tabletext"/>
            </w:pPr>
            <w:r>
              <w:t>46%</w:t>
            </w:r>
          </w:p>
        </w:tc>
      </w:tr>
      <w:tr w:rsidR="00004F8A" w:rsidRPr="00004F8A" w14:paraId="572F1057" w14:textId="77777777" w:rsidTr="00742107">
        <w:trPr>
          <w:trHeight w:val="290"/>
        </w:trPr>
        <w:tc>
          <w:tcPr>
            <w:tcW w:w="3828" w:type="dxa"/>
            <w:noWrap/>
            <w:hideMark/>
          </w:tcPr>
          <w:p w14:paraId="606431A8" w14:textId="77777777" w:rsidR="00004F8A" w:rsidRPr="00004F8A" w:rsidRDefault="00004F8A" w:rsidP="00D86489">
            <w:pPr>
              <w:pStyle w:val="Tableheading2"/>
            </w:pPr>
            <w:r w:rsidRPr="00004F8A">
              <w:t>North America</w:t>
            </w:r>
          </w:p>
        </w:tc>
        <w:tc>
          <w:tcPr>
            <w:tcW w:w="4110" w:type="dxa"/>
            <w:noWrap/>
            <w:hideMark/>
          </w:tcPr>
          <w:p w14:paraId="7ED1F19D" w14:textId="63C9DDF3" w:rsidR="00004F8A" w:rsidRPr="00004F8A" w:rsidRDefault="006A739D" w:rsidP="00D86489">
            <w:pPr>
              <w:pStyle w:val="Tabletext"/>
            </w:pPr>
            <w:r>
              <w:t>39.5%</w:t>
            </w:r>
          </w:p>
        </w:tc>
      </w:tr>
      <w:tr w:rsidR="00004F8A" w:rsidRPr="00004F8A" w14:paraId="1EF56824" w14:textId="77777777" w:rsidTr="00742107">
        <w:trPr>
          <w:trHeight w:val="290"/>
        </w:trPr>
        <w:tc>
          <w:tcPr>
            <w:tcW w:w="3828" w:type="dxa"/>
            <w:noWrap/>
            <w:hideMark/>
          </w:tcPr>
          <w:p w14:paraId="4392C0A2" w14:textId="77777777" w:rsidR="00004F8A" w:rsidRPr="00004F8A" w:rsidRDefault="00004F8A" w:rsidP="00D86489">
            <w:pPr>
              <w:pStyle w:val="Tableheading2"/>
            </w:pPr>
            <w:r w:rsidRPr="00004F8A">
              <w:t>Pacific</w:t>
            </w:r>
          </w:p>
        </w:tc>
        <w:tc>
          <w:tcPr>
            <w:tcW w:w="4110" w:type="dxa"/>
            <w:noWrap/>
            <w:hideMark/>
          </w:tcPr>
          <w:p w14:paraId="6FF4D752" w14:textId="47891CA3" w:rsidR="00004F8A" w:rsidRPr="00004F8A" w:rsidRDefault="006A739D" w:rsidP="00D86489">
            <w:pPr>
              <w:pStyle w:val="Tabletext"/>
            </w:pPr>
            <w:r>
              <w:t>33%</w:t>
            </w:r>
          </w:p>
        </w:tc>
      </w:tr>
    </w:tbl>
    <w:p w14:paraId="1779850F" w14:textId="3F853302" w:rsidR="004E6BC4" w:rsidRPr="00860FF1" w:rsidRDefault="004E6BC4" w:rsidP="00860FF1">
      <w:pPr>
        <w:pStyle w:val="Text"/>
        <w:rPr>
          <w:b/>
          <w:bCs/>
          <w:lang w:val="en-US"/>
        </w:rPr>
      </w:pPr>
      <w:r w:rsidRPr="00860FF1">
        <w:rPr>
          <w:b/>
          <w:bCs/>
          <w:lang w:val="en-US"/>
        </w:rPr>
        <w:t>Methodology: Wealth-X proprietary Wealth and Investable Assets Model</w:t>
      </w:r>
    </w:p>
    <w:p w14:paraId="6E1BBF98" w14:textId="7BDA271A" w:rsidR="004E6BC4" w:rsidRPr="004E6BC4" w:rsidRDefault="004E6BC4" w:rsidP="00860FF1">
      <w:pPr>
        <w:pStyle w:val="Text"/>
        <w:rPr>
          <w:lang w:val="en-US"/>
        </w:rPr>
      </w:pPr>
      <w:r w:rsidRPr="004E6BC4">
        <w:rPr>
          <w:lang w:val="en-US"/>
        </w:rPr>
        <w:t xml:space="preserve">Wealth-X’s proprietary Wealth and Investable Assets model produces statistically significant estimates for total private </w:t>
      </w:r>
      <w:proofErr w:type="gramStart"/>
      <w:r w:rsidRPr="004E6BC4">
        <w:rPr>
          <w:lang w:val="en-US"/>
        </w:rPr>
        <w:t>wealth</w:t>
      </w:r>
      <w:r w:rsidR="00A97EC4">
        <w:rPr>
          <w:lang w:val="en-US"/>
        </w:rPr>
        <w:t>,</w:t>
      </w:r>
      <w:r w:rsidRPr="004E6BC4">
        <w:rPr>
          <w:lang w:val="en-US"/>
        </w:rPr>
        <w:t xml:space="preserve"> and</w:t>
      </w:r>
      <w:proofErr w:type="gramEnd"/>
      <w:r w:rsidRPr="004E6BC4">
        <w:rPr>
          <w:lang w:val="en-US"/>
        </w:rPr>
        <w:t xml:space="preserve"> estimates population by wealth segment for the world and for the top 70 economies, which account for 98% of world GDP.</w:t>
      </w:r>
    </w:p>
    <w:p w14:paraId="39921943" w14:textId="1D2BC35F" w:rsidR="004E6BC4" w:rsidRPr="004E6BC4" w:rsidRDefault="00AC7AF2" w:rsidP="00860FF1">
      <w:pPr>
        <w:pStyle w:val="Text"/>
        <w:rPr>
          <w:lang w:val="en-US"/>
        </w:rPr>
      </w:pPr>
      <w:r>
        <w:rPr>
          <w:lang w:val="en-US"/>
        </w:rPr>
        <w:t>Wealth-X</w:t>
      </w:r>
      <w:r w:rsidR="00A97EC4" w:rsidRPr="004E6BC4">
        <w:rPr>
          <w:lang w:val="en-US"/>
        </w:rPr>
        <w:t xml:space="preserve"> </w:t>
      </w:r>
      <w:r w:rsidR="004E6BC4" w:rsidRPr="004E6BC4">
        <w:rPr>
          <w:lang w:val="en-US"/>
        </w:rPr>
        <w:t>use</w:t>
      </w:r>
      <w:r w:rsidR="00A97EC4">
        <w:rPr>
          <w:lang w:val="en-US"/>
        </w:rPr>
        <w:t>s</w:t>
      </w:r>
      <w:r w:rsidR="004E6BC4" w:rsidRPr="004E6BC4">
        <w:rPr>
          <w:lang w:val="en-US"/>
        </w:rPr>
        <w:t xml:space="preserve"> a two-step process. First, to estimate total private wealth, </w:t>
      </w:r>
      <w:r w:rsidR="00A97EC4">
        <w:rPr>
          <w:lang w:val="en-US"/>
        </w:rPr>
        <w:t>it</w:t>
      </w:r>
      <w:r w:rsidR="00A97EC4" w:rsidRPr="004E6BC4">
        <w:rPr>
          <w:lang w:val="en-US"/>
        </w:rPr>
        <w:t xml:space="preserve"> </w:t>
      </w:r>
      <w:r w:rsidR="004E6BC4" w:rsidRPr="004E6BC4">
        <w:rPr>
          <w:lang w:val="en-US"/>
        </w:rPr>
        <w:t>use</w:t>
      </w:r>
      <w:r w:rsidR="00A97EC4">
        <w:rPr>
          <w:lang w:val="en-US"/>
        </w:rPr>
        <w:t>s</w:t>
      </w:r>
      <w:r w:rsidR="004E6BC4" w:rsidRPr="004E6BC4">
        <w:rPr>
          <w:lang w:val="en-US"/>
        </w:rPr>
        <w:t xml:space="preserve"> econometric techniques that incorporate </w:t>
      </w:r>
      <w:proofErr w:type="gramStart"/>
      <w:r w:rsidR="004E6BC4" w:rsidRPr="004E6BC4">
        <w:rPr>
          <w:lang w:val="en-US"/>
        </w:rPr>
        <w:t>a large number of</w:t>
      </w:r>
      <w:proofErr w:type="gramEnd"/>
      <w:r w:rsidR="004E6BC4" w:rsidRPr="004E6BC4">
        <w:rPr>
          <w:lang w:val="en-US"/>
        </w:rPr>
        <w:t xml:space="preserve"> national variables, such as stock market values, GDP, tax rates, income levels and savings from sources such as the World Bank, </w:t>
      </w:r>
      <w:r w:rsidR="0014147E">
        <w:rPr>
          <w:lang w:val="en-US"/>
        </w:rPr>
        <w:t xml:space="preserve">the </w:t>
      </w:r>
      <w:r w:rsidR="004E6BC4" w:rsidRPr="004E6BC4">
        <w:rPr>
          <w:lang w:val="en-US"/>
        </w:rPr>
        <w:t>I</w:t>
      </w:r>
      <w:r w:rsidR="00D8643F">
        <w:rPr>
          <w:lang w:val="en-US"/>
        </w:rPr>
        <w:t>MF</w:t>
      </w:r>
      <w:r w:rsidR="004E6BC4" w:rsidRPr="004E6BC4">
        <w:rPr>
          <w:lang w:val="en-US"/>
        </w:rPr>
        <w:t xml:space="preserve">, </w:t>
      </w:r>
      <w:r w:rsidR="0014147E">
        <w:rPr>
          <w:lang w:val="en-US"/>
        </w:rPr>
        <w:t xml:space="preserve">the </w:t>
      </w:r>
      <w:proofErr w:type="spellStart"/>
      <w:r w:rsidR="004E6BC4" w:rsidRPr="004E6BC4">
        <w:rPr>
          <w:lang w:val="en-US"/>
        </w:rPr>
        <w:t>Organi</w:t>
      </w:r>
      <w:r w:rsidR="00A97EC4">
        <w:rPr>
          <w:lang w:val="en-US"/>
        </w:rPr>
        <w:t>s</w:t>
      </w:r>
      <w:r w:rsidR="004E6BC4" w:rsidRPr="004E6BC4">
        <w:rPr>
          <w:lang w:val="en-US"/>
        </w:rPr>
        <w:t>ation</w:t>
      </w:r>
      <w:proofErr w:type="spellEnd"/>
      <w:r w:rsidR="004E6BC4" w:rsidRPr="004E6BC4">
        <w:rPr>
          <w:lang w:val="en-US"/>
        </w:rPr>
        <w:t xml:space="preserve"> for Economic Cooperation and Development</w:t>
      </w:r>
      <w:r w:rsidR="00B01E27">
        <w:rPr>
          <w:lang w:val="en-US"/>
        </w:rPr>
        <w:t>,</w:t>
      </w:r>
      <w:r w:rsidR="004E6BC4" w:rsidRPr="004E6BC4">
        <w:rPr>
          <w:lang w:val="en-US"/>
        </w:rPr>
        <w:t xml:space="preserve"> and national statistics authorities. </w:t>
      </w:r>
    </w:p>
    <w:p w14:paraId="081505F3" w14:textId="26BEA8F6" w:rsidR="00860FF1" w:rsidRPr="00097838" w:rsidRDefault="004E6BC4" w:rsidP="00097838">
      <w:pPr>
        <w:pStyle w:val="Text"/>
        <w:rPr>
          <w:lang w:val="en-US"/>
        </w:rPr>
      </w:pPr>
      <w:r w:rsidRPr="004E6BC4">
        <w:rPr>
          <w:lang w:val="en-US"/>
        </w:rPr>
        <w:t xml:space="preserve">Second, </w:t>
      </w:r>
      <w:r w:rsidR="00A97EC4">
        <w:rPr>
          <w:lang w:val="en-US"/>
        </w:rPr>
        <w:t xml:space="preserve">it </w:t>
      </w:r>
      <w:r w:rsidRPr="004E6BC4">
        <w:rPr>
          <w:lang w:val="en-US"/>
        </w:rPr>
        <w:t>estimate</w:t>
      </w:r>
      <w:r w:rsidR="00A97EC4">
        <w:rPr>
          <w:lang w:val="en-US"/>
        </w:rPr>
        <w:t>s</w:t>
      </w:r>
      <w:r w:rsidRPr="004E6BC4">
        <w:rPr>
          <w:lang w:val="en-US"/>
        </w:rPr>
        <w:t xml:space="preserve"> wealth distribution across each country’s population. Owing to a lack of wealth distribution data, most wealth models estimate wealth distribution patterns using income distribution data. Wealth-X’s proprietary database of millions of records on the world’s wealthiest individuals enables </w:t>
      </w:r>
      <w:r w:rsidR="00A97EC4">
        <w:rPr>
          <w:lang w:val="en-US"/>
        </w:rPr>
        <w:t xml:space="preserve">it </w:t>
      </w:r>
      <w:r w:rsidRPr="004E6BC4">
        <w:rPr>
          <w:lang w:val="en-US"/>
        </w:rPr>
        <w:t xml:space="preserve">to construct wealth distribution patterns using real, rather than assumed, wealth distributions, making the model more reliable. </w:t>
      </w:r>
      <w:r w:rsidR="00A97EC4">
        <w:rPr>
          <w:lang w:val="en-US"/>
        </w:rPr>
        <w:t>It</w:t>
      </w:r>
      <w:r w:rsidR="00A97EC4" w:rsidRPr="004E6BC4">
        <w:rPr>
          <w:lang w:val="en-US"/>
        </w:rPr>
        <w:t xml:space="preserve"> </w:t>
      </w:r>
      <w:r w:rsidRPr="004E6BC4">
        <w:rPr>
          <w:lang w:val="en-US"/>
        </w:rPr>
        <w:t>then use</w:t>
      </w:r>
      <w:r w:rsidR="00A97EC4">
        <w:rPr>
          <w:lang w:val="en-US"/>
        </w:rPr>
        <w:t>s</w:t>
      </w:r>
      <w:r w:rsidRPr="004E6BC4">
        <w:rPr>
          <w:lang w:val="en-US"/>
        </w:rPr>
        <w:t xml:space="preserve"> the resulting Lorenz curves to distribute the net wealth of a country across its population. The database is also used to construct investable asset distribution patterns across each country’s population. The model uses residency as the determinant of an individual’s location.</w:t>
      </w:r>
    </w:p>
    <w:p w14:paraId="2876C58F" w14:textId="68033FD7" w:rsidR="00A37061" w:rsidRPr="00097838" w:rsidRDefault="00A37061" w:rsidP="00097838">
      <w:pPr>
        <w:pStyle w:val="Text"/>
        <w:rPr>
          <w:b/>
          <w:bCs/>
        </w:rPr>
      </w:pPr>
      <w:r w:rsidRPr="00097838">
        <w:rPr>
          <w:b/>
          <w:bCs/>
          <w:lang w:val="en-US"/>
        </w:rPr>
        <w:t>1.</w:t>
      </w:r>
      <w:r w:rsidR="00FD5F88" w:rsidRPr="00097838">
        <w:rPr>
          <w:b/>
          <w:bCs/>
          <w:lang w:val="en-US"/>
        </w:rPr>
        <w:t>9</w:t>
      </w:r>
      <w:r w:rsidR="0014147E">
        <w:rPr>
          <w:b/>
          <w:bCs/>
          <w:lang w:val="en-US"/>
        </w:rPr>
        <w:t>.</w:t>
      </w:r>
      <w:r w:rsidRPr="00097838">
        <w:rPr>
          <w:b/>
          <w:bCs/>
          <w:lang w:val="en-US"/>
        </w:rPr>
        <w:t xml:space="preserve"> A wealth tax on the world’s millionaires and billionaires could generate US$</w:t>
      </w:r>
      <w:r w:rsidR="00613E1D">
        <w:rPr>
          <w:b/>
          <w:bCs/>
          <w:lang w:val="en-US"/>
        </w:rPr>
        <w:t>1.8</w:t>
      </w:r>
      <w:r w:rsidRPr="00097838">
        <w:rPr>
          <w:b/>
          <w:bCs/>
          <w:lang w:val="en-US"/>
        </w:rPr>
        <w:t xml:space="preserve"> trillion dollars each year.</w:t>
      </w:r>
    </w:p>
    <w:p w14:paraId="6F85C30E" w14:textId="4F1F08EA" w:rsidR="00A37061" w:rsidRPr="00A646D2" w:rsidRDefault="00A37061" w:rsidP="00097838">
      <w:pPr>
        <w:pStyle w:val="Text"/>
        <w:rPr>
          <w:lang w:val="en-US"/>
        </w:rPr>
      </w:pPr>
      <w:r w:rsidRPr="00A646D2">
        <w:rPr>
          <w:lang w:val="en-US"/>
        </w:rPr>
        <w:t>Using new data from Forbes and Wealth-X for 2023, we estimate the amount of revenue that can be raised from the world’s richest people. We have calculated tax revenues at different rates for three different wealth thresholds globally: those with US$5</w:t>
      </w:r>
      <w:r w:rsidR="00A97EC4">
        <w:rPr>
          <w:lang w:val="en-US"/>
        </w:rPr>
        <w:t>m</w:t>
      </w:r>
      <w:r w:rsidR="00730F03">
        <w:rPr>
          <w:lang w:val="en-US"/>
        </w:rPr>
        <w:t xml:space="preserve">, those with </w:t>
      </w:r>
      <w:r w:rsidR="00730F03" w:rsidRPr="00A646D2">
        <w:rPr>
          <w:lang w:val="en-US"/>
        </w:rPr>
        <w:t>US$50</w:t>
      </w:r>
      <w:r w:rsidR="00730F03">
        <w:rPr>
          <w:lang w:val="en-US"/>
        </w:rPr>
        <w:t xml:space="preserve">m and those with </w:t>
      </w:r>
      <w:r w:rsidR="00730F03" w:rsidRPr="00A646D2">
        <w:rPr>
          <w:lang w:val="en-US"/>
        </w:rPr>
        <w:t>US$1</w:t>
      </w:r>
      <w:r w:rsidR="00730F03">
        <w:rPr>
          <w:lang w:val="en-US"/>
        </w:rPr>
        <w:t>bn</w:t>
      </w:r>
      <w:r w:rsidRPr="00A646D2">
        <w:rPr>
          <w:lang w:val="en-US"/>
        </w:rPr>
        <w:t xml:space="preserve"> in wealth. We modelled the annual revenue from an annual wealth tax of 2% for US$5</w:t>
      </w:r>
      <w:r w:rsidR="00A97EC4">
        <w:rPr>
          <w:lang w:val="en-US"/>
        </w:rPr>
        <w:t>m</w:t>
      </w:r>
      <w:r w:rsidRPr="00A646D2">
        <w:rPr>
          <w:lang w:val="en-US"/>
        </w:rPr>
        <w:t>, 3% for US$50</w:t>
      </w:r>
      <w:r w:rsidR="00A97EC4">
        <w:rPr>
          <w:lang w:val="en-US"/>
        </w:rPr>
        <w:t>m</w:t>
      </w:r>
      <w:r w:rsidR="0014147E">
        <w:rPr>
          <w:lang w:val="en-US"/>
        </w:rPr>
        <w:t>,</w:t>
      </w:r>
      <w:r w:rsidRPr="00A646D2">
        <w:rPr>
          <w:lang w:val="en-US"/>
        </w:rPr>
        <w:t xml:space="preserve"> and 5% for US$1</w:t>
      </w:r>
      <w:r w:rsidR="00A97EC4">
        <w:rPr>
          <w:lang w:val="en-US"/>
        </w:rPr>
        <w:t>bn</w:t>
      </w:r>
      <w:r w:rsidRPr="00A646D2">
        <w:rPr>
          <w:lang w:val="en-US"/>
        </w:rPr>
        <w:t xml:space="preserve"> and above.</w:t>
      </w:r>
    </w:p>
    <w:p w14:paraId="7998F48E" w14:textId="54FF743B" w:rsidR="00A37061" w:rsidRPr="00A646D2" w:rsidRDefault="00A37061" w:rsidP="00097838">
      <w:pPr>
        <w:pStyle w:val="Text"/>
        <w:rPr>
          <w:lang w:val="en-US"/>
        </w:rPr>
      </w:pPr>
      <w:r w:rsidRPr="00A646D2">
        <w:rPr>
          <w:lang w:val="en-US"/>
        </w:rPr>
        <w:t xml:space="preserve">In 2023 there were 4,381,150 people with a net wealth of </w:t>
      </w:r>
      <w:r w:rsidR="00931569">
        <w:rPr>
          <w:lang w:val="en-US"/>
        </w:rPr>
        <w:t xml:space="preserve">more than </w:t>
      </w:r>
      <w:r w:rsidRPr="00A646D2">
        <w:rPr>
          <w:lang w:val="en-US"/>
        </w:rPr>
        <w:t>US$5</w:t>
      </w:r>
      <w:r w:rsidR="00A97EC4">
        <w:rPr>
          <w:lang w:val="en-US"/>
        </w:rPr>
        <w:t>m,</w:t>
      </w:r>
      <w:r w:rsidRPr="00A646D2">
        <w:rPr>
          <w:lang w:val="en-US"/>
        </w:rPr>
        <w:t xml:space="preserve"> and they held a combined wealth of US$</w:t>
      </w:r>
      <w:r w:rsidR="00931569">
        <w:rPr>
          <w:lang w:val="en-US"/>
        </w:rPr>
        <w:t>88.2</w:t>
      </w:r>
      <w:r w:rsidRPr="00A646D2">
        <w:rPr>
          <w:lang w:val="en-US"/>
        </w:rPr>
        <w:t xml:space="preserve"> trillion. Those with net wealth of US$50</w:t>
      </w:r>
      <w:r w:rsidR="00A97EC4">
        <w:rPr>
          <w:lang w:val="en-US"/>
        </w:rPr>
        <w:t>m</w:t>
      </w:r>
      <w:r w:rsidRPr="00A646D2">
        <w:rPr>
          <w:lang w:val="en-US"/>
        </w:rPr>
        <w:t xml:space="preserve"> and above </w:t>
      </w:r>
      <w:r w:rsidR="00730F03">
        <w:rPr>
          <w:lang w:val="en-US"/>
        </w:rPr>
        <w:t>numbered</w:t>
      </w:r>
      <w:r w:rsidR="00730F03" w:rsidRPr="00A646D2">
        <w:rPr>
          <w:lang w:val="en-US"/>
        </w:rPr>
        <w:t xml:space="preserve"> </w:t>
      </w:r>
      <w:r w:rsidRPr="00A646D2">
        <w:rPr>
          <w:lang w:val="en-US"/>
        </w:rPr>
        <w:t>220,240, with a combined net wealth of US$</w:t>
      </w:r>
      <w:r w:rsidR="00613E1D">
        <w:rPr>
          <w:lang w:val="en-US"/>
        </w:rPr>
        <w:t>41.</w:t>
      </w:r>
      <w:r w:rsidR="001B6B46">
        <w:rPr>
          <w:lang w:val="en-US"/>
        </w:rPr>
        <w:t>1</w:t>
      </w:r>
      <w:r w:rsidR="00A97EC4">
        <w:rPr>
          <w:lang w:val="en-US"/>
        </w:rPr>
        <w:t xml:space="preserve"> </w:t>
      </w:r>
      <w:r w:rsidRPr="00A646D2">
        <w:rPr>
          <w:lang w:val="en-US"/>
        </w:rPr>
        <w:t xml:space="preserve">trillion. As of </w:t>
      </w:r>
      <w:r w:rsidR="00A97EC4">
        <w:rPr>
          <w:lang w:val="en-US"/>
        </w:rPr>
        <w:t xml:space="preserve">the </w:t>
      </w:r>
      <w:r w:rsidRPr="00A646D2">
        <w:rPr>
          <w:lang w:val="en-US"/>
        </w:rPr>
        <w:t xml:space="preserve">end </w:t>
      </w:r>
      <w:r w:rsidR="00A97EC4">
        <w:rPr>
          <w:lang w:val="en-US"/>
        </w:rPr>
        <w:t xml:space="preserve">of </w:t>
      </w:r>
      <w:r w:rsidRPr="00A646D2">
        <w:rPr>
          <w:lang w:val="en-US"/>
        </w:rPr>
        <w:t>November 2023, there were a total of 2,565 billionaires</w:t>
      </w:r>
      <w:r w:rsidR="00730F03">
        <w:rPr>
          <w:lang w:val="en-US"/>
        </w:rPr>
        <w:t>,</w:t>
      </w:r>
      <w:r w:rsidRPr="00A646D2">
        <w:rPr>
          <w:lang w:val="en-US"/>
        </w:rPr>
        <w:t xml:space="preserve"> with a combined wealth of US$12.8 trillion.</w:t>
      </w:r>
    </w:p>
    <w:p w14:paraId="7BEAF12E" w14:textId="0812C692" w:rsidR="00A37061" w:rsidRPr="00A646D2" w:rsidRDefault="00A37061" w:rsidP="00097838">
      <w:pPr>
        <w:pStyle w:val="Text"/>
        <w:rPr>
          <w:lang w:val="en-US"/>
        </w:rPr>
      </w:pPr>
      <w:r w:rsidRPr="00A646D2">
        <w:rPr>
          <w:lang w:val="en-US"/>
        </w:rPr>
        <w:t>Our calculation shows that a progressive annual tax at a rate of 2% on net wealth above US$5</w:t>
      </w:r>
      <w:r w:rsidR="00A97EC4">
        <w:rPr>
          <w:lang w:val="en-US"/>
        </w:rPr>
        <w:t>m</w:t>
      </w:r>
      <w:r w:rsidRPr="00A646D2">
        <w:rPr>
          <w:lang w:val="en-US"/>
        </w:rPr>
        <w:t>, 3% on net wealth above US$50</w:t>
      </w:r>
      <w:r w:rsidR="00A97EC4">
        <w:rPr>
          <w:lang w:val="en-US"/>
        </w:rPr>
        <w:t>m</w:t>
      </w:r>
      <w:r w:rsidR="0014147E">
        <w:rPr>
          <w:lang w:val="en-US"/>
        </w:rPr>
        <w:t>,</w:t>
      </w:r>
      <w:r w:rsidRPr="00A646D2">
        <w:rPr>
          <w:lang w:val="en-US"/>
        </w:rPr>
        <w:t xml:space="preserve"> and 5% on all net wealth above US$1</w:t>
      </w:r>
      <w:r w:rsidR="00A97EC4">
        <w:rPr>
          <w:lang w:val="en-US"/>
        </w:rPr>
        <w:t>bn</w:t>
      </w:r>
      <w:r w:rsidRPr="00A646D2">
        <w:rPr>
          <w:lang w:val="en-US"/>
        </w:rPr>
        <w:t xml:space="preserve"> could raise as much as $</w:t>
      </w:r>
      <w:r w:rsidR="00613E1D">
        <w:rPr>
          <w:lang w:val="en-US"/>
        </w:rPr>
        <w:t>1.8</w:t>
      </w:r>
      <w:r w:rsidRPr="00A646D2">
        <w:rPr>
          <w:lang w:val="en-US"/>
        </w:rPr>
        <w:t xml:space="preserve"> trillion a year.</w:t>
      </w:r>
    </w:p>
    <w:p w14:paraId="4A6A5083" w14:textId="67E4B434" w:rsidR="00A37061" w:rsidRDefault="00A37061" w:rsidP="00097838">
      <w:pPr>
        <w:pStyle w:val="Text"/>
        <w:rPr>
          <w:lang w:val="en-US"/>
        </w:rPr>
      </w:pPr>
      <w:r w:rsidRPr="00A646D2">
        <w:rPr>
          <w:lang w:val="en-US"/>
        </w:rPr>
        <w:t xml:space="preserve">The data on millionaires was collected for Oxfam by Wealth-X, a private company producing wealth data for different markets which account for 98% of the global GDP. This data is for 2023. For billionaires, we rely on </w:t>
      </w:r>
      <w:r w:rsidR="0014147E">
        <w:rPr>
          <w:lang w:val="en-US"/>
        </w:rPr>
        <w:t xml:space="preserve">the </w:t>
      </w:r>
      <w:r w:rsidRPr="00A646D2">
        <w:rPr>
          <w:lang w:val="en-US"/>
        </w:rPr>
        <w:t>Fo</w:t>
      </w:r>
      <w:r w:rsidR="007D5168">
        <w:rPr>
          <w:lang w:val="en-US"/>
        </w:rPr>
        <w:t>r</w:t>
      </w:r>
      <w:r w:rsidRPr="00A646D2">
        <w:rPr>
          <w:lang w:val="en-US"/>
        </w:rPr>
        <w:t>bes real-time billionaire</w:t>
      </w:r>
      <w:r w:rsidR="007D5168">
        <w:rPr>
          <w:lang w:val="en-US"/>
        </w:rPr>
        <w:t>s</w:t>
      </w:r>
      <w:r w:rsidRPr="00A646D2">
        <w:rPr>
          <w:lang w:val="en-US"/>
        </w:rPr>
        <w:t xml:space="preserve"> list as of </w:t>
      </w:r>
      <w:r w:rsidR="003A5D62">
        <w:rPr>
          <w:lang w:val="en-US"/>
        </w:rPr>
        <w:t xml:space="preserve">the </w:t>
      </w:r>
      <w:r w:rsidRPr="00A646D2">
        <w:rPr>
          <w:lang w:val="en-US"/>
        </w:rPr>
        <w:t xml:space="preserve">end </w:t>
      </w:r>
      <w:r w:rsidR="003A5D62">
        <w:rPr>
          <w:lang w:val="en-US"/>
        </w:rPr>
        <w:t xml:space="preserve">of </w:t>
      </w:r>
      <w:r w:rsidRPr="00A646D2">
        <w:rPr>
          <w:lang w:val="en-US"/>
        </w:rPr>
        <w:t>November 2023.</w:t>
      </w:r>
      <w:r w:rsidRPr="00FD5F88">
        <w:rPr>
          <w:rStyle w:val="EndnoteReference"/>
          <w:rFonts w:cstheme="minorHAnsi"/>
        </w:rPr>
        <w:endnoteReference w:id="34"/>
      </w:r>
    </w:p>
    <w:p w14:paraId="2D4AEF34" w14:textId="4F660FF3" w:rsidR="003A5D62" w:rsidRDefault="003A5D62">
      <w:pPr>
        <w:spacing w:after="0"/>
        <w:rPr>
          <w:rFonts w:cstheme="minorHAnsi"/>
          <w:lang w:val="en-US"/>
        </w:rPr>
      </w:pPr>
      <w:r>
        <w:rPr>
          <w:rFonts w:cstheme="minorHAnsi"/>
          <w:lang w:val="en-US"/>
        </w:rPr>
        <w:br w:type="page"/>
      </w:r>
    </w:p>
    <w:p w14:paraId="5A18D4E8" w14:textId="0944FF42" w:rsidR="002A618A" w:rsidRPr="005C26AE" w:rsidRDefault="000D5079" w:rsidP="00B5738F">
      <w:pPr>
        <w:pStyle w:val="Heading1"/>
      </w:pPr>
      <w:bookmarkStart w:id="3" w:name="_Hlk150417956"/>
      <w:bookmarkStart w:id="4" w:name="_Toc154070026"/>
      <w:r>
        <w:lastRenderedPageBreak/>
        <w:t>2.</w:t>
      </w:r>
      <w:r>
        <w:tab/>
      </w:r>
      <w:r w:rsidR="00F941D9" w:rsidRPr="000D5079">
        <w:t xml:space="preserve">Methodology on </w:t>
      </w:r>
      <w:r w:rsidR="00FB272D" w:rsidRPr="000D5079">
        <w:t>c</w:t>
      </w:r>
      <w:r w:rsidR="00F941D9" w:rsidRPr="000D5079">
        <w:t xml:space="preserve">ompany </w:t>
      </w:r>
      <w:r w:rsidR="007F20CD" w:rsidRPr="000D5079">
        <w:t>statistics</w:t>
      </w:r>
      <w:bookmarkEnd w:id="3"/>
      <w:bookmarkEnd w:id="4"/>
    </w:p>
    <w:p w14:paraId="05ACBD9F" w14:textId="77777777" w:rsidR="002A618A" w:rsidRPr="007C69A1" w:rsidRDefault="002A618A" w:rsidP="002A618A">
      <w:pPr>
        <w:pStyle w:val="Boxtext"/>
      </w:pPr>
      <w:r w:rsidRPr="0099732B">
        <w:rPr>
          <w:b/>
          <w:bCs/>
          <w:lang w:val="en-US"/>
        </w:rPr>
        <w:t>2.0.</w:t>
      </w:r>
      <w:r w:rsidRPr="007C69A1">
        <w:rPr>
          <w:lang w:val="en-US"/>
        </w:rPr>
        <w:t xml:space="preserve"> According to new data covering the first six months of 2023, 2023 is set to shatter all records as the most profitable year yet for big </w:t>
      </w:r>
      <w:r w:rsidRPr="00414AC8">
        <w:rPr>
          <w:lang w:val="en-US"/>
        </w:rPr>
        <w:t>corporations. 148</w:t>
      </w:r>
      <w:r w:rsidRPr="007C69A1">
        <w:rPr>
          <w:lang w:val="en-US"/>
        </w:rPr>
        <w:t xml:space="preserve"> of the world’s biggest corporations (where data is available) made nearly US$1.8 trillion in profits in the 12 months leading up to June 2023, which is 52.5% higher than their average for 2018–21. Their windfall profits – defined as profits exceeding the 2018–21 average by more than 20% – are nearly US$700bn. Taxing these windfall profits at 90% would generate nearly US$628bn in revenue.</w:t>
      </w:r>
    </w:p>
    <w:p w14:paraId="4EF34178" w14:textId="77777777" w:rsidR="002A618A" w:rsidRPr="007C69A1" w:rsidRDefault="002A618A" w:rsidP="002A618A">
      <w:pPr>
        <w:pStyle w:val="Boxtext"/>
      </w:pPr>
      <w:r w:rsidRPr="0099732B">
        <w:rPr>
          <w:b/>
          <w:bCs/>
          <w:lang w:val="en-US"/>
        </w:rPr>
        <w:t>2.1.</w:t>
      </w:r>
      <w:r>
        <w:rPr>
          <w:lang w:val="en-US"/>
        </w:rPr>
        <w:t xml:space="preserve"> </w:t>
      </w:r>
      <w:r w:rsidRPr="007C69A1">
        <w:rPr>
          <w:lang w:val="en-US"/>
        </w:rPr>
        <w:t>The biggest winners in terms of windfall profits have been 14 oil and gas companies whose profits in 2023 were 278% above the 2018–21 average, representing US$190bn in windfall profits in 2023 and US$144bn in 2022.</w:t>
      </w:r>
    </w:p>
    <w:p w14:paraId="65238816" w14:textId="77777777" w:rsidR="002A618A" w:rsidRDefault="002A618A" w:rsidP="002A618A">
      <w:pPr>
        <w:pStyle w:val="Boxtext"/>
      </w:pPr>
      <w:r w:rsidRPr="0099732B">
        <w:rPr>
          <w:b/>
          <w:bCs/>
        </w:rPr>
        <w:t>2.2.</w:t>
      </w:r>
      <w:r>
        <w:t xml:space="preserve"> </w:t>
      </w:r>
      <w:r w:rsidRPr="00514099">
        <w:t xml:space="preserve">For every </w:t>
      </w:r>
      <w:r w:rsidRPr="6D97B5CF">
        <w:t>US</w:t>
      </w:r>
      <w:r w:rsidRPr="00514099">
        <w:t xml:space="preserve">$100 of profit generated by 96 major companies between July 2022 and June 2023, </w:t>
      </w:r>
      <w:r>
        <w:t>US</w:t>
      </w:r>
      <w:r w:rsidRPr="00514099">
        <w:t>$82 was returned to shareholders in the form of stock buybacks and dividends.</w:t>
      </w:r>
      <w:r w:rsidRPr="6D97B5CF">
        <w:t xml:space="preserve"> </w:t>
      </w:r>
    </w:p>
    <w:p w14:paraId="1F2898A0" w14:textId="7D474358" w:rsidR="002A618A" w:rsidRDefault="002A618A" w:rsidP="002A618A">
      <w:pPr>
        <w:pStyle w:val="Boxtext"/>
      </w:pPr>
      <w:r w:rsidRPr="0099732B">
        <w:rPr>
          <w:b/>
          <w:bCs/>
        </w:rPr>
        <w:t>2.3.</w:t>
      </w:r>
      <w:r>
        <w:t xml:space="preserve"> </w:t>
      </w:r>
      <w:r w:rsidRPr="5FA3A8BC">
        <w:t xml:space="preserve">New Oxfam analysis of the World Benchmarking Alliance’s data on over 1,600 of the largest and most influential companies worldwide shows that 0.4% of companies are publicly committed to paying their workers a living wage and support </w:t>
      </w:r>
      <w:r w:rsidR="00333217">
        <w:t xml:space="preserve">paying </w:t>
      </w:r>
      <w:r w:rsidRPr="5FA3A8BC">
        <w:t>a living wage in their value chains.</w:t>
      </w:r>
    </w:p>
    <w:p w14:paraId="7373E36D" w14:textId="77777777" w:rsidR="002A618A" w:rsidRDefault="002A618A" w:rsidP="002A618A">
      <w:pPr>
        <w:pStyle w:val="Boxtext"/>
      </w:pPr>
      <w:r w:rsidRPr="0099732B">
        <w:rPr>
          <w:b/>
          <w:bCs/>
        </w:rPr>
        <w:t>2.4.</w:t>
      </w:r>
      <w:r>
        <w:t xml:space="preserve"> </w:t>
      </w:r>
      <w:r w:rsidRPr="00514099">
        <w:t>Oxfam’s analysis of the World Benchmarking Alliance’s data of over 1</w:t>
      </w:r>
      <w:r>
        <w:t>,</w:t>
      </w:r>
      <w:r w:rsidRPr="00514099">
        <w:t>600 of the world’s largest companies finds that only 0.9% fully meet a global bar for collective bargaining – by disclosing collective bargaining coverage in their workforce and their approach to supporting collective bargaining through their business relationships (</w:t>
      </w:r>
      <w:proofErr w:type="gramStart"/>
      <w:r w:rsidRPr="00514099">
        <w:t>e.g.</w:t>
      </w:r>
      <w:proofErr w:type="gramEnd"/>
      <w:r w:rsidRPr="00514099">
        <w:t xml:space="preserve"> their suppliers)</w:t>
      </w:r>
      <w:r>
        <w:t>.</w:t>
      </w:r>
    </w:p>
    <w:p w14:paraId="3FE8BA5E" w14:textId="77777777" w:rsidR="002A618A" w:rsidRDefault="002A618A" w:rsidP="002A618A">
      <w:pPr>
        <w:pStyle w:val="Boxtext"/>
      </w:pPr>
      <w:r w:rsidRPr="0099732B">
        <w:rPr>
          <w:b/>
          <w:bCs/>
        </w:rPr>
        <w:t>2.5.</w:t>
      </w:r>
      <w:r>
        <w:t xml:space="preserve"> </w:t>
      </w:r>
      <w:r w:rsidRPr="00B56B5D">
        <w:t>New data on over 1</w:t>
      </w:r>
      <w:r>
        <w:t>,</w:t>
      </w:r>
      <w:r w:rsidRPr="00B56B5D">
        <w:t>600 of the largest and most influential companies reveals that 24% have a public commitment to gender equality. Just 2.6% of companies disclose information on the ratio of pay of women to men.</w:t>
      </w:r>
    </w:p>
    <w:p w14:paraId="5E428608" w14:textId="77777777" w:rsidR="002A618A" w:rsidRDefault="002A618A" w:rsidP="002A618A">
      <w:pPr>
        <w:pStyle w:val="Boxtext"/>
      </w:pPr>
      <w:r w:rsidRPr="0099732B">
        <w:rPr>
          <w:b/>
          <w:bCs/>
        </w:rPr>
        <w:t>2.6.</w:t>
      </w:r>
      <w:r>
        <w:t xml:space="preserve"> </w:t>
      </w:r>
      <w:r w:rsidRPr="00514099">
        <w:t xml:space="preserve">Just 4% of </w:t>
      </w:r>
      <w:r w:rsidRPr="6D97B5CF">
        <w:t xml:space="preserve">the </w:t>
      </w:r>
      <w:r w:rsidRPr="00514099">
        <w:t xml:space="preserve">over </w:t>
      </w:r>
      <w:r w:rsidRPr="6D97B5CF">
        <w:t>1,600</w:t>
      </w:r>
      <w:r w:rsidRPr="00514099">
        <w:t xml:space="preserve"> largest and most influential companies sampled worldwide fully meet </w:t>
      </w:r>
      <w:r w:rsidRPr="6D97B5CF">
        <w:t>the World Benchmarking Alliance’s social indicator</w:t>
      </w:r>
      <w:r w:rsidRPr="00514099">
        <w:t xml:space="preserve"> on responsible tax</w:t>
      </w:r>
      <w:r w:rsidRPr="6D97B5CF">
        <w:t>,</w:t>
      </w:r>
      <w:r w:rsidRPr="00514099">
        <w:t xml:space="preserve"> by having a public global tax strategy and publicly disclosing corporate income taxes paid in all countries of residency.</w:t>
      </w:r>
    </w:p>
    <w:p w14:paraId="391CD199" w14:textId="77777777" w:rsidR="002A618A" w:rsidRDefault="002A618A" w:rsidP="002A618A">
      <w:pPr>
        <w:pStyle w:val="Boxtext"/>
      </w:pPr>
      <w:r w:rsidRPr="0099732B">
        <w:rPr>
          <w:b/>
          <w:bCs/>
        </w:rPr>
        <w:t>2.7.</w:t>
      </w:r>
      <w:r>
        <w:t xml:space="preserve"> </w:t>
      </w:r>
      <w:r w:rsidRPr="00514099">
        <w:t xml:space="preserve">Shell </w:t>
      </w:r>
      <w:r w:rsidRPr="6D97B5CF">
        <w:t>made</w:t>
      </w:r>
      <w:r w:rsidRPr="00514099">
        <w:t xml:space="preserve"> </w:t>
      </w:r>
      <w:r>
        <w:t>US</w:t>
      </w:r>
      <w:r w:rsidRPr="00514099">
        <w:t>$29.</w:t>
      </w:r>
      <w:r w:rsidRPr="6D97B5CF">
        <w:t>2bn</w:t>
      </w:r>
      <w:r w:rsidRPr="00514099">
        <w:t xml:space="preserve"> in profits between July 2022 and June 2023, an increase of 222% compared to </w:t>
      </w:r>
      <w:r>
        <w:t>its</w:t>
      </w:r>
      <w:r w:rsidRPr="00514099">
        <w:t xml:space="preserve"> average profits from 2018</w:t>
      </w:r>
      <w:r>
        <w:t>–</w:t>
      </w:r>
      <w:r w:rsidRPr="00514099">
        <w:t>21. Of those profits, 87.7% were handed back to shareholders in the form of stock buybacks and dividends.</w:t>
      </w:r>
    </w:p>
    <w:p w14:paraId="21A1BB9E" w14:textId="77777777" w:rsidR="002A618A" w:rsidRDefault="002A618A" w:rsidP="002A618A">
      <w:pPr>
        <w:pStyle w:val="Boxtext"/>
      </w:pPr>
      <w:r w:rsidRPr="0099732B">
        <w:rPr>
          <w:b/>
          <w:bCs/>
        </w:rPr>
        <w:t>2.8.</w:t>
      </w:r>
      <w:r>
        <w:t xml:space="preserve"> </w:t>
      </w:r>
      <w:r w:rsidRPr="00514099">
        <w:t>Between July 2022 and June 2023, Brazil’s Petrobras made $30.3</w:t>
      </w:r>
      <w:r>
        <w:t>bn</w:t>
      </w:r>
      <w:r w:rsidRPr="00514099">
        <w:t xml:space="preserve"> in profits – almost four times more than its average annual profits from 2019</w:t>
      </w:r>
      <w:r>
        <w:t>–</w:t>
      </w:r>
      <w:r w:rsidRPr="00514099">
        <w:t>21</w:t>
      </w:r>
      <w:r w:rsidRPr="6D97B5CF">
        <w:t>. It</w:t>
      </w:r>
      <w:r w:rsidRPr="00514099">
        <w:t xml:space="preserve"> paid out 118% </w:t>
      </w:r>
      <w:r w:rsidRPr="6D97B5CF">
        <w:t xml:space="preserve">of </w:t>
      </w:r>
      <w:r w:rsidRPr="00514099">
        <w:t>those profits to shareholders in the form of dividends</w:t>
      </w:r>
      <w:r w:rsidRPr="6D97B5CF">
        <w:t xml:space="preserve"> –</w:t>
      </w:r>
      <w:r w:rsidRPr="00514099">
        <w:t xml:space="preserve"> more than three times what </w:t>
      </w:r>
      <w:r w:rsidRPr="6D97B5CF">
        <w:t>Petrobras</w:t>
      </w:r>
      <w:r w:rsidRPr="00514099">
        <w:t xml:space="preserve"> invested in capital expenditure.</w:t>
      </w:r>
    </w:p>
    <w:p w14:paraId="54A7587D" w14:textId="77777777" w:rsidR="002A618A" w:rsidRDefault="002A618A" w:rsidP="002A618A">
      <w:pPr>
        <w:pStyle w:val="Boxtext"/>
      </w:pPr>
      <w:r w:rsidRPr="0099732B">
        <w:rPr>
          <w:b/>
          <w:bCs/>
        </w:rPr>
        <w:t>2.9.</w:t>
      </w:r>
      <w:r>
        <w:t xml:space="preserve"> </w:t>
      </w:r>
      <w:r w:rsidRPr="00514099">
        <w:t xml:space="preserve">If the </w:t>
      </w:r>
      <w:r w:rsidRPr="626B8B7D">
        <w:t>amount companies spent on</w:t>
      </w:r>
      <w:r w:rsidRPr="00514099">
        <w:t xml:space="preserve"> dividends and shareholder buybacks </w:t>
      </w:r>
      <w:r w:rsidRPr="626B8B7D">
        <w:t>for</w:t>
      </w:r>
      <w:r w:rsidRPr="00514099">
        <w:t xml:space="preserve"> the </w:t>
      </w:r>
      <w:r w:rsidRPr="626B8B7D">
        <w:t>richest</w:t>
      </w:r>
      <w:r w:rsidRPr="00514099">
        <w:t xml:space="preserve"> 10% in 2022 </w:t>
      </w:r>
      <w:r w:rsidRPr="6D97B5CF">
        <w:t>was</w:t>
      </w:r>
      <w:r w:rsidRPr="00514099">
        <w:t xml:space="preserve"> redistributed to the bottom 40% of the income distribution, global income inequality as measured by the Palma ratio </w:t>
      </w:r>
      <w:r w:rsidRPr="626B8B7D">
        <w:t>could</w:t>
      </w:r>
      <w:r w:rsidRPr="00514099">
        <w:t xml:space="preserve"> decrease by 21.5</w:t>
      </w:r>
      <w:r w:rsidRPr="626B8B7D">
        <w:t>% –</w:t>
      </w:r>
      <w:r w:rsidRPr="00514099">
        <w:t xml:space="preserve"> equivalent to the </w:t>
      </w:r>
      <w:r w:rsidRPr="626B8B7D">
        <w:t xml:space="preserve">actual </w:t>
      </w:r>
      <w:r w:rsidRPr="00514099">
        <w:t xml:space="preserve">drop in the Palma ratio observed </w:t>
      </w:r>
      <w:r w:rsidRPr="626B8B7D">
        <w:t>over</w:t>
      </w:r>
      <w:r w:rsidRPr="00514099">
        <w:t xml:space="preserve"> 41 years. </w:t>
      </w:r>
    </w:p>
    <w:p w14:paraId="32FAA72D" w14:textId="714E43EB" w:rsidR="002A618A" w:rsidRDefault="002A618A" w:rsidP="002A618A">
      <w:pPr>
        <w:pStyle w:val="Boxtext"/>
      </w:pPr>
      <w:r w:rsidRPr="00A86602">
        <w:rPr>
          <w:b/>
          <w:bCs/>
        </w:rPr>
        <w:t>2.10.</w:t>
      </w:r>
      <w:r>
        <w:t xml:space="preserve"> </w:t>
      </w:r>
      <w:r w:rsidRPr="00514099">
        <w:t xml:space="preserve">Just half of the </w:t>
      </w:r>
      <w:r w:rsidRPr="6D97B5CF">
        <w:t xml:space="preserve">amount from </w:t>
      </w:r>
      <w:proofErr w:type="spellStart"/>
      <w:r w:rsidRPr="00514099">
        <w:t>payouts</w:t>
      </w:r>
      <w:proofErr w:type="spellEnd"/>
      <w:r w:rsidRPr="00514099">
        <w:t xml:space="preserve"> to the </w:t>
      </w:r>
      <w:r w:rsidRPr="626B8B7D">
        <w:t>top</w:t>
      </w:r>
      <w:r w:rsidRPr="00514099">
        <w:t xml:space="preserve"> 10% in 2022 could </w:t>
      </w:r>
      <w:r w:rsidR="00A86602">
        <w:lastRenderedPageBreak/>
        <w:t>r</w:t>
      </w:r>
      <w:r w:rsidR="00C1729D">
        <w:t>educe</w:t>
      </w:r>
      <w:r w:rsidR="00A86602" w:rsidRPr="00514099">
        <w:t xml:space="preserve"> </w:t>
      </w:r>
      <w:r w:rsidRPr="00514099">
        <w:t xml:space="preserve">global poverty (defined </w:t>
      </w:r>
      <w:r w:rsidRPr="626B8B7D">
        <w:t>as</w:t>
      </w:r>
      <w:r w:rsidRPr="00514099">
        <w:t xml:space="preserve"> </w:t>
      </w:r>
      <w:r>
        <w:t>US</w:t>
      </w:r>
      <w:r w:rsidRPr="00514099">
        <w:t xml:space="preserve">$6.85 </w:t>
      </w:r>
      <w:r w:rsidRPr="626B8B7D">
        <w:t>a day</w:t>
      </w:r>
      <w:r w:rsidRPr="6D97B5CF">
        <w:t>,</w:t>
      </w:r>
      <w:r w:rsidRPr="626B8B7D">
        <w:t xml:space="preserve"> </w:t>
      </w:r>
      <w:r w:rsidRPr="00514099">
        <w:t xml:space="preserve">2017 PPP), and a mere 1.6% of </w:t>
      </w:r>
      <w:r w:rsidRPr="626B8B7D">
        <w:t>the</w:t>
      </w:r>
      <w:r w:rsidRPr="00514099">
        <w:t xml:space="preserve"> </w:t>
      </w:r>
      <w:proofErr w:type="spellStart"/>
      <w:r w:rsidRPr="00514099">
        <w:t>payouts</w:t>
      </w:r>
      <w:proofErr w:type="spellEnd"/>
      <w:r w:rsidRPr="00514099">
        <w:t xml:space="preserve"> could eliminate extreme poverty as defined by the World Bank (</w:t>
      </w:r>
      <w:r>
        <w:t>US</w:t>
      </w:r>
      <w:r w:rsidRPr="00514099">
        <w:t xml:space="preserve">$2.15 </w:t>
      </w:r>
      <w:r w:rsidRPr="626B8B7D">
        <w:t>a day</w:t>
      </w:r>
      <w:r w:rsidRPr="6D97B5CF">
        <w:t>,</w:t>
      </w:r>
      <w:r w:rsidRPr="626B8B7D">
        <w:t xml:space="preserve"> </w:t>
      </w:r>
      <w:r w:rsidRPr="00514099">
        <w:t>2017 PPP).</w:t>
      </w:r>
      <w:r>
        <w:t xml:space="preserve"> </w:t>
      </w:r>
    </w:p>
    <w:p w14:paraId="14F2764E" w14:textId="4180D5BA" w:rsidR="00F941D9" w:rsidRDefault="002A618A" w:rsidP="00605981">
      <w:pPr>
        <w:pStyle w:val="Boxtext"/>
      </w:pPr>
      <w:r w:rsidRPr="00A86602">
        <w:rPr>
          <w:b/>
          <w:bCs/>
        </w:rPr>
        <w:t>2.11.</w:t>
      </w:r>
      <w:r>
        <w:t xml:space="preserve"> </w:t>
      </w:r>
      <w:r w:rsidRPr="00514099">
        <w:t xml:space="preserve">The world’s five largest corporations combined are valued </w:t>
      </w:r>
      <w:r>
        <w:t xml:space="preserve">at </w:t>
      </w:r>
      <w:r w:rsidRPr="00514099">
        <w:t>more</w:t>
      </w:r>
      <w:r>
        <w:t xml:space="preserve"> </w:t>
      </w:r>
      <w:r w:rsidRPr="00514099">
        <w:t>than all the GDP of economies in Africa</w:t>
      </w:r>
      <w:r>
        <w:t>,</w:t>
      </w:r>
      <w:r w:rsidRPr="00514099">
        <w:t xml:space="preserve"> Latin America and the Caribbean combined.</w:t>
      </w:r>
    </w:p>
    <w:p w14:paraId="06D86622" w14:textId="7C61419F" w:rsidR="00F941D9" w:rsidRPr="00605981" w:rsidRDefault="00F941D9" w:rsidP="00605981">
      <w:pPr>
        <w:pStyle w:val="Text"/>
        <w:rPr>
          <w:b/>
          <w:bCs/>
        </w:rPr>
      </w:pPr>
      <w:r w:rsidRPr="00605981">
        <w:rPr>
          <w:b/>
          <w:bCs/>
        </w:rPr>
        <w:t xml:space="preserve">2.0 </w:t>
      </w:r>
      <w:r w:rsidRPr="00605981">
        <w:rPr>
          <w:rFonts w:eastAsia="Calibri"/>
          <w:b/>
          <w:bCs/>
          <w:color w:val="000000" w:themeColor="text1"/>
          <w:lang w:val="en-US"/>
        </w:rPr>
        <w:t xml:space="preserve">According to new data covering the first six months of 2023, </w:t>
      </w:r>
      <w:r w:rsidRPr="00605981">
        <w:rPr>
          <w:rFonts w:eastAsia="Calibri"/>
          <w:b/>
          <w:bCs/>
          <w:lang w:val="en-US"/>
        </w:rPr>
        <w:t>2023 is set to shatter all records as the most profitable year yet for big corporations. 148 of the world’s biggest corporations (where data is available) made nearly US$1.8 trillion in profits in the 12 months leading up to June 2023, which is 52.5% higher than their average for 2018</w:t>
      </w:r>
      <w:r w:rsidR="006A591C" w:rsidRPr="00605981">
        <w:rPr>
          <w:rFonts w:eastAsia="Calibri"/>
          <w:b/>
          <w:bCs/>
          <w:lang w:val="en-US"/>
        </w:rPr>
        <w:t>–</w:t>
      </w:r>
      <w:r w:rsidRPr="00605981">
        <w:rPr>
          <w:rFonts w:eastAsia="Calibri"/>
          <w:b/>
          <w:bCs/>
          <w:lang w:val="en-US"/>
        </w:rPr>
        <w:t>21. Their windfall profits</w:t>
      </w:r>
      <w:r w:rsidR="005C2687" w:rsidRPr="00605981">
        <w:rPr>
          <w:rFonts w:eastAsia="Calibri"/>
          <w:b/>
          <w:bCs/>
          <w:lang w:val="en-US"/>
        </w:rPr>
        <w:t xml:space="preserve"> – </w:t>
      </w:r>
      <w:r w:rsidRPr="00605981">
        <w:rPr>
          <w:rFonts w:eastAsia="Calibri"/>
          <w:b/>
          <w:bCs/>
          <w:lang w:val="en-US"/>
        </w:rPr>
        <w:t>defined as profits exceeding the 2018</w:t>
      </w:r>
      <w:r w:rsidR="006A591C" w:rsidRPr="00605981">
        <w:rPr>
          <w:rFonts w:eastAsia="Calibri"/>
          <w:b/>
          <w:bCs/>
          <w:lang w:val="en-US"/>
        </w:rPr>
        <w:t>–</w:t>
      </w:r>
      <w:r w:rsidRPr="00605981">
        <w:rPr>
          <w:rFonts w:eastAsia="Calibri"/>
          <w:b/>
          <w:bCs/>
          <w:lang w:val="en-US"/>
        </w:rPr>
        <w:t xml:space="preserve">21 average by more than 20% </w:t>
      </w:r>
      <w:r w:rsidR="005C2687" w:rsidRPr="00605981">
        <w:rPr>
          <w:rFonts w:eastAsia="Calibri"/>
          <w:b/>
          <w:bCs/>
          <w:lang w:val="en-US"/>
        </w:rPr>
        <w:t>–</w:t>
      </w:r>
      <w:r w:rsidRPr="00605981">
        <w:rPr>
          <w:rFonts w:eastAsia="Calibri"/>
          <w:b/>
          <w:bCs/>
          <w:lang w:val="en-US"/>
        </w:rPr>
        <w:t xml:space="preserve"> are nearly US$700</w:t>
      </w:r>
      <w:r w:rsidR="005C2687" w:rsidRPr="00605981">
        <w:rPr>
          <w:rFonts w:eastAsia="Calibri"/>
          <w:b/>
          <w:bCs/>
          <w:lang w:val="en-US"/>
        </w:rPr>
        <w:t>bn</w:t>
      </w:r>
      <w:r w:rsidRPr="00605981">
        <w:rPr>
          <w:rFonts w:eastAsia="Calibri"/>
          <w:b/>
          <w:bCs/>
          <w:lang w:val="en-US"/>
        </w:rPr>
        <w:t>. Taxing these windfall profits at 90% would generate US$628</w:t>
      </w:r>
      <w:r w:rsidR="005C2687" w:rsidRPr="00605981">
        <w:rPr>
          <w:rFonts w:eastAsia="Calibri"/>
          <w:b/>
          <w:bCs/>
          <w:lang w:val="en-US"/>
        </w:rPr>
        <w:t xml:space="preserve">bn </w:t>
      </w:r>
      <w:r w:rsidRPr="00605981">
        <w:rPr>
          <w:rFonts w:eastAsia="Calibri"/>
          <w:b/>
          <w:bCs/>
          <w:lang w:val="en-US"/>
        </w:rPr>
        <w:t>in revenue.</w:t>
      </w:r>
    </w:p>
    <w:p w14:paraId="1FF575B2" w14:textId="56B359E5" w:rsidR="00F941D9" w:rsidRDefault="00F941D9" w:rsidP="00605981">
      <w:pPr>
        <w:pStyle w:val="Text"/>
      </w:pPr>
      <w:bookmarkStart w:id="5" w:name="_Hlk150489915"/>
      <w:r w:rsidRPr="5DC6809E">
        <w:t xml:space="preserve">Data was collected for Oxfam by the </w:t>
      </w:r>
      <w:r>
        <w:t>data analytic</w:t>
      </w:r>
      <w:r w:rsidR="00EA7F65">
        <w:t>s</w:t>
      </w:r>
      <w:r>
        <w:t xml:space="preserve"> firm </w:t>
      </w:r>
      <w:proofErr w:type="spellStart"/>
      <w:r w:rsidRPr="5DC6809E">
        <w:t>Exerica</w:t>
      </w:r>
      <w:proofErr w:type="spellEnd"/>
      <w:r>
        <w:t>.</w:t>
      </w:r>
      <w:r>
        <w:rPr>
          <w:rStyle w:val="EndnoteReference"/>
        </w:rPr>
        <w:endnoteReference w:id="35"/>
      </w:r>
      <w:bookmarkEnd w:id="5"/>
      <w:r>
        <w:t xml:space="preserve"> </w:t>
      </w:r>
      <w:r w:rsidRPr="5DC6809E">
        <w:t xml:space="preserve">Data on net profits (profits less taxes and interest expenses) was extracted in October 2023 for the </w:t>
      </w:r>
      <w:r w:rsidR="00F230D3">
        <w:t>six</w:t>
      </w:r>
      <w:r w:rsidR="00F230D3" w:rsidRPr="5DC6809E">
        <w:t xml:space="preserve"> </w:t>
      </w:r>
      <w:r w:rsidRPr="5DC6809E">
        <w:t>years leading up to June 2023 for the world’s 200 largest corporations based on market cap</w:t>
      </w:r>
      <w:r w:rsidR="006A591C">
        <w:t>italization</w:t>
      </w:r>
      <w:r w:rsidRPr="5DC6809E">
        <w:t xml:space="preserve">. </w:t>
      </w:r>
    </w:p>
    <w:p w14:paraId="55BE09A4" w14:textId="3675E646" w:rsidR="00B47768" w:rsidRPr="00B47768" w:rsidRDefault="00F941D9" w:rsidP="00B47768">
      <w:pPr>
        <w:pStyle w:val="Text"/>
      </w:pPr>
      <w:r w:rsidRPr="5DC6809E">
        <w:t>Of the 200 corporations</w:t>
      </w:r>
      <w:r>
        <w:t>,</w:t>
      </w:r>
      <w:r w:rsidRPr="5DC6809E">
        <w:t xml:space="preserve"> we have only selected the 148 corporations for which we have data on net profits for all years from 2018 to 2023. The data for the net profits of the 148 corporations are shown below.</w:t>
      </w:r>
    </w:p>
    <w:p w14:paraId="5D3A44E8" w14:textId="2776A07F" w:rsidR="00F941D9" w:rsidRPr="00CA63B9" w:rsidRDefault="00F941D9" w:rsidP="00B47768">
      <w:pPr>
        <w:pStyle w:val="Tablecaption"/>
      </w:pPr>
      <w:r>
        <w:t xml:space="preserve">Table 2.0: </w:t>
      </w:r>
      <w:r w:rsidRPr="00CA63B9">
        <w:t>Net profit</w:t>
      </w:r>
      <w:r w:rsidR="00391F1D">
        <w:t>s</w:t>
      </w:r>
      <w:r w:rsidRPr="00CA63B9">
        <w:t xml:space="preserve"> for 148 companies </w:t>
      </w:r>
      <w:r w:rsidR="00391F1D">
        <w:t>for 2018 to 2023</w:t>
      </w:r>
    </w:p>
    <w:tbl>
      <w:tblPr>
        <w:tblStyle w:val="TableGrid"/>
        <w:tblW w:w="0" w:type="auto"/>
        <w:tblInd w:w="-5" w:type="dxa"/>
        <w:tblLook w:val="04A0" w:firstRow="1" w:lastRow="0" w:firstColumn="1" w:lastColumn="0" w:noHBand="0" w:noVBand="1"/>
      </w:tblPr>
      <w:tblGrid>
        <w:gridCol w:w="4408"/>
        <w:gridCol w:w="2250"/>
      </w:tblGrid>
      <w:tr w:rsidR="00F941D9" w14:paraId="74F8A2BC" w14:textId="77777777" w:rsidTr="00605981">
        <w:trPr>
          <w:trHeight w:val="290"/>
        </w:trPr>
        <w:tc>
          <w:tcPr>
            <w:tcW w:w="4408" w:type="dxa"/>
          </w:tcPr>
          <w:p w14:paraId="2C864DD6" w14:textId="248BB894" w:rsidR="00F941D9" w:rsidRDefault="00F941D9" w:rsidP="00605981">
            <w:pPr>
              <w:pStyle w:val="Tableheading1"/>
              <w:rPr>
                <w:lang w:val="en-US"/>
              </w:rPr>
            </w:pPr>
            <w:r w:rsidRPr="329A7981">
              <w:rPr>
                <w:lang w:val="en-US"/>
              </w:rPr>
              <w:t>Period</w:t>
            </w:r>
          </w:p>
        </w:tc>
        <w:tc>
          <w:tcPr>
            <w:tcW w:w="2250" w:type="dxa"/>
          </w:tcPr>
          <w:p w14:paraId="5ED72C92" w14:textId="3D7A850D" w:rsidR="00F941D9" w:rsidRDefault="00F941D9" w:rsidP="00605981">
            <w:pPr>
              <w:pStyle w:val="Tableheading1"/>
              <w:rPr>
                <w:lang w:val="en-US"/>
              </w:rPr>
            </w:pPr>
            <w:r w:rsidRPr="329A7981">
              <w:rPr>
                <w:lang w:val="en-US"/>
              </w:rPr>
              <w:t>Net profits (</w:t>
            </w:r>
            <w:r w:rsidR="006A591C">
              <w:rPr>
                <w:lang w:val="en-US"/>
              </w:rPr>
              <w:t xml:space="preserve">US$ </w:t>
            </w:r>
            <w:r w:rsidRPr="329A7981">
              <w:rPr>
                <w:lang w:val="en-US"/>
              </w:rPr>
              <w:t>trillion)</w:t>
            </w:r>
          </w:p>
        </w:tc>
      </w:tr>
      <w:tr w:rsidR="00F941D9" w14:paraId="52E5D0BC" w14:textId="77777777" w:rsidTr="00605981">
        <w:trPr>
          <w:trHeight w:val="290"/>
        </w:trPr>
        <w:tc>
          <w:tcPr>
            <w:tcW w:w="4408" w:type="dxa"/>
          </w:tcPr>
          <w:p w14:paraId="13A6CCF8" w14:textId="18743C41" w:rsidR="00F941D9" w:rsidRDefault="00F941D9" w:rsidP="00605981">
            <w:pPr>
              <w:pStyle w:val="Tabletext"/>
              <w:rPr>
                <w:lang w:val="en-US"/>
              </w:rPr>
            </w:pPr>
            <w:r w:rsidRPr="329A7981">
              <w:rPr>
                <w:lang w:val="en-US"/>
              </w:rPr>
              <w:t>12 months leading up to 30 June 2023</w:t>
            </w:r>
          </w:p>
        </w:tc>
        <w:tc>
          <w:tcPr>
            <w:tcW w:w="2250" w:type="dxa"/>
          </w:tcPr>
          <w:p w14:paraId="2B2A1413" w14:textId="7BD6DD04" w:rsidR="00F941D9" w:rsidRDefault="00F941D9" w:rsidP="00605981">
            <w:pPr>
              <w:pStyle w:val="Tabletext"/>
              <w:rPr>
                <w:lang w:val="en-US"/>
              </w:rPr>
            </w:pPr>
            <w:r w:rsidRPr="329A7981">
              <w:rPr>
                <w:lang w:val="en-US"/>
              </w:rPr>
              <w:t>1</w:t>
            </w:r>
            <w:r>
              <w:rPr>
                <w:lang w:val="en-US"/>
              </w:rPr>
              <w:t>.</w:t>
            </w:r>
            <w:r w:rsidRPr="329A7981">
              <w:rPr>
                <w:lang w:val="en-US"/>
              </w:rPr>
              <w:t>777</w:t>
            </w:r>
          </w:p>
        </w:tc>
      </w:tr>
      <w:tr w:rsidR="00F941D9" w14:paraId="52B236C4" w14:textId="77777777" w:rsidTr="00605981">
        <w:trPr>
          <w:trHeight w:val="290"/>
        </w:trPr>
        <w:tc>
          <w:tcPr>
            <w:tcW w:w="4408" w:type="dxa"/>
          </w:tcPr>
          <w:p w14:paraId="01FF0DE0" w14:textId="3AC673E6" w:rsidR="00F941D9" w:rsidRDefault="00F941D9" w:rsidP="00605981">
            <w:pPr>
              <w:pStyle w:val="Tabletext"/>
              <w:rPr>
                <w:lang w:val="en-US"/>
              </w:rPr>
            </w:pPr>
            <w:r w:rsidRPr="329A7981">
              <w:rPr>
                <w:lang w:val="en-US"/>
              </w:rPr>
              <w:t>12 months leading up to 30 June 2022</w:t>
            </w:r>
          </w:p>
        </w:tc>
        <w:tc>
          <w:tcPr>
            <w:tcW w:w="2250" w:type="dxa"/>
          </w:tcPr>
          <w:p w14:paraId="1BAF3023" w14:textId="4C584090" w:rsidR="00F941D9" w:rsidRDefault="00F941D9" w:rsidP="00605981">
            <w:pPr>
              <w:pStyle w:val="Tabletext"/>
              <w:rPr>
                <w:lang w:val="en-US"/>
              </w:rPr>
            </w:pPr>
            <w:r w:rsidRPr="329A7981">
              <w:rPr>
                <w:lang w:val="en-US"/>
              </w:rPr>
              <w:t>1</w:t>
            </w:r>
            <w:r>
              <w:rPr>
                <w:lang w:val="en-US"/>
              </w:rPr>
              <w:t>.</w:t>
            </w:r>
            <w:r w:rsidRPr="329A7981">
              <w:rPr>
                <w:lang w:val="en-US"/>
              </w:rPr>
              <w:t>732</w:t>
            </w:r>
          </w:p>
        </w:tc>
      </w:tr>
      <w:tr w:rsidR="00F941D9" w14:paraId="6631F920" w14:textId="77777777" w:rsidTr="00605981">
        <w:trPr>
          <w:trHeight w:val="290"/>
        </w:trPr>
        <w:tc>
          <w:tcPr>
            <w:tcW w:w="4408" w:type="dxa"/>
          </w:tcPr>
          <w:p w14:paraId="1AF6C52B" w14:textId="5B5DC42F" w:rsidR="00F941D9" w:rsidRDefault="00F941D9" w:rsidP="00605981">
            <w:pPr>
              <w:pStyle w:val="Tabletext"/>
              <w:rPr>
                <w:lang w:val="en-US"/>
              </w:rPr>
            </w:pPr>
            <w:r w:rsidRPr="329A7981">
              <w:rPr>
                <w:lang w:val="en-US"/>
              </w:rPr>
              <w:t>12 months leading up to 30 June 2021</w:t>
            </w:r>
          </w:p>
        </w:tc>
        <w:tc>
          <w:tcPr>
            <w:tcW w:w="2250" w:type="dxa"/>
          </w:tcPr>
          <w:p w14:paraId="6B57C736" w14:textId="6E6EC32B" w:rsidR="00F941D9" w:rsidRDefault="00F941D9" w:rsidP="00605981">
            <w:pPr>
              <w:pStyle w:val="Tabletext"/>
              <w:rPr>
                <w:lang w:val="en-US"/>
              </w:rPr>
            </w:pPr>
            <w:r w:rsidRPr="329A7981">
              <w:rPr>
                <w:lang w:val="en-US"/>
              </w:rPr>
              <w:t>1</w:t>
            </w:r>
            <w:r>
              <w:rPr>
                <w:lang w:val="en-US"/>
              </w:rPr>
              <w:t>.</w:t>
            </w:r>
            <w:r w:rsidRPr="329A7981">
              <w:rPr>
                <w:lang w:val="en-US"/>
              </w:rPr>
              <w:t>484</w:t>
            </w:r>
          </w:p>
        </w:tc>
      </w:tr>
      <w:tr w:rsidR="00F941D9" w14:paraId="2B019512" w14:textId="77777777" w:rsidTr="00605981">
        <w:trPr>
          <w:trHeight w:val="290"/>
        </w:trPr>
        <w:tc>
          <w:tcPr>
            <w:tcW w:w="4408" w:type="dxa"/>
          </w:tcPr>
          <w:p w14:paraId="2587D616" w14:textId="3AB35907" w:rsidR="00F941D9" w:rsidRDefault="00F941D9" w:rsidP="00605981">
            <w:pPr>
              <w:pStyle w:val="Tabletext"/>
              <w:rPr>
                <w:lang w:val="en-US"/>
              </w:rPr>
            </w:pPr>
            <w:r w:rsidRPr="329A7981">
              <w:rPr>
                <w:lang w:val="en-US"/>
              </w:rPr>
              <w:t>12 months leading up to 30 June 2020</w:t>
            </w:r>
          </w:p>
        </w:tc>
        <w:tc>
          <w:tcPr>
            <w:tcW w:w="2250" w:type="dxa"/>
          </w:tcPr>
          <w:p w14:paraId="763F742B" w14:textId="6ED1FB5F" w:rsidR="00F941D9" w:rsidRDefault="00F941D9" w:rsidP="00605981">
            <w:pPr>
              <w:pStyle w:val="Tabletext"/>
              <w:rPr>
                <w:lang w:val="en-US"/>
              </w:rPr>
            </w:pPr>
            <w:r w:rsidRPr="329A7981">
              <w:rPr>
                <w:lang w:val="en-US"/>
              </w:rPr>
              <w:t>0</w:t>
            </w:r>
            <w:r>
              <w:rPr>
                <w:lang w:val="en-US"/>
              </w:rPr>
              <w:t>.</w:t>
            </w:r>
            <w:r w:rsidRPr="329A7981">
              <w:rPr>
                <w:lang w:val="en-US"/>
              </w:rPr>
              <w:t>933</w:t>
            </w:r>
          </w:p>
        </w:tc>
      </w:tr>
      <w:tr w:rsidR="00F941D9" w14:paraId="2E386911" w14:textId="77777777" w:rsidTr="00605981">
        <w:trPr>
          <w:trHeight w:val="290"/>
        </w:trPr>
        <w:tc>
          <w:tcPr>
            <w:tcW w:w="4408" w:type="dxa"/>
          </w:tcPr>
          <w:p w14:paraId="0C90876D" w14:textId="74487EC6" w:rsidR="00F941D9" w:rsidRDefault="00F941D9" w:rsidP="00605981">
            <w:pPr>
              <w:pStyle w:val="Tabletext"/>
              <w:rPr>
                <w:lang w:val="en-US"/>
              </w:rPr>
            </w:pPr>
            <w:r w:rsidRPr="329A7981">
              <w:rPr>
                <w:lang w:val="en-US"/>
              </w:rPr>
              <w:t>12 months leading up to 30 June 2019</w:t>
            </w:r>
          </w:p>
        </w:tc>
        <w:tc>
          <w:tcPr>
            <w:tcW w:w="2250" w:type="dxa"/>
          </w:tcPr>
          <w:p w14:paraId="4022B264" w14:textId="13FE5361" w:rsidR="00F941D9" w:rsidRDefault="00F941D9" w:rsidP="00605981">
            <w:pPr>
              <w:pStyle w:val="Tabletext"/>
              <w:rPr>
                <w:lang w:val="en-US"/>
              </w:rPr>
            </w:pPr>
            <w:r w:rsidRPr="329A7981">
              <w:rPr>
                <w:lang w:val="en-US"/>
              </w:rPr>
              <w:t>1</w:t>
            </w:r>
            <w:r>
              <w:rPr>
                <w:lang w:val="en-US"/>
              </w:rPr>
              <w:t>.</w:t>
            </w:r>
            <w:r w:rsidRPr="329A7981">
              <w:rPr>
                <w:lang w:val="en-US"/>
              </w:rPr>
              <w:t>212</w:t>
            </w:r>
          </w:p>
        </w:tc>
      </w:tr>
      <w:tr w:rsidR="00F941D9" w14:paraId="2FBE6BF6" w14:textId="77777777" w:rsidTr="00605981">
        <w:trPr>
          <w:trHeight w:val="290"/>
        </w:trPr>
        <w:tc>
          <w:tcPr>
            <w:tcW w:w="4408" w:type="dxa"/>
          </w:tcPr>
          <w:p w14:paraId="4C3C4A99" w14:textId="0C10886E" w:rsidR="00F941D9" w:rsidRDefault="00F941D9" w:rsidP="00605981">
            <w:pPr>
              <w:pStyle w:val="Tabletext"/>
              <w:rPr>
                <w:lang w:val="en-US"/>
              </w:rPr>
            </w:pPr>
            <w:r w:rsidRPr="329A7981">
              <w:rPr>
                <w:lang w:val="en-US"/>
              </w:rPr>
              <w:t>12 months leading up to 30 June 2018</w:t>
            </w:r>
          </w:p>
        </w:tc>
        <w:tc>
          <w:tcPr>
            <w:tcW w:w="2250" w:type="dxa"/>
          </w:tcPr>
          <w:p w14:paraId="39DF9691" w14:textId="461CE041" w:rsidR="00F941D9" w:rsidRDefault="00F941D9" w:rsidP="00605981">
            <w:pPr>
              <w:pStyle w:val="Tabletext"/>
              <w:rPr>
                <w:lang w:val="en-US"/>
              </w:rPr>
            </w:pPr>
            <w:r w:rsidRPr="329A7981">
              <w:rPr>
                <w:lang w:val="en-US"/>
              </w:rPr>
              <w:t>1</w:t>
            </w:r>
            <w:r>
              <w:rPr>
                <w:lang w:val="en-US"/>
              </w:rPr>
              <w:t>.</w:t>
            </w:r>
            <w:r w:rsidRPr="329A7981">
              <w:rPr>
                <w:lang w:val="en-US"/>
              </w:rPr>
              <w:t>056</w:t>
            </w:r>
          </w:p>
        </w:tc>
      </w:tr>
    </w:tbl>
    <w:p w14:paraId="50610868" w14:textId="13CBB04F" w:rsidR="00B26E1C" w:rsidRDefault="00B26E1C" w:rsidP="00605981">
      <w:pPr>
        <w:pStyle w:val="Tablecaption"/>
      </w:pPr>
      <w:r w:rsidRPr="009E2088">
        <w:t>Fig</w:t>
      </w:r>
      <w:r w:rsidR="00C1729D">
        <w:t>ure</w:t>
      </w:r>
      <w:r w:rsidRPr="009E2088">
        <w:t xml:space="preserve"> 2.0: Net profits of</w:t>
      </w:r>
      <w:r w:rsidR="00675266">
        <w:t xml:space="preserve"> </w:t>
      </w:r>
      <w:r w:rsidRPr="009E2088">
        <w:t>148 of</w:t>
      </w:r>
      <w:r w:rsidR="00675266">
        <w:t xml:space="preserve"> the</w:t>
      </w:r>
      <w:r w:rsidRPr="009E2088">
        <w:t xml:space="preserve"> </w:t>
      </w:r>
      <w:r>
        <w:t xml:space="preserve">200 largest </w:t>
      </w:r>
      <w:r w:rsidRPr="009E2088">
        <w:t>companies in the world between July 201</w:t>
      </w:r>
      <w:r>
        <w:t>7</w:t>
      </w:r>
      <w:r w:rsidR="00675266">
        <w:t>–</w:t>
      </w:r>
      <w:r w:rsidRPr="009E2088">
        <w:t>June 2023, US$ billions</w:t>
      </w:r>
    </w:p>
    <w:p w14:paraId="702CBB01" w14:textId="7F50BB7D" w:rsidR="008A3F20" w:rsidRPr="008A3F20" w:rsidRDefault="008A3F20" w:rsidP="00B47768">
      <w:pPr>
        <w:pStyle w:val="Sourcenormal"/>
        <w:rPr>
          <w:b/>
          <w:bCs/>
        </w:rPr>
      </w:pPr>
      <w:r>
        <w:rPr>
          <w:noProof/>
        </w:rPr>
        <w:drawing>
          <wp:inline distT="0" distB="0" distL="0" distR="0" wp14:anchorId="72EC7FFF" wp14:editId="23FB5AA5">
            <wp:extent cx="4264182" cy="2679825"/>
            <wp:effectExtent l="0" t="0" r="3175" b="6350"/>
            <wp:docPr id="1137502396" name="Chart 1">
              <a:extLst xmlns:a="http://schemas.openxmlformats.org/drawingml/2006/main">
                <a:ext uri="{FF2B5EF4-FFF2-40B4-BE49-F238E27FC236}">
                  <a16:creationId xmlns:a16="http://schemas.microsoft.com/office/drawing/2014/main" id="{CEE8351D-8FCC-4B11-1A5D-F99FC34F0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8A3F20">
        <w:t xml:space="preserve"> Source: </w:t>
      </w:r>
      <w:r w:rsidRPr="008A3F20">
        <w:rPr>
          <w:rFonts w:eastAsia="Calibri" w:cs="Calibri"/>
          <w:lang w:val="en-US"/>
        </w:rPr>
        <w:t xml:space="preserve">Data extracted by </w:t>
      </w:r>
      <w:proofErr w:type="spellStart"/>
      <w:r w:rsidRPr="008A3F20">
        <w:rPr>
          <w:rFonts w:eastAsia="Calibri" w:cs="Calibri"/>
          <w:lang w:val="en-US"/>
        </w:rPr>
        <w:t>Exerica</w:t>
      </w:r>
      <w:proofErr w:type="spellEnd"/>
      <w:r w:rsidRPr="008A3F20">
        <w:rPr>
          <w:rFonts w:eastAsia="Calibri" w:cs="Calibri"/>
          <w:lang w:val="en-US"/>
        </w:rPr>
        <w:t xml:space="preserve"> for Oxfam.</w:t>
      </w:r>
      <w:r>
        <w:t xml:space="preserve"> </w:t>
      </w:r>
      <w:r w:rsidRPr="008A3F20">
        <w:t xml:space="preserve">Note: The data is for 12 months to June of each year. </w:t>
      </w:r>
    </w:p>
    <w:p w14:paraId="3174A7C8" w14:textId="69FC5F8A" w:rsidR="00F941D9" w:rsidRDefault="00F941D9" w:rsidP="00605981">
      <w:pPr>
        <w:pStyle w:val="Text"/>
      </w:pPr>
      <w:r w:rsidRPr="329A7981">
        <w:lastRenderedPageBreak/>
        <w:t xml:space="preserve">The </w:t>
      </w:r>
      <w:r w:rsidR="006A591C">
        <w:t xml:space="preserve">2023 </w:t>
      </w:r>
      <w:r w:rsidRPr="329A7981">
        <w:t xml:space="preserve">net profit of </w:t>
      </w:r>
      <w:r>
        <w:t>US</w:t>
      </w:r>
      <w:r w:rsidRPr="329A7981">
        <w:t>$1</w:t>
      </w:r>
      <w:r>
        <w:t>.</w:t>
      </w:r>
      <w:r w:rsidRPr="329A7981">
        <w:t>777 trillion is 52.5% higher than the average net profit for 2018</w:t>
      </w:r>
      <w:r w:rsidR="006A591C">
        <w:t>–</w:t>
      </w:r>
      <w:r w:rsidRPr="329A7981">
        <w:t>21</w:t>
      </w:r>
      <w:r w:rsidR="00EA7F65">
        <w:t>,</w:t>
      </w:r>
      <w:r w:rsidRPr="329A7981">
        <w:t xml:space="preserve"> which is </w:t>
      </w:r>
      <w:r>
        <w:t>US</w:t>
      </w:r>
      <w:r w:rsidRPr="329A7981">
        <w:t>$1</w:t>
      </w:r>
      <w:r>
        <w:t>.</w:t>
      </w:r>
      <w:r w:rsidRPr="329A7981">
        <w:t xml:space="preserve">171 trillion. </w:t>
      </w:r>
    </w:p>
    <w:p w14:paraId="43F0FE55" w14:textId="014CB5EF" w:rsidR="00F941D9" w:rsidRDefault="006A591C" w:rsidP="00605981">
      <w:pPr>
        <w:pStyle w:val="Text"/>
      </w:pPr>
      <w:r>
        <w:t>There is no</w:t>
      </w:r>
      <w:r w:rsidR="00F941D9" w:rsidRPr="55DBEC29">
        <w:t xml:space="preserve"> single, authoritative definition</w:t>
      </w:r>
      <w:r>
        <w:t xml:space="preserve"> of windfall profits</w:t>
      </w:r>
      <w:r w:rsidR="00F941D9" w:rsidRPr="55DBEC29">
        <w:t>. To calculate the windfall profits of the 148 corporations</w:t>
      </w:r>
      <w:r w:rsidR="00B95A18">
        <w:t>,</w:t>
      </w:r>
      <w:r w:rsidR="00F941D9" w:rsidRPr="55DBEC29">
        <w:t xml:space="preserve"> we have chosen to rely on the model adopted by the EU and its member states for their windfall tax on fossil fuel corporations (the so-called ‘solidarity levy’) in September 2022, which defines windfall profits as those that are more than 20% higher in 2022 and/or 2023 compared to the average for 2018</w:t>
      </w:r>
      <w:r>
        <w:t>–</w:t>
      </w:r>
      <w:r w:rsidR="00F941D9" w:rsidRPr="55DBEC29">
        <w:t>21.</w:t>
      </w:r>
      <w:r w:rsidR="00F941D9">
        <w:rPr>
          <w:rStyle w:val="EndnoteReference"/>
        </w:rPr>
        <w:endnoteReference w:id="36"/>
      </w:r>
    </w:p>
    <w:p w14:paraId="5629EAF4" w14:textId="08ABF98A" w:rsidR="00F941D9" w:rsidRDefault="00F941D9" w:rsidP="00605981">
      <w:pPr>
        <w:pStyle w:val="Text"/>
      </w:pPr>
      <w:r w:rsidRPr="55DBEC29">
        <w:t xml:space="preserve">Using this definition, we find that the 148 corporations had windfall profits of about </w:t>
      </w:r>
      <w:r>
        <w:t>US</w:t>
      </w:r>
      <w:r w:rsidRPr="55DBEC29">
        <w:t>$327</w:t>
      </w:r>
      <w:r w:rsidR="005C2687">
        <w:t>bn</w:t>
      </w:r>
      <w:r w:rsidRPr="55DBEC29">
        <w:t xml:space="preserve"> in the 12 months leading up to </w:t>
      </w:r>
      <w:r w:rsidR="003F26E5">
        <w:t xml:space="preserve">30 </w:t>
      </w:r>
      <w:r w:rsidRPr="55DBEC29">
        <w:t xml:space="preserve">June 2022, and about </w:t>
      </w:r>
      <w:r>
        <w:t>US</w:t>
      </w:r>
      <w:r w:rsidRPr="55DBEC29">
        <w:t>$372</w:t>
      </w:r>
      <w:r w:rsidR="005C2687">
        <w:t>bn</w:t>
      </w:r>
      <w:r w:rsidRPr="55DBEC29">
        <w:t xml:space="preserve"> in the 12 months leading up to </w:t>
      </w:r>
      <w:r w:rsidR="003F26E5">
        <w:t xml:space="preserve">30 </w:t>
      </w:r>
      <w:r w:rsidRPr="55DBEC29">
        <w:t xml:space="preserve">June 2023. Combining the windfall profits for these two years gives a total of </w:t>
      </w:r>
      <w:r>
        <w:t>US</w:t>
      </w:r>
      <w:r w:rsidRPr="55DBEC29">
        <w:t>$698</w:t>
      </w:r>
      <w:r w:rsidR="003F26E5">
        <w:t>bn</w:t>
      </w:r>
      <w:r w:rsidRPr="55DBEC29">
        <w:t xml:space="preserve"> in windfall profits. </w:t>
      </w:r>
    </w:p>
    <w:p w14:paraId="4C5E5BA2" w14:textId="372635C5" w:rsidR="00605981" w:rsidRPr="00605981" w:rsidRDefault="00F941D9" w:rsidP="00605981">
      <w:pPr>
        <w:pStyle w:val="Text"/>
      </w:pPr>
      <w:r w:rsidRPr="55DBEC29">
        <w:t>Unlike the EU proposal</w:t>
      </w:r>
      <w:r w:rsidR="003F26E5">
        <w:t>,</w:t>
      </w:r>
      <w:r w:rsidRPr="55DBEC29">
        <w:t xml:space="preserve"> which uses a </w:t>
      </w:r>
      <w:r w:rsidRPr="009969CA">
        <w:t>lower</w:t>
      </w:r>
      <w:r w:rsidRPr="55DBEC29">
        <w:t xml:space="preserve"> 33% tax rate, Oxfam believes </w:t>
      </w:r>
      <w:r w:rsidR="00B7715F">
        <w:t xml:space="preserve">that </w:t>
      </w:r>
      <w:r w:rsidRPr="55DBEC29">
        <w:t xml:space="preserve">windfall profits should be taxed </w:t>
      </w:r>
      <w:r w:rsidR="003F26E5">
        <w:t xml:space="preserve">at </w:t>
      </w:r>
      <w:r w:rsidRPr="55DBEC29">
        <w:t>50% to 90%.</w:t>
      </w:r>
      <w:r>
        <w:rPr>
          <w:rStyle w:val="EndnoteReference"/>
        </w:rPr>
        <w:endnoteReference w:id="37"/>
      </w:r>
      <w:r w:rsidRPr="55DBEC29">
        <w:t xml:space="preserve"> Using a 90% tax rate on the </w:t>
      </w:r>
      <w:r w:rsidR="00B7715F">
        <w:t xml:space="preserve">combined </w:t>
      </w:r>
      <w:r w:rsidRPr="55DBEC29">
        <w:t xml:space="preserve">windfall profits of 2022 and 2023 of </w:t>
      </w:r>
      <w:r>
        <w:t>US</w:t>
      </w:r>
      <w:r w:rsidRPr="55DBEC29">
        <w:t>$698</w:t>
      </w:r>
      <w:r w:rsidR="003F26E5">
        <w:t>bn</w:t>
      </w:r>
      <w:r w:rsidRPr="55DBEC29">
        <w:t xml:space="preserve"> gives a potential revenue of </w:t>
      </w:r>
      <w:r>
        <w:t>US</w:t>
      </w:r>
      <w:r w:rsidRPr="55DBEC29">
        <w:t>$628</w:t>
      </w:r>
      <w:r w:rsidR="003F26E5">
        <w:t>bn</w:t>
      </w:r>
      <w:r w:rsidRPr="55DBEC29">
        <w:t>.</w:t>
      </w:r>
    </w:p>
    <w:p w14:paraId="2B02504F" w14:textId="7F507325" w:rsidR="00F941D9" w:rsidRPr="00605981" w:rsidRDefault="00F941D9" w:rsidP="00605981">
      <w:pPr>
        <w:pStyle w:val="Text"/>
        <w:rPr>
          <w:b/>
          <w:bCs/>
          <w:lang w:val="en-US"/>
        </w:rPr>
      </w:pPr>
      <w:r w:rsidRPr="00605981">
        <w:rPr>
          <w:rFonts w:eastAsia="Calibri"/>
          <w:b/>
          <w:bCs/>
          <w:lang w:val="en-US"/>
        </w:rPr>
        <w:t>2.1. The biggest winners in terms of windfall profits have been 14 oil and gas companies whose profits in 2023 were 278% above the 2018</w:t>
      </w:r>
      <w:r w:rsidR="00B7715F" w:rsidRPr="00605981">
        <w:rPr>
          <w:rFonts w:eastAsia="Calibri"/>
          <w:b/>
          <w:bCs/>
          <w:lang w:val="en-US"/>
        </w:rPr>
        <w:t>–</w:t>
      </w:r>
      <w:r w:rsidRPr="00605981">
        <w:rPr>
          <w:rFonts w:eastAsia="Calibri"/>
          <w:b/>
          <w:bCs/>
          <w:lang w:val="en-US"/>
        </w:rPr>
        <w:t>21 average, representing US$190</w:t>
      </w:r>
      <w:r w:rsidR="003F26E5" w:rsidRPr="00605981">
        <w:rPr>
          <w:rFonts w:eastAsia="Calibri"/>
          <w:b/>
          <w:bCs/>
          <w:lang w:val="en-US"/>
        </w:rPr>
        <w:t>bn</w:t>
      </w:r>
      <w:r w:rsidRPr="00605981">
        <w:rPr>
          <w:rFonts w:eastAsia="Calibri"/>
          <w:b/>
          <w:bCs/>
          <w:lang w:val="en-US"/>
        </w:rPr>
        <w:t xml:space="preserve"> in windfall profits in 2023 and US$144</w:t>
      </w:r>
      <w:r w:rsidR="003F26E5" w:rsidRPr="00605981">
        <w:rPr>
          <w:rFonts w:eastAsia="Calibri"/>
          <w:b/>
          <w:bCs/>
          <w:lang w:val="en-US"/>
        </w:rPr>
        <w:t>bn</w:t>
      </w:r>
      <w:r w:rsidRPr="00605981">
        <w:rPr>
          <w:rFonts w:eastAsia="Calibri"/>
          <w:b/>
          <w:bCs/>
          <w:lang w:val="en-US"/>
        </w:rPr>
        <w:t xml:space="preserve"> in 2022.</w:t>
      </w:r>
    </w:p>
    <w:p w14:paraId="1D2E026D" w14:textId="1D20B188" w:rsidR="00F941D9" w:rsidRDefault="00F941D9" w:rsidP="00605981">
      <w:pPr>
        <w:pStyle w:val="Text"/>
        <w:rPr>
          <w:rFonts w:eastAsia="Calibri"/>
          <w:lang w:val="en-US"/>
        </w:rPr>
      </w:pPr>
      <w:r w:rsidRPr="009969CA">
        <w:rPr>
          <w:rFonts w:eastAsia="Calibri"/>
          <w:lang w:val="en-US"/>
        </w:rPr>
        <w:t xml:space="preserve">Using the same data collected by </w:t>
      </w:r>
      <w:proofErr w:type="spellStart"/>
      <w:r w:rsidRPr="009969CA">
        <w:rPr>
          <w:rFonts w:eastAsia="Calibri"/>
          <w:lang w:val="en-US"/>
        </w:rPr>
        <w:t>Exerica</w:t>
      </w:r>
      <w:proofErr w:type="spellEnd"/>
      <w:r w:rsidRPr="009969CA">
        <w:rPr>
          <w:rFonts w:eastAsia="Calibri"/>
          <w:lang w:val="en-US"/>
        </w:rPr>
        <w:t xml:space="preserve"> on net profits from 2018 to 2023</w:t>
      </w:r>
      <w:r w:rsidR="003F26E5">
        <w:rPr>
          <w:rFonts w:eastAsia="Calibri"/>
          <w:lang w:val="en-US"/>
        </w:rPr>
        <w:t>,</w:t>
      </w:r>
      <w:r w:rsidRPr="009969CA">
        <w:rPr>
          <w:rFonts w:eastAsia="Calibri"/>
          <w:lang w:val="en-US"/>
        </w:rPr>
        <w:t xml:space="preserve"> as used under 2.0 above</w:t>
      </w:r>
      <w:r>
        <w:rPr>
          <w:rFonts w:eastAsia="Calibri"/>
          <w:lang w:val="en-US"/>
        </w:rPr>
        <w:t>,</w:t>
      </w:r>
      <w:r w:rsidRPr="009969CA">
        <w:rPr>
          <w:rFonts w:eastAsia="Calibri"/>
          <w:lang w:val="en-US"/>
        </w:rPr>
        <w:t xml:space="preserve"> we divided the 148 corporations into sectors. </w:t>
      </w:r>
    </w:p>
    <w:p w14:paraId="498B94A4" w14:textId="5259ED66" w:rsidR="00B95A18" w:rsidRDefault="00F941D9" w:rsidP="00675266">
      <w:pPr>
        <w:pStyle w:val="Text"/>
        <w:rPr>
          <w:rFonts w:eastAsia="Calibri"/>
          <w:lang w:val="en-US"/>
        </w:rPr>
      </w:pPr>
      <w:r w:rsidRPr="009969CA">
        <w:rPr>
          <w:rFonts w:eastAsia="Calibri"/>
          <w:lang w:val="en-US"/>
        </w:rPr>
        <w:t xml:space="preserve">We have data for 14 oil and gas companies, and they had a combined net profit of nearly </w:t>
      </w:r>
      <w:r>
        <w:rPr>
          <w:rFonts w:eastAsia="Calibri"/>
          <w:lang w:val="en-US"/>
        </w:rPr>
        <w:t>US</w:t>
      </w:r>
      <w:r w:rsidRPr="009969CA">
        <w:rPr>
          <w:rFonts w:eastAsia="Calibri"/>
          <w:lang w:val="en-US"/>
        </w:rPr>
        <w:t>$278</w:t>
      </w:r>
      <w:r w:rsidR="003F26E5">
        <w:rPr>
          <w:rFonts w:eastAsia="Calibri"/>
          <w:lang w:val="en-US"/>
        </w:rPr>
        <w:t>bn</w:t>
      </w:r>
      <w:r w:rsidRPr="009969CA">
        <w:rPr>
          <w:rFonts w:eastAsia="Calibri"/>
          <w:lang w:val="en-US"/>
        </w:rPr>
        <w:t xml:space="preserve"> in the 12 months leading up to </w:t>
      </w:r>
      <w:r w:rsidR="003F26E5">
        <w:rPr>
          <w:rFonts w:eastAsia="Calibri"/>
          <w:lang w:val="en-US"/>
        </w:rPr>
        <w:t xml:space="preserve">30 </w:t>
      </w:r>
      <w:r w:rsidRPr="009969CA">
        <w:rPr>
          <w:rFonts w:eastAsia="Calibri"/>
          <w:lang w:val="en-US"/>
        </w:rPr>
        <w:t xml:space="preserve">June 2023. This is a 278% increase in their average net profit of nearly </w:t>
      </w:r>
      <w:r>
        <w:rPr>
          <w:rFonts w:eastAsia="Calibri"/>
          <w:lang w:val="en-US"/>
        </w:rPr>
        <w:t>US</w:t>
      </w:r>
      <w:r w:rsidRPr="009969CA">
        <w:rPr>
          <w:rFonts w:eastAsia="Calibri"/>
          <w:lang w:val="en-US"/>
        </w:rPr>
        <w:t>$74</w:t>
      </w:r>
      <w:r w:rsidR="003F26E5">
        <w:rPr>
          <w:rFonts w:eastAsia="Calibri"/>
          <w:lang w:val="en-US"/>
        </w:rPr>
        <w:t>bn</w:t>
      </w:r>
      <w:r w:rsidRPr="009969CA">
        <w:rPr>
          <w:rFonts w:eastAsia="Calibri"/>
          <w:lang w:val="en-US"/>
        </w:rPr>
        <w:t xml:space="preserve"> for the period covering the 12 months leading up to </w:t>
      </w:r>
      <w:r w:rsidR="003F26E5">
        <w:rPr>
          <w:rFonts w:eastAsia="Calibri"/>
          <w:lang w:val="en-US"/>
        </w:rPr>
        <w:t xml:space="preserve">30 </w:t>
      </w:r>
      <w:r w:rsidRPr="009969CA">
        <w:rPr>
          <w:rFonts w:eastAsia="Calibri"/>
          <w:lang w:val="en-US"/>
        </w:rPr>
        <w:t xml:space="preserve">June 2018 to the 12 months leading up to </w:t>
      </w:r>
      <w:r w:rsidR="003F26E5">
        <w:rPr>
          <w:rFonts w:eastAsia="Calibri"/>
          <w:lang w:val="en-US"/>
        </w:rPr>
        <w:t xml:space="preserve">30 </w:t>
      </w:r>
      <w:r w:rsidRPr="009969CA">
        <w:rPr>
          <w:rFonts w:eastAsia="Calibri"/>
          <w:lang w:val="en-US"/>
        </w:rPr>
        <w:t xml:space="preserve">June 2021. </w:t>
      </w:r>
    </w:p>
    <w:p w14:paraId="43370AC6" w14:textId="40A4FE7D" w:rsidR="00F941D9" w:rsidRDefault="00B5738F" w:rsidP="00675266">
      <w:pPr>
        <w:pStyle w:val="Text"/>
        <w:rPr>
          <w:rFonts w:eastAsia="Calibri" w:cs="Calibri"/>
          <w:lang w:val="en-US"/>
        </w:rPr>
      </w:pPr>
      <w:r w:rsidRPr="00B5738F">
        <w:rPr>
          <w:rFonts w:eastAsia="Calibri" w:cs="Calibri"/>
          <w:b/>
          <w:bCs/>
          <w:lang w:val="en-US"/>
        </w:rPr>
        <w:t>Figure 2.1</w:t>
      </w:r>
      <w:r w:rsidR="00DE7FE0">
        <w:rPr>
          <w:rFonts w:eastAsia="Calibri" w:cs="Calibri"/>
          <w:b/>
          <w:bCs/>
          <w:lang w:val="en-US"/>
        </w:rPr>
        <w:t xml:space="preserve"> </w:t>
      </w:r>
      <w:r w:rsidR="00DE7FE0" w:rsidRPr="00DE7FE0">
        <w:rPr>
          <w:rFonts w:eastAsia="Calibri" w:cs="Calibri"/>
          <w:lang w:val="en-US"/>
        </w:rPr>
        <w:t>(p.18)</w:t>
      </w:r>
      <w:r>
        <w:rPr>
          <w:rFonts w:eastAsia="Calibri" w:cs="Calibri"/>
          <w:lang w:val="en-US"/>
        </w:rPr>
        <w:t xml:space="preserve"> s</w:t>
      </w:r>
      <w:r w:rsidR="00F941D9" w:rsidRPr="009969CA">
        <w:rPr>
          <w:rFonts w:eastAsia="Calibri" w:cs="Calibri"/>
          <w:lang w:val="en-US"/>
        </w:rPr>
        <w:t>how</w:t>
      </w:r>
      <w:r w:rsidR="00DE7FE0">
        <w:rPr>
          <w:rFonts w:eastAsia="Calibri" w:cs="Calibri"/>
          <w:lang w:val="en-US"/>
        </w:rPr>
        <w:t>ing</w:t>
      </w:r>
      <w:r w:rsidR="00F941D9" w:rsidRPr="009969CA">
        <w:rPr>
          <w:rFonts w:eastAsia="Calibri" w:cs="Calibri"/>
          <w:lang w:val="en-US"/>
        </w:rPr>
        <w:t xml:space="preserve"> sectoral breakdown is </w:t>
      </w:r>
      <w:r w:rsidR="003F26E5">
        <w:rPr>
          <w:rFonts w:eastAsia="Calibri" w:cs="Calibri"/>
          <w:lang w:val="en-US"/>
        </w:rPr>
        <w:t>also</w:t>
      </w:r>
      <w:r w:rsidR="003F26E5" w:rsidRPr="009969CA">
        <w:rPr>
          <w:rFonts w:eastAsia="Calibri" w:cs="Calibri"/>
          <w:lang w:val="en-US"/>
        </w:rPr>
        <w:t xml:space="preserve"> </w:t>
      </w:r>
      <w:r w:rsidR="00F941D9" w:rsidRPr="009969CA">
        <w:rPr>
          <w:rFonts w:eastAsia="Calibri" w:cs="Calibri"/>
          <w:lang w:val="en-US"/>
        </w:rPr>
        <w:t xml:space="preserve">based on </w:t>
      </w:r>
      <w:proofErr w:type="spellStart"/>
      <w:r w:rsidR="00F941D9" w:rsidRPr="009969CA">
        <w:rPr>
          <w:rFonts w:eastAsia="Calibri" w:cs="Calibri"/>
          <w:lang w:val="en-US"/>
        </w:rPr>
        <w:t>Exerica</w:t>
      </w:r>
      <w:proofErr w:type="spellEnd"/>
      <w:r w:rsidR="00F941D9" w:rsidRPr="009969CA">
        <w:rPr>
          <w:rFonts w:eastAsia="Calibri" w:cs="Calibri"/>
          <w:lang w:val="en-US"/>
        </w:rPr>
        <w:t xml:space="preserve"> data covering net profits for the same time periods.</w:t>
      </w:r>
    </w:p>
    <w:p w14:paraId="4567351F" w14:textId="16C4DC5E" w:rsidR="0098026F" w:rsidRPr="0098026F" w:rsidRDefault="0098026F" w:rsidP="00605981">
      <w:pPr>
        <w:pStyle w:val="Textlistbullet"/>
        <w:rPr>
          <w:rFonts w:eastAsia="Calibri"/>
          <w:lang w:val="en-US"/>
        </w:rPr>
      </w:pPr>
      <w:r w:rsidRPr="0098026F">
        <w:rPr>
          <w:rFonts w:eastAsia="Calibri"/>
          <w:lang w:val="en-US"/>
        </w:rPr>
        <w:t xml:space="preserve">Two </w:t>
      </w:r>
      <w:r w:rsidR="00B7715F">
        <w:rPr>
          <w:rFonts w:eastAsia="Calibri"/>
          <w:lang w:val="en-US"/>
        </w:rPr>
        <w:t>l</w:t>
      </w:r>
      <w:r w:rsidRPr="0098026F">
        <w:rPr>
          <w:rFonts w:eastAsia="Calibri"/>
          <w:lang w:val="en-US"/>
        </w:rPr>
        <w:t>uxury brands were 120% above the average for 2018</w:t>
      </w:r>
      <w:r w:rsidR="00B7715F">
        <w:rPr>
          <w:rFonts w:eastAsia="Calibri"/>
          <w:lang w:val="en-US"/>
        </w:rPr>
        <w:t>–</w:t>
      </w:r>
      <w:r w:rsidRPr="0098026F">
        <w:rPr>
          <w:rFonts w:eastAsia="Calibri"/>
          <w:lang w:val="en-US"/>
        </w:rPr>
        <w:t>21, representing US$8.5bn and US$9.9bn in windfall profits in 2022 and 2023</w:t>
      </w:r>
      <w:r w:rsidR="00B7715F">
        <w:rPr>
          <w:rFonts w:eastAsia="Calibri"/>
          <w:lang w:val="en-US"/>
        </w:rPr>
        <w:t>, respectively</w:t>
      </w:r>
      <w:r w:rsidRPr="0098026F">
        <w:rPr>
          <w:rFonts w:eastAsia="Calibri"/>
          <w:lang w:val="en-US"/>
        </w:rPr>
        <w:t>.</w:t>
      </w:r>
    </w:p>
    <w:p w14:paraId="20DFF467" w14:textId="7FB4AE60" w:rsidR="0098026F" w:rsidRDefault="0098026F" w:rsidP="00605981">
      <w:pPr>
        <w:pStyle w:val="Textlistbullet"/>
        <w:rPr>
          <w:rFonts w:eastAsia="Calibri"/>
          <w:lang w:val="en-US"/>
        </w:rPr>
      </w:pPr>
      <w:r w:rsidRPr="0098026F">
        <w:rPr>
          <w:rFonts w:eastAsia="Calibri"/>
          <w:lang w:val="en-US"/>
        </w:rPr>
        <w:t>22 financial industry corporations increased their profits by 32% in 2023 compared to the average for 2018</w:t>
      </w:r>
      <w:r w:rsidR="00B7715F">
        <w:rPr>
          <w:rFonts w:eastAsia="Calibri"/>
          <w:lang w:val="en-US"/>
        </w:rPr>
        <w:t>–</w:t>
      </w:r>
      <w:proofErr w:type="gramStart"/>
      <w:r w:rsidRPr="0098026F">
        <w:rPr>
          <w:rFonts w:eastAsia="Calibri"/>
          <w:lang w:val="en-US"/>
        </w:rPr>
        <w:t>21</w:t>
      </w:r>
      <w:r w:rsidR="003F26E5">
        <w:rPr>
          <w:rFonts w:eastAsia="Calibri"/>
          <w:lang w:val="en-US"/>
        </w:rPr>
        <w:t>,</w:t>
      </w:r>
      <w:r w:rsidRPr="0098026F">
        <w:rPr>
          <w:rFonts w:eastAsia="Calibri"/>
          <w:lang w:val="en-US"/>
        </w:rPr>
        <w:t xml:space="preserve"> and</w:t>
      </w:r>
      <w:proofErr w:type="gramEnd"/>
      <w:r w:rsidRPr="0098026F">
        <w:rPr>
          <w:rFonts w:eastAsia="Calibri"/>
          <w:lang w:val="en-US"/>
        </w:rPr>
        <w:t xml:space="preserve"> made windfall profits of US$36bn in 2023.</w:t>
      </w:r>
    </w:p>
    <w:p w14:paraId="295B5BF0" w14:textId="1946CF8D" w:rsidR="0098026F" w:rsidRPr="0098026F" w:rsidRDefault="0098026F" w:rsidP="00605981">
      <w:pPr>
        <w:pStyle w:val="Textlistbullet"/>
        <w:rPr>
          <w:rFonts w:eastAsia="Calibri"/>
          <w:lang w:val="en-US"/>
        </w:rPr>
      </w:pPr>
      <w:r w:rsidRPr="0098026F">
        <w:rPr>
          <w:rFonts w:eastAsia="Calibri"/>
          <w:lang w:val="en-US"/>
        </w:rPr>
        <w:t>11 pharmaceutical corporations increased their profits by nearly 32% in 2022 compared to the average for 2018</w:t>
      </w:r>
      <w:r w:rsidR="00B7715F">
        <w:rPr>
          <w:rFonts w:eastAsia="Calibri"/>
          <w:lang w:val="en-US"/>
        </w:rPr>
        <w:t>–</w:t>
      </w:r>
      <w:proofErr w:type="gramStart"/>
      <w:r w:rsidRPr="0098026F">
        <w:rPr>
          <w:rFonts w:eastAsia="Calibri"/>
          <w:lang w:val="en-US"/>
        </w:rPr>
        <w:t>21</w:t>
      </w:r>
      <w:r w:rsidR="003F26E5">
        <w:rPr>
          <w:rFonts w:eastAsia="Calibri"/>
          <w:lang w:val="en-US"/>
        </w:rPr>
        <w:t>,</w:t>
      </w:r>
      <w:r w:rsidRPr="0098026F">
        <w:rPr>
          <w:rFonts w:eastAsia="Calibri"/>
          <w:lang w:val="en-US"/>
        </w:rPr>
        <w:t xml:space="preserve"> and</w:t>
      </w:r>
      <w:proofErr w:type="gramEnd"/>
      <w:r w:rsidRPr="0098026F">
        <w:rPr>
          <w:rFonts w:eastAsia="Calibri"/>
          <w:lang w:val="en-US"/>
        </w:rPr>
        <w:t xml:space="preserve"> made US$41.3bn in windfall profits in 2022</w:t>
      </w:r>
      <w:r w:rsidR="00EC3D94">
        <w:rPr>
          <w:rFonts w:eastAsia="Calibri"/>
          <w:lang w:val="en-US"/>
        </w:rPr>
        <w:t>.</w:t>
      </w:r>
    </w:p>
    <w:p w14:paraId="378ABDC4" w14:textId="77777777" w:rsidR="00B47768" w:rsidRDefault="00B47768" w:rsidP="00605981">
      <w:pPr>
        <w:pStyle w:val="Tablecaption"/>
        <w:rPr>
          <w:rFonts w:eastAsia="Calibri"/>
          <w:lang w:val="en-US"/>
        </w:rPr>
      </w:pPr>
    </w:p>
    <w:p w14:paraId="470577B1" w14:textId="77777777" w:rsidR="00B47768" w:rsidRDefault="00B47768" w:rsidP="00605981">
      <w:pPr>
        <w:pStyle w:val="Tablecaption"/>
        <w:rPr>
          <w:rFonts w:eastAsia="Calibri"/>
          <w:lang w:val="en-US"/>
        </w:rPr>
      </w:pPr>
    </w:p>
    <w:p w14:paraId="7571C06C" w14:textId="77777777" w:rsidR="00675266" w:rsidRDefault="00675266" w:rsidP="00605981">
      <w:pPr>
        <w:pStyle w:val="Tablecaption"/>
        <w:rPr>
          <w:rFonts w:eastAsia="Calibri"/>
          <w:lang w:val="en-US"/>
        </w:rPr>
      </w:pPr>
    </w:p>
    <w:p w14:paraId="243EEFAA" w14:textId="27EFF86E" w:rsidR="00F941D9" w:rsidRDefault="00C86600" w:rsidP="00605981">
      <w:pPr>
        <w:pStyle w:val="Tablecaption"/>
        <w:rPr>
          <w:rFonts w:eastAsia="Calibri"/>
          <w:lang w:val="en-US"/>
        </w:rPr>
      </w:pPr>
      <w:r>
        <w:rPr>
          <w:rFonts w:eastAsia="Calibri"/>
          <w:lang w:val="en-US"/>
        </w:rPr>
        <w:lastRenderedPageBreak/>
        <w:t>Fig</w:t>
      </w:r>
      <w:r w:rsidR="00B95A18">
        <w:rPr>
          <w:rFonts w:eastAsia="Calibri"/>
          <w:lang w:val="en-US"/>
        </w:rPr>
        <w:t>ure</w:t>
      </w:r>
      <w:r>
        <w:rPr>
          <w:rFonts w:eastAsia="Calibri"/>
          <w:lang w:val="en-US"/>
        </w:rPr>
        <w:t xml:space="preserve"> 2.1: </w:t>
      </w:r>
      <w:r w:rsidR="009805ED">
        <w:rPr>
          <w:rFonts w:eastAsia="Calibri"/>
          <w:lang w:val="en-US"/>
        </w:rPr>
        <w:t>Percent</w:t>
      </w:r>
      <w:r w:rsidR="00B95A18">
        <w:rPr>
          <w:rFonts w:eastAsia="Calibri"/>
          <w:lang w:val="en-US"/>
        </w:rPr>
        <w:t>age</w:t>
      </w:r>
      <w:r w:rsidR="009805ED">
        <w:rPr>
          <w:rFonts w:eastAsia="Calibri"/>
          <w:lang w:val="en-US"/>
        </w:rPr>
        <w:t xml:space="preserve"> </w:t>
      </w:r>
      <w:r w:rsidR="008968AE">
        <w:rPr>
          <w:rFonts w:eastAsia="Calibri"/>
          <w:lang w:val="en-US"/>
        </w:rPr>
        <w:t>increases in profits in 2022–23 and 2021–22 compared to the average for 2018–</w:t>
      </w:r>
      <w:proofErr w:type="gramStart"/>
      <w:r w:rsidR="008968AE">
        <w:rPr>
          <w:rFonts w:eastAsia="Calibri"/>
          <w:lang w:val="en-US"/>
        </w:rPr>
        <w:t>21</w:t>
      </w:r>
      <w:proofErr w:type="gramEnd"/>
    </w:p>
    <w:p w14:paraId="6FA2EE7E" w14:textId="37CB0F38" w:rsidR="00B5738F" w:rsidRPr="008A3F20" w:rsidRDefault="008A3F20" w:rsidP="00B47768">
      <w:pPr>
        <w:pStyle w:val="Sourcenormal"/>
        <w:rPr>
          <w:rFonts w:eastAsia="Calibri"/>
          <w:b/>
          <w:bCs/>
          <w:lang w:val="en-US"/>
        </w:rPr>
      </w:pPr>
      <w:r w:rsidRPr="008A3F20">
        <w:rPr>
          <w:b/>
          <w:bCs/>
          <w:noProof/>
        </w:rPr>
        <w:drawing>
          <wp:inline distT="0" distB="0" distL="0" distR="0" wp14:anchorId="713644F2" wp14:editId="35973C43">
            <wp:extent cx="4535805" cy="2480945"/>
            <wp:effectExtent l="0" t="0" r="0" b="0"/>
            <wp:docPr id="1414876835" name="Chart 1">
              <a:extLst xmlns:a="http://schemas.openxmlformats.org/drawingml/2006/main">
                <a:ext uri="{FF2B5EF4-FFF2-40B4-BE49-F238E27FC236}">
                  <a16:creationId xmlns:a16="http://schemas.microsoft.com/office/drawing/2014/main" id="{B2B89E6C-1CE4-BB11-09F5-C935B020B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5738F" w:rsidRPr="008A3F20">
        <w:rPr>
          <w:rFonts w:eastAsia="Calibri"/>
          <w:lang w:val="en-US"/>
        </w:rPr>
        <w:t xml:space="preserve">Source: Data extracted by </w:t>
      </w:r>
      <w:proofErr w:type="spellStart"/>
      <w:r w:rsidR="00B5738F" w:rsidRPr="008A3F20">
        <w:rPr>
          <w:rFonts w:eastAsia="Calibri"/>
          <w:lang w:val="en-US"/>
        </w:rPr>
        <w:t>Exerica</w:t>
      </w:r>
      <w:proofErr w:type="spellEnd"/>
      <w:r w:rsidR="00B5738F" w:rsidRPr="008A3F20">
        <w:rPr>
          <w:rFonts w:eastAsia="Calibri"/>
          <w:lang w:val="en-US"/>
        </w:rPr>
        <w:t xml:space="preserve"> for Oxfam</w:t>
      </w:r>
      <w:r>
        <w:rPr>
          <w:rFonts w:eastAsia="Calibri"/>
          <w:lang w:val="en-US"/>
        </w:rPr>
        <w:t>.</w:t>
      </w:r>
    </w:p>
    <w:p w14:paraId="6D067640" w14:textId="7F910D4B" w:rsidR="00F941D9" w:rsidRPr="00C8786C" w:rsidRDefault="00F941D9" w:rsidP="00C8786C">
      <w:pPr>
        <w:pStyle w:val="Text"/>
        <w:rPr>
          <w:b/>
          <w:bCs/>
        </w:rPr>
      </w:pPr>
      <w:r w:rsidRPr="00C8786C">
        <w:rPr>
          <w:b/>
          <w:bCs/>
        </w:rPr>
        <w:t>2.2. For every US$100 of profit generated by 96 major companies between July 2022 and June 2023, US$82 was returned to shareholders in the form of stock buybacks and dividends.</w:t>
      </w:r>
    </w:p>
    <w:p w14:paraId="181B22D1" w14:textId="146430F0" w:rsidR="00F941D9" w:rsidRDefault="00F941D9" w:rsidP="00C8786C">
      <w:pPr>
        <w:pStyle w:val="Text"/>
      </w:pPr>
      <w:r w:rsidRPr="005F5239">
        <w:t>Data was collected for Oxfam by the data analytic</w:t>
      </w:r>
      <w:r w:rsidR="00011501">
        <w:t>s</w:t>
      </w:r>
      <w:r w:rsidRPr="005F5239">
        <w:t xml:space="preserve"> firm </w:t>
      </w:r>
      <w:proofErr w:type="spellStart"/>
      <w:r w:rsidRPr="005F5239">
        <w:t>Exerica</w:t>
      </w:r>
      <w:proofErr w:type="spellEnd"/>
      <w:r w:rsidRPr="005F5239">
        <w:t>.</w:t>
      </w:r>
      <w:r w:rsidRPr="005F5239">
        <w:rPr>
          <w:vertAlign w:val="superscript"/>
        </w:rPr>
        <w:endnoteReference w:id="38"/>
      </w:r>
      <w:r>
        <w:t xml:space="preserve"> </w:t>
      </w:r>
      <w:r w:rsidRPr="5DC6809E">
        <w:t>Data on net profits, dividends and share buybacks was extracted in October 2023 for the five years leading up to June 2023 for the world’s 200 largest corporations based on market cap</w:t>
      </w:r>
      <w:r w:rsidR="00B7715F">
        <w:t>italization</w:t>
      </w:r>
      <w:r w:rsidRPr="5DC6809E">
        <w:t xml:space="preserve">. </w:t>
      </w:r>
    </w:p>
    <w:p w14:paraId="7BBB3042" w14:textId="531DB8C2" w:rsidR="00F941D9" w:rsidRPr="00C8786C" w:rsidRDefault="00F941D9" w:rsidP="00C8786C">
      <w:pPr>
        <w:pStyle w:val="Text"/>
      </w:pPr>
      <w:r w:rsidRPr="5DC6809E">
        <w:t>Out of these 200 corporations</w:t>
      </w:r>
      <w:r>
        <w:t>,</w:t>
      </w:r>
      <w:r w:rsidRPr="5DC6809E">
        <w:t xml:space="preserve"> we have complete data on net profits, share buybacks and dividend </w:t>
      </w:r>
      <w:proofErr w:type="spellStart"/>
      <w:r w:rsidRPr="5DC6809E">
        <w:t>payouts</w:t>
      </w:r>
      <w:proofErr w:type="spellEnd"/>
      <w:r w:rsidRPr="5DC6809E">
        <w:t xml:space="preserve"> for a total of 96 corporations. The 96 corporations had a combined net profit in the 12 months leading up to </w:t>
      </w:r>
      <w:r w:rsidR="00011501">
        <w:t xml:space="preserve">30 </w:t>
      </w:r>
      <w:r w:rsidRPr="5DC6809E">
        <w:t xml:space="preserve">June 2023 of nearly </w:t>
      </w:r>
      <w:r>
        <w:t>US$</w:t>
      </w:r>
      <w:r w:rsidRPr="5DC6809E">
        <w:t>1</w:t>
      </w:r>
      <w:r>
        <w:t>.</w:t>
      </w:r>
      <w:r w:rsidRPr="5DC6809E">
        <w:t>108 trillion. The same companies paid ou</w:t>
      </w:r>
      <w:r>
        <w:t>t</w:t>
      </w:r>
      <w:r w:rsidRPr="5DC6809E">
        <w:t xml:space="preserve"> </w:t>
      </w:r>
      <w:r>
        <w:t>US</w:t>
      </w:r>
      <w:r w:rsidRPr="5DC6809E">
        <w:t>$444</w:t>
      </w:r>
      <w:r w:rsidR="00011501">
        <w:t>b</w:t>
      </w:r>
      <w:r w:rsidR="0039287D">
        <w:t xml:space="preserve">n </w:t>
      </w:r>
      <w:r w:rsidR="0039287D" w:rsidRPr="5DC6809E">
        <w:t>in</w:t>
      </w:r>
      <w:r w:rsidRPr="5DC6809E">
        <w:t xml:space="preserve"> dividends to shareholders and invested nearly </w:t>
      </w:r>
      <w:r>
        <w:t>US</w:t>
      </w:r>
      <w:r w:rsidRPr="5DC6809E">
        <w:t>$469</w:t>
      </w:r>
      <w:r w:rsidR="00011501">
        <w:t>bn</w:t>
      </w:r>
      <w:r w:rsidRPr="5DC6809E">
        <w:t xml:space="preserve"> in share buybacks in the same period. Combined, the total share buybac</w:t>
      </w:r>
      <w:r>
        <w:t xml:space="preserve">ks </w:t>
      </w:r>
      <w:r w:rsidRPr="5DC6809E">
        <w:t xml:space="preserve">and dividend </w:t>
      </w:r>
      <w:proofErr w:type="spellStart"/>
      <w:r w:rsidRPr="5DC6809E">
        <w:t>payouts</w:t>
      </w:r>
      <w:proofErr w:type="spellEnd"/>
      <w:r w:rsidRPr="5DC6809E">
        <w:t xml:space="preserve"> of </w:t>
      </w:r>
      <w:r>
        <w:t>US</w:t>
      </w:r>
      <w:r w:rsidRPr="5DC6809E">
        <w:t>$913</w:t>
      </w:r>
      <w:r w:rsidR="00011501">
        <w:t>bn</w:t>
      </w:r>
      <w:r w:rsidR="0039287D">
        <w:t xml:space="preserve"> </w:t>
      </w:r>
      <w:r w:rsidR="0039287D" w:rsidRPr="5DC6809E">
        <w:t>represent</w:t>
      </w:r>
      <w:r w:rsidRPr="5DC6809E">
        <w:t xml:space="preserve"> 82</w:t>
      </w:r>
      <w:r>
        <w:t>.</w:t>
      </w:r>
      <w:r w:rsidRPr="5DC6809E">
        <w:t xml:space="preserve">5% of their net profits. </w:t>
      </w:r>
    </w:p>
    <w:p w14:paraId="632BEDED" w14:textId="2FD4F401" w:rsidR="00F941D9" w:rsidRPr="00C8786C" w:rsidRDefault="5FA3A8BC" w:rsidP="00C8786C">
      <w:pPr>
        <w:pStyle w:val="Text"/>
        <w:rPr>
          <w:b/>
          <w:bCs/>
        </w:rPr>
      </w:pPr>
      <w:r w:rsidRPr="00C8786C">
        <w:rPr>
          <w:rFonts w:eastAsia="Oxfam TSTAR PRO"/>
          <w:b/>
          <w:bCs/>
        </w:rPr>
        <w:t>2.3. New Oxfam analysis of the World Benchmarking Alliance’s data on over 1,600 of the largest and most influential companies worldwide shows that 0.4% of companies are publicly committed to paying their workers a living wage and support</w:t>
      </w:r>
      <w:r w:rsidR="00D20D5A">
        <w:rPr>
          <w:rFonts w:eastAsia="Oxfam TSTAR PRO"/>
          <w:b/>
          <w:bCs/>
        </w:rPr>
        <w:t xml:space="preserve"> payment of</w:t>
      </w:r>
      <w:r w:rsidRPr="00C8786C">
        <w:rPr>
          <w:rFonts w:eastAsia="Oxfam TSTAR PRO"/>
          <w:b/>
          <w:bCs/>
        </w:rPr>
        <w:t xml:space="preserve"> a living wage in their value chains.</w:t>
      </w:r>
    </w:p>
    <w:p w14:paraId="0CE28C80" w14:textId="33139FA2" w:rsidR="00E10C05" w:rsidRDefault="2BF7EA4A" w:rsidP="00C8786C">
      <w:pPr>
        <w:pStyle w:val="Text"/>
        <w:rPr>
          <w:rFonts w:eastAsia="Oxfam TSTAR PRO"/>
        </w:rPr>
      </w:pPr>
      <w:r w:rsidRPr="49686C36">
        <w:rPr>
          <w:rFonts w:eastAsia="Oxfam TSTAR PRO"/>
        </w:rPr>
        <w:t xml:space="preserve">The World Benchmarking Alliance (WBA) </w:t>
      </w:r>
      <w:r w:rsidRPr="65F76BD8">
        <w:rPr>
          <w:rFonts w:eastAsia="Oxfam TSTAR PRO"/>
        </w:rPr>
        <w:t xml:space="preserve">benchmarks </w:t>
      </w:r>
      <w:r w:rsidRPr="49686C36">
        <w:rPr>
          <w:rFonts w:eastAsia="Oxfam TSTAR PRO"/>
        </w:rPr>
        <w:t xml:space="preserve">2,000 of the world’s </w:t>
      </w:r>
      <w:r w:rsidR="6A135A23" w:rsidRPr="6A135A23">
        <w:rPr>
          <w:rFonts w:eastAsia="Oxfam TSTAR PRO"/>
        </w:rPr>
        <w:t xml:space="preserve">largest and </w:t>
      </w:r>
      <w:r w:rsidRPr="49686C36">
        <w:rPr>
          <w:rFonts w:eastAsia="Oxfam TSTAR PRO"/>
        </w:rPr>
        <w:t>most influential companies</w:t>
      </w:r>
      <w:r w:rsidR="6A135A23" w:rsidRPr="6A135A23">
        <w:rPr>
          <w:rFonts w:eastAsia="Oxfam TSTAR PRO"/>
        </w:rPr>
        <w:t xml:space="preserve"> – ensuring a global spread of companies across continents – </w:t>
      </w:r>
      <w:r w:rsidRPr="49686C36">
        <w:rPr>
          <w:rFonts w:eastAsia="Oxfam TSTAR PRO"/>
        </w:rPr>
        <w:t>on their contributions to achieving the UN’s Sustainable Development Goals</w:t>
      </w:r>
      <w:r w:rsidR="00011501">
        <w:rPr>
          <w:rFonts w:eastAsia="Oxfam TSTAR PRO"/>
        </w:rPr>
        <w:t xml:space="preserve"> (SDGs)</w:t>
      </w:r>
      <w:r w:rsidRPr="49686C36">
        <w:rPr>
          <w:rFonts w:eastAsia="Oxfam TSTAR PRO"/>
        </w:rPr>
        <w:t xml:space="preserve"> by 2030</w:t>
      </w:r>
      <w:r w:rsidR="00011501">
        <w:rPr>
          <w:rFonts w:eastAsia="Oxfam TSTAR PRO"/>
        </w:rPr>
        <w:t>.</w:t>
      </w:r>
      <w:r w:rsidR="00E26E8B">
        <w:rPr>
          <w:rStyle w:val="EndnoteReference"/>
        </w:rPr>
        <w:endnoteReference w:id="39"/>
      </w:r>
      <w:r w:rsidR="6A135A23" w:rsidRPr="6A135A23">
        <w:rPr>
          <w:rStyle w:val="EndnoteReference"/>
        </w:rPr>
        <w:t xml:space="preserve"> </w:t>
      </w:r>
      <w:r w:rsidR="6A135A23" w:rsidRPr="6A135A23">
        <w:rPr>
          <w:rFonts w:eastAsia="Oxfam TSTAR PRO"/>
          <w:lang w:val="en-US"/>
        </w:rPr>
        <w:t>These include areas such as paying workers a living wage, gender equality and human rights due diligence</w:t>
      </w:r>
      <w:r w:rsidR="003E2C4D">
        <w:rPr>
          <w:rFonts w:eastAsia="Oxfam TSTAR PRO"/>
          <w:lang w:val="en-US"/>
        </w:rPr>
        <w:t>.</w:t>
      </w:r>
      <w:r w:rsidR="6A135A23" w:rsidRPr="6A135A23">
        <w:rPr>
          <w:rFonts w:eastAsia="Oxfam TSTAR PRO"/>
          <w:lang w:val="en-US"/>
        </w:rPr>
        <w:t xml:space="preserve"> </w:t>
      </w:r>
      <w:r w:rsidR="003E2C4D">
        <w:rPr>
          <w:rFonts w:eastAsia="Oxfam TSTAR PRO"/>
          <w:lang w:val="en-US"/>
        </w:rPr>
        <w:t>C</w:t>
      </w:r>
      <w:r w:rsidR="6A135A23" w:rsidRPr="6A135A23">
        <w:rPr>
          <w:rFonts w:eastAsia="Oxfam TSTAR PRO"/>
          <w:lang w:val="en-US"/>
        </w:rPr>
        <w:t>ompanies are scored as not meeting, partially meeting, or fully meeting standards. Company selection starts by looking at the seven transformations</w:t>
      </w:r>
      <w:r w:rsidRPr="49686C36">
        <w:rPr>
          <w:rFonts w:eastAsia="Oxfam TSTAR PRO"/>
        </w:rPr>
        <w:t xml:space="preserve"> needed to meet the SDGs: social, food and </w:t>
      </w:r>
      <w:r w:rsidRPr="65F76BD8">
        <w:rPr>
          <w:rFonts w:eastAsia="Oxfam TSTAR PRO"/>
        </w:rPr>
        <w:t>agriculture, decarboni</w:t>
      </w:r>
      <w:r w:rsidR="005372DA">
        <w:rPr>
          <w:rFonts w:eastAsia="Oxfam TSTAR PRO"/>
        </w:rPr>
        <w:t>z</w:t>
      </w:r>
      <w:r w:rsidRPr="65F76BD8">
        <w:rPr>
          <w:rFonts w:eastAsia="Oxfam TSTAR PRO"/>
        </w:rPr>
        <w:t xml:space="preserve">ation and energy, nature, digital, </w:t>
      </w:r>
      <w:proofErr w:type="gramStart"/>
      <w:r w:rsidRPr="65F76BD8">
        <w:rPr>
          <w:rFonts w:eastAsia="Oxfam TSTAR PRO"/>
        </w:rPr>
        <w:t>urban</w:t>
      </w:r>
      <w:proofErr w:type="gramEnd"/>
      <w:r w:rsidRPr="65F76BD8">
        <w:rPr>
          <w:rFonts w:eastAsia="Oxfam TSTAR PRO"/>
        </w:rPr>
        <w:t xml:space="preserve"> and financial, and the relevant industries within them. </w:t>
      </w:r>
      <w:r w:rsidR="007621A0" w:rsidRPr="65F76BD8">
        <w:rPr>
          <w:rFonts w:eastAsia="Oxfam TSTAR PRO"/>
        </w:rPr>
        <w:t xml:space="preserve">The </w:t>
      </w:r>
      <w:r w:rsidR="65F76BD8" w:rsidRPr="65F76BD8">
        <w:rPr>
          <w:rFonts w:eastAsia="Oxfam TSTAR PRO"/>
        </w:rPr>
        <w:t>‘keystone’</w:t>
      </w:r>
      <w:r w:rsidR="007621A0" w:rsidRPr="65F76BD8">
        <w:rPr>
          <w:rFonts w:eastAsia="Oxfam TSTAR PRO"/>
        </w:rPr>
        <w:t xml:space="preserve"> companies are continually updated based on five principles: size, control, connection, </w:t>
      </w:r>
      <w:proofErr w:type="gramStart"/>
      <w:r w:rsidR="000E2EFF" w:rsidRPr="65F76BD8">
        <w:rPr>
          <w:rFonts w:eastAsia="Oxfam TSTAR PRO"/>
        </w:rPr>
        <w:t>influence</w:t>
      </w:r>
      <w:proofErr w:type="gramEnd"/>
      <w:r w:rsidR="000E2EFF" w:rsidRPr="65F76BD8">
        <w:rPr>
          <w:rFonts w:eastAsia="Oxfam TSTAR PRO"/>
        </w:rPr>
        <w:t xml:space="preserve"> </w:t>
      </w:r>
      <w:r w:rsidR="007621A0" w:rsidRPr="65F76BD8">
        <w:rPr>
          <w:rFonts w:eastAsia="Oxfam TSTAR PRO"/>
        </w:rPr>
        <w:t xml:space="preserve">and </w:t>
      </w:r>
      <w:r w:rsidR="000E2EFF" w:rsidRPr="65F76BD8">
        <w:rPr>
          <w:rFonts w:eastAsia="Oxfam TSTAR PRO"/>
        </w:rPr>
        <w:t>footprint.</w:t>
      </w:r>
    </w:p>
    <w:p w14:paraId="045CD27A" w14:textId="1F0BE893" w:rsidR="2BF7EA4A" w:rsidRDefault="4C03A2E6" w:rsidP="00C8786C">
      <w:pPr>
        <w:pStyle w:val="Text"/>
        <w:rPr>
          <w:rFonts w:eastAsia="Oxfam TSTAR PRO"/>
        </w:rPr>
      </w:pPr>
      <w:r w:rsidRPr="4C03A2E6">
        <w:rPr>
          <w:rFonts w:eastAsia="Oxfam TSTAR PRO"/>
        </w:rPr>
        <w:lastRenderedPageBreak/>
        <w:t>Between January 2021 and July 2023, over 1,600 of these companies were assessed; the remaining assessments will be completed by the end of 2024.</w:t>
      </w:r>
    </w:p>
    <w:p w14:paraId="491DE75D" w14:textId="05B6F2BC" w:rsidR="00B4060F" w:rsidRPr="00D342AE" w:rsidRDefault="5E8A81B3" w:rsidP="00C8786C">
      <w:pPr>
        <w:pStyle w:val="Text"/>
        <w:rPr>
          <w:rFonts w:eastAsia="Oxfam TSTAR PRO"/>
        </w:rPr>
      </w:pPr>
      <w:r w:rsidRPr="5E8A81B3">
        <w:rPr>
          <w:rFonts w:eastAsia="Oxfam TSTAR PRO"/>
        </w:rPr>
        <w:t xml:space="preserve">The version of the data that Oxfam </w:t>
      </w:r>
      <w:r w:rsidR="00011501">
        <w:rPr>
          <w:rFonts w:eastAsia="Oxfam TSTAR PRO"/>
        </w:rPr>
        <w:t xml:space="preserve">used </w:t>
      </w:r>
      <w:r w:rsidRPr="5E8A81B3">
        <w:rPr>
          <w:rFonts w:eastAsia="Oxfam TSTAR PRO"/>
        </w:rPr>
        <w:t>can be found online</w:t>
      </w:r>
      <w:r w:rsidR="00A36469">
        <w:rPr>
          <w:rFonts w:eastAsia="Oxfam TSTAR PRO"/>
        </w:rPr>
        <w:t>.</w:t>
      </w:r>
      <w:r w:rsidR="00A36469">
        <w:rPr>
          <w:rStyle w:val="EndnoteReference"/>
          <w:rFonts w:eastAsia="Oxfam TSTAR PRO" w:cs="Oxfam TSTAR PRO"/>
        </w:rPr>
        <w:endnoteReference w:id="40"/>
      </w:r>
      <w:r w:rsidRPr="5E8A81B3">
        <w:rPr>
          <w:rFonts w:eastAsia="Oxfam TSTAR PRO"/>
        </w:rPr>
        <w:t xml:space="preserve"> </w:t>
      </w:r>
      <w:r w:rsidR="00AD0003">
        <w:rPr>
          <w:rFonts w:eastAsia="Oxfam TSTAR PRO"/>
        </w:rPr>
        <w:t>The data</w:t>
      </w:r>
      <w:r w:rsidR="00011501">
        <w:rPr>
          <w:rFonts w:eastAsia="Oxfam TSTAR PRO"/>
        </w:rPr>
        <w:t xml:space="preserve"> is</w:t>
      </w:r>
      <w:r w:rsidRPr="5E8A81B3">
        <w:rPr>
          <w:rFonts w:eastAsia="Oxfam TSTAR PRO"/>
        </w:rPr>
        <w:t xml:space="preserve"> based on companies’ public disclosures from January 2021 to July 2023. The Social Transformation Framework can be found </w:t>
      </w:r>
      <w:r w:rsidR="00B5738F">
        <w:rPr>
          <w:rFonts w:eastAsia="Oxfam TSTAR PRO"/>
        </w:rPr>
        <w:t>online.</w:t>
      </w:r>
      <w:r w:rsidR="00B5738F">
        <w:rPr>
          <w:rStyle w:val="EndnoteReference"/>
          <w:rFonts w:eastAsia="Oxfam TSTAR PRO"/>
        </w:rPr>
        <w:endnoteReference w:id="41"/>
      </w:r>
      <w:r w:rsidRPr="5E8A81B3">
        <w:rPr>
          <w:rFonts w:eastAsia="Oxfam TSTAR PRO"/>
        </w:rPr>
        <w:t xml:space="preserve"> </w:t>
      </w:r>
    </w:p>
    <w:p w14:paraId="101292DF" w14:textId="71327ECB" w:rsidR="00F941D9" w:rsidRPr="00652F25" w:rsidRDefault="00F941D9" w:rsidP="00C8786C">
      <w:pPr>
        <w:pStyle w:val="Text"/>
        <w:rPr>
          <w:rFonts w:eastAsia="Oxfam TSTAR PRO"/>
        </w:rPr>
      </w:pPr>
      <w:r w:rsidRPr="683702DD">
        <w:rPr>
          <w:rFonts w:eastAsia="Oxfam TSTAR PRO"/>
        </w:rPr>
        <w:t xml:space="preserve">Oxfam focused on four indicator areas, </w:t>
      </w:r>
      <w:r w:rsidR="003E2C4D">
        <w:rPr>
          <w:rFonts w:eastAsia="Oxfam TSTAR PRO"/>
        </w:rPr>
        <w:t>as discussed in</w:t>
      </w:r>
      <w:r w:rsidRPr="683702DD">
        <w:rPr>
          <w:rFonts w:eastAsia="Oxfam TSTAR PRO"/>
        </w:rPr>
        <w:t xml:space="preserve"> Chapter 3 of </w:t>
      </w:r>
      <w:r w:rsidR="003E2C4D">
        <w:rPr>
          <w:rFonts w:eastAsia="Oxfam TSTAR PRO"/>
        </w:rPr>
        <w:t>the report</w:t>
      </w:r>
      <w:r w:rsidRPr="683702DD">
        <w:rPr>
          <w:rFonts w:eastAsia="Oxfam TSTAR PRO"/>
        </w:rPr>
        <w:t>: living wages, collective bargaining, taxation, and gender. We verified this data with the World Benchmarking Alliance.</w:t>
      </w:r>
    </w:p>
    <w:p w14:paraId="79A70430" w14:textId="0A41C63C" w:rsidR="001F054E" w:rsidRDefault="17AE9236" w:rsidP="00C8786C">
      <w:pPr>
        <w:pStyle w:val="Text"/>
        <w:rPr>
          <w:rFonts w:eastAsia="Oxfam TSTAR PRO"/>
        </w:rPr>
      </w:pPr>
      <w:r w:rsidRPr="17AE9236">
        <w:rPr>
          <w:rFonts w:eastAsia="Oxfam TSTAR PRO"/>
        </w:rPr>
        <w:t xml:space="preserve">Our analysis finds that 0.4% of companies – </w:t>
      </w:r>
      <w:r w:rsidR="005C2687">
        <w:rPr>
          <w:rFonts w:eastAsia="Oxfam TSTAR PRO"/>
        </w:rPr>
        <w:t>seven</w:t>
      </w:r>
      <w:r w:rsidRPr="17AE9236">
        <w:rPr>
          <w:rFonts w:eastAsia="Oxfam TSTAR PRO"/>
        </w:rPr>
        <w:t xml:space="preserve"> companies – disclose that they are </w:t>
      </w:r>
      <w:r w:rsidR="005C2687">
        <w:rPr>
          <w:rFonts w:eastAsia="Oxfam TSTAR PRO"/>
        </w:rPr>
        <w:t>‘</w:t>
      </w:r>
      <w:r w:rsidRPr="17AE9236">
        <w:rPr>
          <w:rFonts w:eastAsia="Oxfam TSTAR PRO"/>
        </w:rPr>
        <w:t>committed to paying a living wage to their workers and support the payment of a living wage by their business relationships</w:t>
      </w:r>
      <w:r w:rsidR="005C2687">
        <w:rPr>
          <w:rFonts w:eastAsia="Oxfam TSTAR PRO"/>
        </w:rPr>
        <w:t>’</w:t>
      </w:r>
      <w:r w:rsidRPr="17AE9236">
        <w:rPr>
          <w:rFonts w:eastAsia="Oxfam TSTAR PRO"/>
        </w:rPr>
        <w:t xml:space="preserve">. </w:t>
      </w:r>
    </w:p>
    <w:p w14:paraId="6287D8D1" w14:textId="3DE447E5" w:rsidR="00F941D9" w:rsidRPr="00652F25" w:rsidRDefault="2BF7EA4A" w:rsidP="00C8786C">
      <w:pPr>
        <w:pStyle w:val="Text"/>
      </w:pPr>
      <w:r w:rsidRPr="2BF7EA4A">
        <w:rPr>
          <w:rFonts w:eastAsia="Oxfam TSTAR PRO"/>
        </w:rPr>
        <w:t xml:space="preserve">To fully meet this indicator, a company is required to meet three elements by disclosing: a time-bound target for paying all workers a living wage or that it has achieved paying all workers a living wage; how it determines a living wage for the regions where it operates; and how it works to support the payment of a living wage by its business relationships. </w:t>
      </w:r>
    </w:p>
    <w:p w14:paraId="510E5AAE" w14:textId="157404AB" w:rsidR="00F941D9" w:rsidRPr="00652F25" w:rsidRDefault="2BF7EA4A" w:rsidP="00C8786C">
      <w:pPr>
        <w:pStyle w:val="Text"/>
      </w:pPr>
      <w:r w:rsidRPr="2BF7EA4A">
        <w:rPr>
          <w:rFonts w:eastAsia="Oxfam TSTAR PRO"/>
        </w:rPr>
        <w:t xml:space="preserve">We note that while this data provides evidence of commitment to a living wage, </w:t>
      </w:r>
      <w:r w:rsidR="003E2C4D">
        <w:rPr>
          <w:rFonts w:eastAsia="Oxfam TSTAR PRO"/>
        </w:rPr>
        <w:t>our</w:t>
      </w:r>
      <w:r w:rsidR="003E2C4D" w:rsidRPr="2BF7EA4A">
        <w:rPr>
          <w:rFonts w:eastAsia="Oxfam TSTAR PRO"/>
        </w:rPr>
        <w:t xml:space="preserve"> </w:t>
      </w:r>
      <w:r w:rsidRPr="2BF7EA4A">
        <w:rPr>
          <w:rFonts w:eastAsia="Oxfam TSTAR PRO"/>
        </w:rPr>
        <w:t>analysis does not extend to company performance</w:t>
      </w:r>
      <w:r w:rsidR="002921D6">
        <w:rPr>
          <w:rFonts w:eastAsia="Oxfam TSTAR PRO"/>
        </w:rPr>
        <w:t>,</w:t>
      </w:r>
      <w:r w:rsidRPr="2BF7EA4A">
        <w:rPr>
          <w:rFonts w:eastAsia="Oxfam TSTAR PRO"/>
        </w:rPr>
        <w:t xml:space="preserve"> which falls outside </w:t>
      </w:r>
      <w:r w:rsidR="00525787" w:rsidRPr="2BF7EA4A">
        <w:rPr>
          <w:rFonts w:eastAsia="Oxfam TSTAR PRO"/>
        </w:rPr>
        <w:t>its</w:t>
      </w:r>
      <w:r w:rsidRPr="2BF7EA4A">
        <w:rPr>
          <w:rFonts w:eastAsia="Oxfam TSTAR PRO"/>
        </w:rPr>
        <w:t xml:space="preserve"> scope.</w:t>
      </w:r>
    </w:p>
    <w:p w14:paraId="7A4C8159" w14:textId="7FB796C2" w:rsidR="00F941D9" w:rsidRPr="00C8786C" w:rsidRDefault="17AE9236" w:rsidP="00C8786C">
      <w:pPr>
        <w:pStyle w:val="Text"/>
        <w:rPr>
          <w:b/>
          <w:bCs/>
        </w:rPr>
      </w:pPr>
      <w:r w:rsidRPr="00C8786C">
        <w:rPr>
          <w:rFonts w:eastAsia="Oxfam TSTAR PRO"/>
          <w:b/>
          <w:bCs/>
        </w:rPr>
        <w:t>2.4. Oxfam’s analysis of the World Benchmarking Alliance’s data of over 1</w:t>
      </w:r>
      <w:r w:rsidR="002921D6" w:rsidRPr="00C8786C">
        <w:rPr>
          <w:rFonts w:eastAsia="Oxfam TSTAR PRO"/>
          <w:b/>
          <w:bCs/>
        </w:rPr>
        <w:t>,</w:t>
      </w:r>
      <w:r w:rsidRPr="00C8786C">
        <w:rPr>
          <w:rFonts w:eastAsia="Oxfam TSTAR PRO"/>
          <w:b/>
          <w:bCs/>
        </w:rPr>
        <w:t>600 of the world’s largest companies finds that only 0.7% fully meet a global bar for collective bargaining – by disclosing collective bargaining coverage in their workforce and their approach to supporting collective bargaining through their business relationships (</w:t>
      </w:r>
      <w:proofErr w:type="gramStart"/>
      <w:r w:rsidRPr="00C8786C">
        <w:rPr>
          <w:rFonts w:eastAsia="Oxfam TSTAR PRO"/>
          <w:b/>
          <w:bCs/>
        </w:rPr>
        <w:t>e.g.</w:t>
      </w:r>
      <w:proofErr w:type="gramEnd"/>
      <w:r w:rsidRPr="00C8786C">
        <w:rPr>
          <w:rFonts w:eastAsia="Oxfam TSTAR PRO"/>
          <w:b/>
          <w:bCs/>
        </w:rPr>
        <w:t xml:space="preserve"> their suppliers). </w:t>
      </w:r>
    </w:p>
    <w:p w14:paraId="35F99151" w14:textId="02B123DE" w:rsidR="00F941D9" w:rsidRPr="000E2EFF" w:rsidRDefault="00F941D9" w:rsidP="00C8786C">
      <w:pPr>
        <w:pStyle w:val="Text"/>
      </w:pPr>
      <w:r w:rsidRPr="683702DD">
        <w:rPr>
          <w:rFonts w:eastAsia="Oxfam TSTAR PRO"/>
        </w:rPr>
        <w:t xml:space="preserve">See stat 2.3 </w:t>
      </w:r>
      <w:r w:rsidR="00BA0A68">
        <w:rPr>
          <w:rFonts w:eastAsia="Oxfam TSTAR PRO"/>
        </w:rPr>
        <w:t>on p.1</w:t>
      </w:r>
      <w:r w:rsidR="00DE7FE0">
        <w:rPr>
          <w:rFonts w:eastAsia="Oxfam TSTAR PRO"/>
        </w:rPr>
        <w:t>8</w:t>
      </w:r>
      <w:r w:rsidRPr="683702DD">
        <w:rPr>
          <w:rFonts w:eastAsia="Oxfam TSTAR PRO"/>
        </w:rPr>
        <w:t>.</w:t>
      </w:r>
    </w:p>
    <w:p w14:paraId="21B86621" w14:textId="146A3CC9" w:rsidR="00162DCB" w:rsidRDefault="17AE9236" w:rsidP="00C8786C">
      <w:pPr>
        <w:pStyle w:val="Text"/>
        <w:rPr>
          <w:rFonts w:eastAsia="Oxfam TSTAR PRO"/>
        </w:rPr>
      </w:pPr>
      <w:r w:rsidRPr="17AE9236">
        <w:rPr>
          <w:rFonts w:eastAsia="Oxfam TSTAR PRO"/>
        </w:rPr>
        <w:t>Our analysis finds that 0.7% of companies – 12 companies</w:t>
      </w:r>
      <w:r w:rsidR="002921D6">
        <w:rPr>
          <w:rFonts w:eastAsia="Oxfam TSTAR PRO"/>
        </w:rPr>
        <w:t xml:space="preserve"> – </w:t>
      </w:r>
      <w:r w:rsidRPr="17AE9236">
        <w:rPr>
          <w:rFonts w:eastAsia="Oxfam TSTAR PRO"/>
        </w:rPr>
        <w:t xml:space="preserve">disclose </w:t>
      </w:r>
      <w:r w:rsidR="005C2687">
        <w:rPr>
          <w:rFonts w:eastAsia="Oxfam TSTAR PRO"/>
        </w:rPr>
        <w:t>‘</w:t>
      </w:r>
      <w:r w:rsidRPr="17AE9236">
        <w:rPr>
          <w:rFonts w:eastAsia="Oxfam TSTAR PRO"/>
        </w:rPr>
        <w:t>information about collective bargaining agreements covering its workforce and its approach to supporting the practices of its business relationships in relation to freedom of association and collective bargaining</w:t>
      </w:r>
      <w:r w:rsidR="005C2687">
        <w:rPr>
          <w:rFonts w:eastAsia="Oxfam TSTAR PRO"/>
        </w:rPr>
        <w:t>’</w:t>
      </w:r>
      <w:r w:rsidRPr="17AE9236">
        <w:rPr>
          <w:rFonts w:eastAsia="Oxfam TSTAR PRO"/>
        </w:rPr>
        <w:t xml:space="preserve">. </w:t>
      </w:r>
    </w:p>
    <w:p w14:paraId="03D29790" w14:textId="3C3D2BC9" w:rsidR="00F941D9" w:rsidRPr="00AE5A67" w:rsidRDefault="2BF7EA4A" w:rsidP="00AE5A67">
      <w:pPr>
        <w:pStyle w:val="Text"/>
        <w:rPr>
          <w:rFonts w:eastAsia="Oxfam TSTAR PRO"/>
          <w:highlight w:val="yellow"/>
        </w:rPr>
      </w:pPr>
      <w:r w:rsidRPr="2BF7EA4A">
        <w:rPr>
          <w:rFonts w:eastAsia="Oxfam TSTAR PRO"/>
        </w:rPr>
        <w:t xml:space="preserve">This is based on two elements: </w:t>
      </w:r>
      <w:r w:rsidR="002921D6">
        <w:rPr>
          <w:rFonts w:eastAsia="Oxfam TSTAR PRO"/>
        </w:rPr>
        <w:t xml:space="preserve">first, </w:t>
      </w:r>
      <w:r w:rsidRPr="2BF7EA4A">
        <w:rPr>
          <w:rFonts w:eastAsia="Oxfam TSTAR PRO"/>
        </w:rPr>
        <w:t xml:space="preserve">that the company discloses the proportion of its total direct operations workforce covered by collective bargaining agreements; and </w:t>
      </w:r>
      <w:r w:rsidR="002921D6">
        <w:rPr>
          <w:rFonts w:eastAsia="Oxfam TSTAR PRO"/>
        </w:rPr>
        <w:t xml:space="preserve">second, that it </w:t>
      </w:r>
      <w:r w:rsidRPr="2BF7EA4A">
        <w:rPr>
          <w:rFonts w:eastAsia="Oxfam TSTAR PRO"/>
        </w:rPr>
        <w:t>describes how it works to support the practices of its business relationships in relation to freedom of association and collective bargaining.</w:t>
      </w:r>
    </w:p>
    <w:p w14:paraId="7E9C659F" w14:textId="59AB6BC8" w:rsidR="00F941D9" w:rsidRPr="00AE5A67" w:rsidRDefault="17AE9236" w:rsidP="00AE5A67">
      <w:pPr>
        <w:pStyle w:val="Text"/>
        <w:rPr>
          <w:b/>
          <w:bCs/>
        </w:rPr>
      </w:pPr>
      <w:r w:rsidRPr="00AE5A67">
        <w:rPr>
          <w:rFonts w:eastAsia="Oxfam TSTAR PRO"/>
          <w:b/>
          <w:bCs/>
        </w:rPr>
        <w:t>2.5</w:t>
      </w:r>
      <w:r w:rsidR="0054109C">
        <w:rPr>
          <w:rFonts w:eastAsia="Oxfam TSTAR PRO"/>
          <w:b/>
          <w:bCs/>
        </w:rPr>
        <w:t>.</w:t>
      </w:r>
      <w:r w:rsidRPr="00AE5A67">
        <w:rPr>
          <w:rFonts w:eastAsia="Oxfam TSTAR PRO"/>
          <w:b/>
          <w:bCs/>
        </w:rPr>
        <w:t xml:space="preserve"> New data on over 1</w:t>
      </w:r>
      <w:r w:rsidR="002921D6" w:rsidRPr="00AE5A67">
        <w:rPr>
          <w:rFonts w:eastAsia="Oxfam TSTAR PRO"/>
          <w:b/>
          <w:bCs/>
        </w:rPr>
        <w:t>,</w:t>
      </w:r>
      <w:r w:rsidRPr="00AE5A67">
        <w:rPr>
          <w:rFonts w:eastAsia="Oxfam TSTAR PRO"/>
          <w:b/>
          <w:bCs/>
        </w:rPr>
        <w:t xml:space="preserve">600 of the largest and most influential companies reveals that 24% have a public commitment to gender equality. Just 2.6% of companies disclose information on the ratio of pay of women to men. </w:t>
      </w:r>
    </w:p>
    <w:p w14:paraId="6DA6FDDC" w14:textId="4EF32B20" w:rsidR="00F941D9" w:rsidRPr="00652F25" w:rsidRDefault="00F941D9" w:rsidP="00AE5A67">
      <w:pPr>
        <w:pStyle w:val="Text"/>
      </w:pPr>
      <w:r w:rsidRPr="683702DD">
        <w:rPr>
          <w:rFonts w:eastAsia="Oxfam TSTAR PRO"/>
        </w:rPr>
        <w:t xml:space="preserve">See stat 2.3 </w:t>
      </w:r>
      <w:r w:rsidR="0054109C">
        <w:rPr>
          <w:rFonts w:eastAsia="Oxfam TSTAR PRO"/>
        </w:rPr>
        <w:t>on p.1</w:t>
      </w:r>
      <w:r w:rsidR="00DE7FE0">
        <w:rPr>
          <w:rFonts w:eastAsia="Oxfam TSTAR PRO"/>
        </w:rPr>
        <w:t>8</w:t>
      </w:r>
      <w:r w:rsidRPr="683702DD">
        <w:rPr>
          <w:rFonts w:eastAsia="Oxfam TSTAR PRO"/>
        </w:rPr>
        <w:t>.</w:t>
      </w:r>
    </w:p>
    <w:p w14:paraId="65C134AF" w14:textId="533DEA8E" w:rsidR="00AE5A67" w:rsidRPr="00AE5A67" w:rsidRDefault="17AE9236" w:rsidP="00AE5A67">
      <w:pPr>
        <w:pStyle w:val="Text"/>
        <w:rPr>
          <w:rFonts w:eastAsia="Oxfam TSTAR PRO"/>
        </w:rPr>
      </w:pPr>
      <w:r w:rsidRPr="17AE9236">
        <w:rPr>
          <w:rFonts w:eastAsia="Oxfam TSTAR PRO"/>
        </w:rPr>
        <w:t xml:space="preserve">Our analysis finds that 402 of 1,645 companies, 24%, have </w:t>
      </w:r>
      <w:r w:rsidR="002921D6">
        <w:rPr>
          <w:rFonts w:eastAsia="Oxfam TSTAR PRO"/>
        </w:rPr>
        <w:t>‘</w:t>
      </w:r>
      <w:r w:rsidRPr="17AE9236">
        <w:rPr>
          <w:rFonts w:eastAsia="Oxfam TSTAR PRO"/>
        </w:rPr>
        <w:t>a public commitment to gender equality and women’s empowerment</w:t>
      </w:r>
      <w:r w:rsidR="002921D6">
        <w:rPr>
          <w:rFonts w:eastAsia="Oxfam TSTAR PRO"/>
        </w:rPr>
        <w:t>’</w:t>
      </w:r>
      <w:r w:rsidRPr="17AE9236">
        <w:rPr>
          <w:rFonts w:eastAsia="Oxfam TSTAR PRO"/>
        </w:rPr>
        <w:t xml:space="preserve">. </w:t>
      </w:r>
      <w:r w:rsidR="002921D6">
        <w:rPr>
          <w:rFonts w:eastAsia="Oxfam TSTAR PRO"/>
        </w:rPr>
        <w:t xml:space="preserve">Only </w:t>
      </w:r>
      <w:r w:rsidRPr="17AE9236">
        <w:rPr>
          <w:rFonts w:eastAsia="Oxfam TSTAR PRO"/>
        </w:rPr>
        <w:t xml:space="preserve">42 of 1,645 companies, 2.6%, disclose </w:t>
      </w:r>
      <w:r w:rsidR="002921D6">
        <w:rPr>
          <w:rFonts w:eastAsia="Oxfam TSTAR PRO"/>
        </w:rPr>
        <w:t>‘</w:t>
      </w:r>
      <w:r w:rsidRPr="17AE9236">
        <w:rPr>
          <w:rFonts w:eastAsia="Oxfam TSTAR PRO"/>
        </w:rPr>
        <w:t>the ratio of the basic salary and remuneration of women to men in its total direct operations workforce for each employee category (</w:t>
      </w:r>
      <w:proofErr w:type="gramStart"/>
      <w:r w:rsidRPr="17AE9236">
        <w:rPr>
          <w:rFonts w:eastAsia="Oxfam TSTAR PRO"/>
        </w:rPr>
        <w:t>i.e.</w:t>
      </w:r>
      <w:proofErr w:type="gramEnd"/>
      <w:r w:rsidRPr="17AE9236">
        <w:rPr>
          <w:rFonts w:eastAsia="Oxfam TSTAR PRO"/>
        </w:rPr>
        <w:t xml:space="preserve"> by seniority or function), by significant </w:t>
      </w:r>
      <w:r w:rsidRPr="17AE9236">
        <w:rPr>
          <w:rFonts w:eastAsia="Oxfam TSTAR PRO"/>
        </w:rPr>
        <w:lastRenderedPageBreak/>
        <w:t>locations of operation</w:t>
      </w:r>
      <w:r w:rsidR="002921D6">
        <w:rPr>
          <w:rFonts w:eastAsia="Oxfam TSTAR PRO"/>
        </w:rPr>
        <w:t>’</w:t>
      </w:r>
      <w:r w:rsidRPr="17AE9236">
        <w:rPr>
          <w:rFonts w:eastAsia="Oxfam TSTAR PRO"/>
        </w:rPr>
        <w:t>.</w:t>
      </w:r>
      <w:r w:rsidR="2BF7EA4A">
        <w:tab/>
      </w:r>
    </w:p>
    <w:p w14:paraId="79CCB483" w14:textId="11C5A114" w:rsidR="00F941D9" w:rsidRPr="00AE5A67" w:rsidRDefault="00F941D9" w:rsidP="00AE5A67">
      <w:pPr>
        <w:pStyle w:val="Text"/>
        <w:rPr>
          <w:b/>
          <w:bCs/>
        </w:rPr>
      </w:pPr>
      <w:r w:rsidRPr="00AE5A67">
        <w:rPr>
          <w:rFonts w:eastAsia="Oxfam TSTAR PRO"/>
          <w:b/>
          <w:bCs/>
        </w:rPr>
        <w:t xml:space="preserve">2.6. </w:t>
      </w:r>
      <w:r w:rsidR="72037D59" w:rsidRPr="00AE5A67">
        <w:rPr>
          <w:rFonts w:eastAsia="Oxfam TSTAR PRO"/>
          <w:b/>
          <w:bCs/>
        </w:rPr>
        <w:t>Just 4% of the over 1,600 largest and most influential companies sampled worldwide fully meet the World Benchmarking Alliance’s social indicator on responsible tax, by having a public global tax strategy and publicly disclosing corporate income taxes paid in all countries of residency.</w:t>
      </w:r>
    </w:p>
    <w:p w14:paraId="7D4D5957" w14:textId="295DA7A2" w:rsidR="00F941D9" w:rsidRPr="00652F25" w:rsidRDefault="00F941D9" w:rsidP="00AE5A67">
      <w:pPr>
        <w:pStyle w:val="Text"/>
      </w:pPr>
      <w:r w:rsidRPr="683702DD">
        <w:rPr>
          <w:rFonts w:eastAsia="Oxfam TSTAR PRO"/>
        </w:rPr>
        <w:t xml:space="preserve">See stat 2.3 </w:t>
      </w:r>
      <w:r w:rsidR="0054109C">
        <w:rPr>
          <w:rFonts w:eastAsia="Oxfam TSTAR PRO"/>
        </w:rPr>
        <w:t>on p.1</w:t>
      </w:r>
      <w:r w:rsidR="00DE7FE0">
        <w:rPr>
          <w:rFonts w:eastAsia="Oxfam TSTAR PRO"/>
        </w:rPr>
        <w:t>8</w:t>
      </w:r>
      <w:r w:rsidRPr="683702DD">
        <w:rPr>
          <w:rFonts w:eastAsia="Oxfam TSTAR PRO"/>
        </w:rPr>
        <w:t>.</w:t>
      </w:r>
    </w:p>
    <w:p w14:paraId="564BA50A" w14:textId="50E738BE" w:rsidR="00F941D9" w:rsidRPr="00652F25" w:rsidRDefault="0A7EE6A9" w:rsidP="00AE5A67">
      <w:pPr>
        <w:pStyle w:val="Text"/>
        <w:rPr>
          <w:rFonts w:eastAsia="Oxfam TSTAR PRO"/>
        </w:rPr>
      </w:pPr>
      <w:r w:rsidRPr="0A7EE6A9">
        <w:rPr>
          <w:rFonts w:eastAsia="Oxfam TSTAR PRO"/>
        </w:rPr>
        <w:t xml:space="preserve">Our analysis finds that 61 of 1,645 companies, 4%, publicly disclose </w:t>
      </w:r>
      <w:r w:rsidR="002921D6">
        <w:rPr>
          <w:rFonts w:eastAsia="Oxfam TSTAR PRO"/>
        </w:rPr>
        <w:t>‘</w:t>
      </w:r>
      <w:r w:rsidRPr="0A7EE6A9">
        <w:rPr>
          <w:rFonts w:eastAsia="Oxfam TSTAR PRO"/>
        </w:rPr>
        <w:t>a public global tax approach and corporate income tax payments on a country-by-country basis</w:t>
      </w:r>
      <w:r w:rsidR="002921D6">
        <w:rPr>
          <w:rFonts w:eastAsia="Oxfam TSTAR PRO"/>
        </w:rPr>
        <w:t>’</w:t>
      </w:r>
      <w:r w:rsidRPr="0A7EE6A9">
        <w:rPr>
          <w:rFonts w:eastAsia="Oxfam TSTAR PRO"/>
        </w:rPr>
        <w:t>.</w:t>
      </w:r>
      <w:r w:rsidR="2BF7EA4A">
        <w:tab/>
      </w:r>
    </w:p>
    <w:p w14:paraId="31E2440F" w14:textId="448F5F45" w:rsidR="00A470A0" w:rsidRPr="00804C0B" w:rsidRDefault="2BF7EA4A" w:rsidP="00AE5A67">
      <w:pPr>
        <w:pStyle w:val="Text"/>
      </w:pPr>
      <w:r w:rsidRPr="2BF7EA4A">
        <w:rPr>
          <w:rFonts w:eastAsia="Oxfam TSTAR PRO"/>
        </w:rPr>
        <w:t>This is based on three elements</w:t>
      </w:r>
      <w:r w:rsidR="002921D6">
        <w:rPr>
          <w:rFonts w:eastAsia="Oxfam TSTAR PRO"/>
        </w:rPr>
        <w:t>:</w:t>
      </w:r>
      <w:r w:rsidRPr="2BF7EA4A">
        <w:rPr>
          <w:rFonts w:eastAsia="Oxfam TSTAR PRO"/>
        </w:rPr>
        <w:t xml:space="preserve"> the company has a publicly available global tax strategy, which is approved by the highest governance body; </w:t>
      </w:r>
      <w:r w:rsidR="002921D6">
        <w:rPr>
          <w:rFonts w:eastAsia="Oxfam TSTAR PRO"/>
        </w:rPr>
        <w:t xml:space="preserve">it </w:t>
      </w:r>
      <w:r w:rsidRPr="2BF7EA4A">
        <w:rPr>
          <w:rFonts w:eastAsia="Oxfam TSTAR PRO"/>
        </w:rPr>
        <w:t>discloses a governance body or executive-level position</w:t>
      </w:r>
      <w:r w:rsidR="002921D6">
        <w:rPr>
          <w:rFonts w:eastAsia="Oxfam TSTAR PRO"/>
        </w:rPr>
        <w:t xml:space="preserve"> that</w:t>
      </w:r>
      <w:r w:rsidRPr="2BF7EA4A">
        <w:rPr>
          <w:rFonts w:eastAsia="Oxfam TSTAR PRO"/>
        </w:rPr>
        <w:t xml:space="preserve"> is tasked with accountability for compliance with the company’s global tax strategy; and </w:t>
      </w:r>
      <w:r w:rsidR="002921D6">
        <w:rPr>
          <w:rFonts w:eastAsia="Oxfam TSTAR PRO"/>
        </w:rPr>
        <w:t xml:space="preserve">it </w:t>
      </w:r>
      <w:r w:rsidRPr="2BF7EA4A">
        <w:rPr>
          <w:rFonts w:eastAsia="Oxfam TSTAR PRO"/>
        </w:rPr>
        <w:t>clearly discloses the amount of corporate income tax paid for each tax jurisdiction where the company is a resident for tax purposes.</w:t>
      </w:r>
    </w:p>
    <w:p w14:paraId="3FB4766E" w14:textId="387C676E" w:rsidR="00F941D9" w:rsidRPr="00AE5A67" w:rsidRDefault="00F941D9" w:rsidP="00AE5A67">
      <w:pPr>
        <w:pStyle w:val="Text"/>
        <w:rPr>
          <w:b/>
          <w:bCs/>
        </w:rPr>
      </w:pPr>
      <w:r w:rsidRPr="00AE5A67">
        <w:rPr>
          <w:b/>
          <w:bCs/>
        </w:rPr>
        <w:t xml:space="preserve">2.7. Shell </w:t>
      </w:r>
      <w:r w:rsidR="407D75C9" w:rsidRPr="00AE5A67">
        <w:rPr>
          <w:b/>
          <w:bCs/>
        </w:rPr>
        <w:t>made</w:t>
      </w:r>
      <w:r w:rsidRPr="00AE5A67">
        <w:rPr>
          <w:b/>
          <w:bCs/>
        </w:rPr>
        <w:t xml:space="preserve"> US$29.</w:t>
      </w:r>
      <w:r w:rsidR="407D75C9" w:rsidRPr="00AE5A67">
        <w:rPr>
          <w:b/>
          <w:bCs/>
        </w:rPr>
        <w:t>2bn</w:t>
      </w:r>
      <w:r w:rsidRPr="00AE5A67">
        <w:rPr>
          <w:b/>
          <w:bCs/>
        </w:rPr>
        <w:t xml:space="preserve"> in profits between July 2022 and June 2023, an increase of 222% compared to </w:t>
      </w:r>
      <w:r w:rsidR="002921D6" w:rsidRPr="00AE5A67">
        <w:rPr>
          <w:b/>
          <w:bCs/>
        </w:rPr>
        <w:t xml:space="preserve">its </w:t>
      </w:r>
      <w:r w:rsidRPr="00AE5A67">
        <w:rPr>
          <w:b/>
          <w:bCs/>
        </w:rPr>
        <w:t>average profits from 2018</w:t>
      </w:r>
      <w:r w:rsidR="00153A37" w:rsidRPr="00AE5A67">
        <w:rPr>
          <w:b/>
          <w:bCs/>
        </w:rPr>
        <w:t>–</w:t>
      </w:r>
      <w:r w:rsidRPr="00AE5A67">
        <w:rPr>
          <w:b/>
          <w:bCs/>
        </w:rPr>
        <w:t>21. Of those profits, 87.7% were handed back to shareholders in the form of stock buybacks and dividends.</w:t>
      </w:r>
    </w:p>
    <w:p w14:paraId="40F33D9A" w14:textId="42F19F01" w:rsidR="00F941D9" w:rsidRDefault="00F941D9" w:rsidP="00AE5A67">
      <w:pPr>
        <w:pStyle w:val="Text"/>
      </w:pPr>
      <w:r>
        <w:t>The data analytic</w:t>
      </w:r>
      <w:r w:rsidR="002921D6">
        <w:t>s</w:t>
      </w:r>
      <w:r>
        <w:t xml:space="preserve"> firm </w:t>
      </w:r>
      <w:proofErr w:type="spellStart"/>
      <w:r>
        <w:t>Exerica</w:t>
      </w:r>
      <w:proofErr w:type="spellEnd"/>
      <w:r>
        <w:rPr>
          <w:rStyle w:val="EndnoteReference"/>
        </w:rPr>
        <w:endnoteReference w:id="42"/>
      </w:r>
      <w:r>
        <w:t xml:space="preserve"> extracted data in October 2023 for the </w:t>
      </w:r>
      <w:r w:rsidR="00F230D3">
        <w:t xml:space="preserve">six </w:t>
      </w:r>
      <w:r>
        <w:t xml:space="preserve">years leading up to June 2023 on net profits, dividend </w:t>
      </w:r>
      <w:proofErr w:type="spellStart"/>
      <w:r>
        <w:t>payouts</w:t>
      </w:r>
      <w:proofErr w:type="spellEnd"/>
      <w:r>
        <w:t xml:space="preserve">, share buybacks and capital expenditures for the world’s 200 largest </w:t>
      </w:r>
      <w:r w:rsidR="002921D6">
        <w:t xml:space="preserve">corporations </w:t>
      </w:r>
      <w:r>
        <w:t>based on market cap</w:t>
      </w:r>
      <w:r w:rsidR="00F230D3">
        <w:t>italization</w:t>
      </w:r>
      <w:r>
        <w:t xml:space="preserve">. We compared the latest 12-month period (July 2022 </w:t>
      </w:r>
      <w:r w:rsidR="003E2C4D">
        <w:t xml:space="preserve">to </w:t>
      </w:r>
      <w:r>
        <w:t>June 2023) with the same 12</w:t>
      </w:r>
      <w:r w:rsidR="002921D6">
        <w:t>-</w:t>
      </w:r>
      <w:r>
        <w:t>month periods for the four years before corporate profits began skyrocketing during the COVID-19 pandemic and war in Ukraine</w:t>
      </w:r>
      <w:r w:rsidR="002921D6">
        <w:t>,</w:t>
      </w:r>
      <w:r>
        <w:t xml:space="preserve"> i.e.: </w:t>
      </w:r>
    </w:p>
    <w:p w14:paraId="525F3040" w14:textId="775BF955" w:rsidR="00F941D9" w:rsidRDefault="00F941D9" w:rsidP="00AE5A67">
      <w:pPr>
        <w:pStyle w:val="Textlistbullet"/>
      </w:pPr>
      <w:r>
        <w:t xml:space="preserve">July 2017–June 2018 </w:t>
      </w:r>
    </w:p>
    <w:p w14:paraId="1AF7F0B7" w14:textId="72D4D96B" w:rsidR="00F941D9" w:rsidRDefault="00F941D9" w:rsidP="00AE5A67">
      <w:pPr>
        <w:pStyle w:val="Textlistbullet"/>
      </w:pPr>
      <w:r>
        <w:t>July 2018–June 2019</w:t>
      </w:r>
    </w:p>
    <w:p w14:paraId="08E9E17A" w14:textId="5BC639DF" w:rsidR="00F941D9" w:rsidRDefault="00F941D9" w:rsidP="00AE5A67">
      <w:pPr>
        <w:pStyle w:val="Textlistbullet"/>
      </w:pPr>
      <w:r>
        <w:t xml:space="preserve">July 2019–June 2020 </w:t>
      </w:r>
    </w:p>
    <w:p w14:paraId="312C4DF5" w14:textId="52DB65FD" w:rsidR="00F941D9" w:rsidRDefault="00F941D9" w:rsidP="00AE5A67">
      <w:pPr>
        <w:pStyle w:val="Textlistbullet"/>
      </w:pPr>
      <w:r>
        <w:t>July 2020–June 2021</w:t>
      </w:r>
    </w:p>
    <w:p w14:paraId="2FA50946" w14:textId="097F3CEB" w:rsidR="00D41063" w:rsidRDefault="00D41063" w:rsidP="00AE5A67">
      <w:pPr>
        <w:pStyle w:val="Textlistbullet"/>
      </w:pPr>
      <w:r>
        <w:t>July 2021-June 2022</w:t>
      </w:r>
    </w:p>
    <w:p w14:paraId="636A1515" w14:textId="1C3DEE3B" w:rsidR="00D41063" w:rsidRDefault="00D41063" w:rsidP="00AE5A67">
      <w:pPr>
        <w:pStyle w:val="Textlistbullet"/>
      </w:pPr>
      <w:r>
        <w:t>July 2022-June 2023</w:t>
      </w:r>
    </w:p>
    <w:p w14:paraId="44398406" w14:textId="4576D133" w:rsidR="00F941D9" w:rsidRPr="00AE5A67" w:rsidRDefault="00F941D9" w:rsidP="00AE5A67">
      <w:pPr>
        <w:pStyle w:val="Text"/>
        <w:rPr>
          <w:b/>
          <w:bCs/>
        </w:rPr>
      </w:pPr>
      <w:r w:rsidRPr="00AE5A67">
        <w:rPr>
          <w:b/>
          <w:bCs/>
        </w:rPr>
        <w:t>2.8. Between July 2022 and June 2023, Brazil’s Petrobras made $30.3</w:t>
      </w:r>
      <w:r w:rsidR="00C22A1D" w:rsidRPr="00AE5A67">
        <w:rPr>
          <w:b/>
          <w:bCs/>
        </w:rPr>
        <w:t>bn</w:t>
      </w:r>
      <w:r w:rsidRPr="00AE5A67">
        <w:rPr>
          <w:b/>
          <w:bCs/>
        </w:rPr>
        <w:t xml:space="preserve"> in profits – almost four times more than its average annual profits from 2019</w:t>
      </w:r>
      <w:r w:rsidR="00153A37" w:rsidRPr="00AE5A67">
        <w:rPr>
          <w:b/>
          <w:bCs/>
        </w:rPr>
        <w:t>–</w:t>
      </w:r>
      <w:r w:rsidRPr="00AE5A67">
        <w:rPr>
          <w:b/>
          <w:bCs/>
        </w:rPr>
        <w:t>21</w:t>
      </w:r>
      <w:r w:rsidR="22F38FF7" w:rsidRPr="00AE5A67">
        <w:rPr>
          <w:b/>
          <w:bCs/>
        </w:rPr>
        <w:t>. It</w:t>
      </w:r>
      <w:r w:rsidRPr="00AE5A67">
        <w:rPr>
          <w:b/>
          <w:bCs/>
        </w:rPr>
        <w:t xml:space="preserve"> paid out 118% </w:t>
      </w:r>
      <w:r w:rsidR="22F38FF7" w:rsidRPr="00AE5A67">
        <w:rPr>
          <w:b/>
          <w:bCs/>
        </w:rPr>
        <w:t xml:space="preserve">of </w:t>
      </w:r>
      <w:r w:rsidRPr="00AE5A67">
        <w:rPr>
          <w:b/>
          <w:bCs/>
        </w:rPr>
        <w:t>those profits to shareholders in the form of dividends</w:t>
      </w:r>
      <w:r w:rsidR="22F38FF7" w:rsidRPr="00AE5A67">
        <w:rPr>
          <w:b/>
          <w:bCs/>
        </w:rPr>
        <w:t xml:space="preserve"> –</w:t>
      </w:r>
      <w:r w:rsidRPr="00AE5A67">
        <w:rPr>
          <w:b/>
          <w:bCs/>
        </w:rPr>
        <w:t xml:space="preserve"> more than three times what </w:t>
      </w:r>
      <w:r w:rsidR="22F38FF7" w:rsidRPr="00AE5A67">
        <w:rPr>
          <w:b/>
          <w:bCs/>
        </w:rPr>
        <w:t>Petrobras</w:t>
      </w:r>
      <w:r w:rsidRPr="00AE5A67">
        <w:rPr>
          <w:b/>
          <w:bCs/>
        </w:rPr>
        <w:t xml:space="preserve"> invested in capital expenditure.</w:t>
      </w:r>
    </w:p>
    <w:p w14:paraId="6BB2302F" w14:textId="6938E75D" w:rsidR="00F941D9" w:rsidRDefault="00F941D9" w:rsidP="00AE5A67">
      <w:pPr>
        <w:pStyle w:val="Text"/>
        <w:rPr>
          <w:lang w:val="en-US"/>
        </w:rPr>
      </w:pPr>
      <w:r w:rsidRPr="0143D77B">
        <w:rPr>
          <w:lang w:val="en-US"/>
        </w:rPr>
        <w:t xml:space="preserve">Same </w:t>
      </w:r>
      <w:r w:rsidR="00B5738F">
        <w:rPr>
          <w:lang w:val="en-US"/>
        </w:rPr>
        <w:t>stat 2.0 on p</w:t>
      </w:r>
      <w:r w:rsidR="00675266">
        <w:rPr>
          <w:lang w:val="en-US"/>
        </w:rPr>
        <w:t>.</w:t>
      </w:r>
      <w:r w:rsidR="00B5738F">
        <w:rPr>
          <w:lang w:val="en-US"/>
        </w:rPr>
        <w:t>16.</w:t>
      </w:r>
    </w:p>
    <w:p w14:paraId="5A32E9D6" w14:textId="1AAE7893" w:rsidR="00AE5A67" w:rsidRPr="00AE5A67" w:rsidRDefault="00F941D9" w:rsidP="00AE5A67">
      <w:pPr>
        <w:pStyle w:val="Text"/>
        <w:rPr>
          <w:lang w:val="en-US"/>
        </w:rPr>
      </w:pPr>
      <w:r>
        <w:rPr>
          <w:lang w:val="en-US"/>
        </w:rPr>
        <w:t>I</w:t>
      </w:r>
      <w:r w:rsidRPr="00BD2A55">
        <w:rPr>
          <w:lang w:val="en-US"/>
        </w:rPr>
        <w:t>n addition</w:t>
      </w:r>
      <w:r>
        <w:rPr>
          <w:lang w:val="en-US"/>
        </w:rPr>
        <w:t>, f</w:t>
      </w:r>
      <w:r w:rsidRPr="00BD2A55">
        <w:rPr>
          <w:lang w:val="en-US"/>
        </w:rPr>
        <w:t>or capital expenditures</w:t>
      </w:r>
      <w:r>
        <w:rPr>
          <w:lang w:val="en-US"/>
        </w:rPr>
        <w:t>,</w:t>
      </w:r>
      <w:r w:rsidRPr="00BD2A55">
        <w:rPr>
          <w:lang w:val="en-US"/>
        </w:rPr>
        <w:t xml:space="preserve"> we only have </w:t>
      </w:r>
      <w:proofErr w:type="spellStart"/>
      <w:r w:rsidRPr="00BD2A55">
        <w:rPr>
          <w:lang w:val="en-US"/>
        </w:rPr>
        <w:t>Exerica</w:t>
      </w:r>
      <w:proofErr w:type="spellEnd"/>
      <w:r w:rsidRPr="00BD2A55">
        <w:rPr>
          <w:lang w:val="en-US"/>
        </w:rPr>
        <w:t xml:space="preserve"> data covering </w:t>
      </w:r>
      <w:r w:rsidR="00C22A1D">
        <w:rPr>
          <w:lang w:val="en-US"/>
        </w:rPr>
        <w:t xml:space="preserve">the period </w:t>
      </w:r>
      <w:r w:rsidRPr="00BD2A55">
        <w:rPr>
          <w:lang w:val="en-US"/>
        </w:rPr>
        <w:t>until March 2023. Thus, we looked up Petrobras</w:t>
      </w:r>
      <w:r w:rsidR="00C22A1D">
        <w:rPr>
          <w:lang w:val="en-US"/>
        </w:rPr>
        <w:t>’</w:t>
      </w:r>
      <w:r w:rsidR="00932E4B">
        <w:rPr>
          <w:lang w:val="en-US"/>
        </w:rPr>
        <w:t>s</w:t>
      </w:r>
      <w:r w:rsidRPr="00BD2A55">
        <w:rPr>
          <w:lang w:val="en-US"/>
        </w:rPr>
        <w:t xml:space="preserve"> 2023</w:t>
      </w:r>
      <w:r>
        <w:rPr>
          <w:lang w:val="en-US"/>
        </w:rPr>
        <w:t xml:space="preserve"> </w:t>
      </w:r>
      <w:r w:rsidRPr="00BD2A55">
        <w:rPr>
          <w:lang w:val="en-US"/>
        </w:rPr>
        <w:t>Q2 report</w:t>
      </w:r>
      <w:r w:rsidRPr="00E00672">
        <w:rPr>
          <w:rStyle w:val="EndnoteReference"/>
          <w:lang w:val="en-US"/>
        </w:rPr>
        <w:endnoteReference w:id="43"/>
      </w:r>
      <w:r w:rsidRPr="00E00672">
        <w:t xml:space="preserve"> </w:t>
      </w:r>
      <w:r w:rsidRPr="00BD2A55">
        <w:rPr>
          <w:lang w:val="en-US"/>
        </w:rPr>
        <w:t xml:space="preserve">and added capital expenditures (under </w:t>
      </w:r>
      <w:r w:rsidRPr="00BD2A55">
        <w:rPr>
          <w:i/>
          <w:iCs/>
          <w:lang w:val="en-US"/>
        </w:rPr>
        <w:t>Acquisition of PP&amp;E and intangible assets</w:t>
      </w:r>
      <w:r w:rsidRPr="00BD2A55">
        <w:rPr>
          <w:lang w:val="en-US"/>
        </w:rPr>
        <w:t>) to complete the 12</w:t>
      </w:r>
      <w:r w:rsidR="00C22A1D">
        <w:rPr>
          <w:lang w:val="en-US"/>
        </w:rPr>
        <w:t xml:space="preserve"> months</w:t>
      </w:r>
      <w:r w:rsidRPr="00BD2A55">
        <w:rPr>
          <w:lang w:val="en-US"/>
        </w:rPr>
        <w:t xml:space="preserve"> (</w:t>
      </w:r>
      <w:r>
        <w:rPr>
          <w:lang w:val="en-US"/>
        </w:rPr>
        <w:t>J</w:t>
      </w:r>
      <w:r w:rsidRPr="00BD2A55">
        <w:rPr>
          <w:lang w:val="en-US"/>
        </w:rPr>
        <w:t>uly</w:t>
      </w:r>
      <w:r>
        <w:rPr>
          <w:lang w:val="en-US"/>
        </w:rPr>
        <w:t xml:space="preserve"> </w:t>
      </w:r>
      <w:r w:rsidRPr="00BD2A55">
        <w:rPr>
          <w:lang w:val="en-US"/>
        </w:rPr>
        <w:t>2022</w:t>
      </w:r>
      <w:r w:rsidR="00C22A1D">
        <w:rPr>
          <w:lang w:val="en-US"/>
        </w:rPr>
        <w:t xml:space="preserve"> to </w:t>
      </w:r>
      <w:r w:rsidRPr="00BD2A55">
        <w:rPr>
          <w:lang w:val="en-US"/>
        </w:rPr>
        <w:t>June</w:t>
      </w:r>
      <w:r>
        <w:rPr>
          <w:lang w:val="en-US"/>
        </w:rPr>
        <w:t xml:space="preserve"> </w:t>
      </w:r>
      <w:r w:rsidRPr="00BD2A55">
        <w:rPr>
          <w:lang w:val="en-US"/>
        </w:rPr>
        <w:t>2023).</w:t>
      </w:r>
    </w:p>
    <w:p w14:paraId="590803F4" w14:textId="313505F9" w:rsidR="00F941D9" w:rsidRPr="00AE5A67" w:rsidRDefault="11C0DFC1" w:rsidP="00AE5A67">
      <w:pPr>
        <w:pStyle w:val="Text"/>
        <w:rPr>
          <w:b/>
          <w:bCs/>
        </w:rPr>
      </w:pPr>
      <w:r w:rsidRPr="00AE5A67">
        <w:rPr>
          <w:b/>
          <w:bCs/>
        </w:rPr>
        <w:lastRenderedPageBreak/>
        <w:t xml:space="preserve">2.9. If the amount companies spent on dividends and shareholder buybacks for the richest 10% in 2022 </w:t>
      </w:r>
      <w:r w:rsidR="41A02E7C" w:rsidRPr="00AE5A67">
        <w:rPr>
          <w:b/>
          <w:bCs/>
        </w:rPr>
        <w:t>was</w:t>
      </w:r>
      <w:r w:rsidRPr="00AE5A67">
        <w:rPr>
          <w:b/>
          <w:bCs/>
        </w:rPr>
        <w:t xml:space="preserve"> redistributed to the bottom 40% of the income distribution, global income inequality as measured by the Palma ratio could decrease by 21.5% – equivalent to the actual drop in the Palma ratio observed over 41 years.</w:t>
      </w:r>
      <w:r w:rsidR="00F941D9" w:rsidRPr="00AE5A67">
        <w:rPr>
          <w:b/>
          <w:bCs/>
        </w:rPr>
        <w:t xml:space="preserve"> </w:t>
      </w:r>
    </w:p>
    <w:p w14:paraId="293D0162" w14:textId="442A65B1" w:rsidR="00F941D9" w:rsidRPr="00AE5A67" w:rsidRDefault="00F941D9" w:rsidP="00AE5A67">
      <w:pPr>
        <w:pStyle w:val="Text"/>
        <w:rPr>
          <w:b/>
          <w:bCs/>
          <w:lang w:val="en-US"/>
        </w:rPr>
      </w:pPr>
      <w:r w:rsidRPr="00AE5A67">
        <w:rPr>
          <w:b/>
          <w:bCs/>
          <w:lang w:val="en-US"/>
        </w:rPr>
        <w:t>a) Estimating buybacks and shareholder dividends in 2022</w:t>
      </w:r>
      <w:r w:rsidR="00932E4B">
        <w:rPr>
          <w:b/>
          <w:bCs/>
          <w:lang w:val="en-US"/>
        </w:rPr>
        <w:t>.</w:t>
      </w:r>
    </w:p>
    <w:p w14:paraId="2FA22211" w14:textId="02F7A004" w:rsidR="00F941D9" w:rsidRPr="000C06E6" w:rsidRDefault="00F941D9" w:rsidP="00AE5A67">
      <w:pPr>
        <w:pStyle w:val="Text"/>
        <w:rPr>
          <w:lang w:val="en-US"/>
        </w:rPr>
      </w:pPr>
      <w:r w:rsidRPr="000C06E6">
        <w:rPr>
          <w:lang w:val="en-US"/>
        </w:rPr>
        <w:t xml:space="preserve">The global numbers for dividends are taken from </w:t>
      </w:r>
      <w:r w:rsidR="00C22A1D">
        <w:rPr>
          <w:lang w:val="en-US"/>
        </w:rPr>
        <w:t xml:space="preserve">global asset management group </w:t>
      </w:r>
      <w:r w:rsidRPr="000C06E6">
        <w:rPr>
          <w:lang w:val="en-US"/>
        </w:rPr>
        <w:t>Janus Henderson</w:t>
      </w:r>
      <w:r w:rsidR="00C22A1D">
        <w:rPr>
          <w:lang w:val="en-US"/>
        </w:rPr>
        <w:t>,</w:t>
      </w:r>
      <w:r w:rsidRPr="000C06E6">
        <w:rPr>
          <w:vertAlign w:val="superscript"/>
          <w:lang w:val="en-US"/>
        </w:rPr>
        <w:endnoteReference w:id="44"/>
      </w:r>
      <w:r w:rsidRPr="000C06E6">
        <w:rPr>
          <w:lang w:val="en-US"/>
        </w:rPr>
        <w:t xml:space="preserve"> wh</w:t>
      </w:r>
      <w:r w:rsidR="00C22A1D">
        <w:rPr>
          <w:lang w:val="en-US"/>
        </w:rPr>
        <w:t>ich</w:t>
      </w:r>
      <w:r w:rsidRPr="000C06E6">
        <w:rPr>
          <w:lang w:val="en-US"/>
        </w:rPr>
        <w:t xml:space="preserve"> estimates a global dividend payout for shareholders of US$1.56 trillion in 2022. For shareholder buybacks, Janus Henderson</w:t>
      </w:r>
      <w:r w:rsidRPr="000C06E6">
        <w:rPr>
          <w:vertAlign w:val="superscript"/>
          <w:lang w:val="en-US"/>
        </w:rPr>
        <w:endnoteReference w:id="45"/>
      </w:r>
      <w:r w:rsidRPr="000C06E6">
        <w:rPr>
          <w:lang w:val="en-US"/>
        </w:rPr>
        <w:t xml:space="preserve"> estimates a global payout of US$1.31 trillion in 2022</w:t>
      </w:r>
      <w:r w:rsidR="675335AB" w:rsidRPr="675335AB">
        <w:rPr>
          <w:lang w:val="en-US"/>
        </w:rPr>
        <w:t>; in this exercise</w:t>
      </w:r>
      <w:r w:rsidR="00C22A1D">
        <w:rPr>
          <w:lang w:val="en-US"/>
        </w:rPr>
        <w:t>,</w:t>
      </w:r>
      <w:r w:rsidR="675335AB" w:rsidRPr="675335AB">
        <w:rPr>
          <w:lang w:val="en-US"/>
        </w:rPr>
        <w:t xml:space="preserve"> we assume gains from shareholder buybacks are realized</w:t>
      </w:r>
      <w:r w:rsidRPr="000C06E6">
        <w:rPr>
          <w:lang w:val="en-US"/>
        </w:rPr>
        <w:t>. In total</w:t>
      </w:r>
      <w:r w:rsidR="003E2C4D">
        <w:rPr>
          <w:lang w:val="en-US"/>
        </w:rPr>
        <w:t>,</w:t>
      </w:r>
      <w:r w:rsidRPr="000C06E6">
        <w:rPr>
          <w:lang w:val="en-US"/>
        </w:rPr>
        <w:t xml:space="preserve"> these two payouts are US$2.87 trillion. </w:t>
      </w:r>
    </w:p>
    <w:p w14:paraId="7A01B200" w14:textId="06C3E3AD" w:rsidR="00F941D9" w:rsidRPr="000C06E6" w:rsidRDefault="00F941D9" w:rsidP="00AE5A67">
      <w:pPr>
        <w:pStyle w:val="Text"/>
        <w:rPr>
          <w:lang w:val="en-US"/>
        </w:rPr>
      </w:pPr>
      <w:r w:rsidRPr="000C06E6">
        <w:rPr>
          <w:lang w:val="en-US"/>
        </w:rPr>
        <w:t xml:space="preserve">To distribute the income from dividends and shareholder buybacks we have used research from Geert </w:t>
      </w:r>
      <w:proofErr w:type="spellStart"/>
      <w:r w:rsidRPr="000C06E6">
        <w:rPr>
          <w:lang w:val="en-US"/>
        </w:rPr>
        <w:t>Reuten</w:t>
      </w:r>
      <w:proofErr w:type="spellEnd"/>
      <w:r w:rsidRPr="000C06E6">
        <w:rPr>
          <w:lang w:val="en-US"/>
        </w:rPr>
        <w:t xml:space="preserve"> in </w:t>
      </w:r>
      <w:r w:rsidRPr="675335AB">
        <w:rPr>
          <w:i/>
          <w:iCs/>
          <w:lang w:val="en-US"/>
        </w:rPr>
        <w:t>On the Distribution of Wealth and Capital Ownership; An Empirical Application to OECD Countries around 2019</w:t>
      </w:r>
      <w:r w:rsidR="00C22A1D">
        <w:rPr>
          <w:i/>
          <w:iCs/>
          <w:lang w:val="en-US"/>
        </w:rPr>
        <w:t>.</w:t>
      </w:r>
      <w:r w:rsidRPr="000C06E6">
        <w:rPr>
          <w:vertAlign w:val="superscript"/>
          <w:lang w:val="en-US"/>
        </w:rPr>
        <w:endnoteReference w:id="46"/>
      </w:r>
      <w:r w:rsidRPr="675335AB">
        <w:rPr>
          <w:i/>
          <w:iCs/>
          <w:lang w:val="en-US"/>
        </w:rPr>
        <w:t xml:space="preserve"> </w:t>
      </w:r>
      <w:r w:rsidRPr="000C06E6">
        <w:rPr>
          <w:lang w:val="en-US"/>
        </w:rPr>
        <w:t>In this research paper</w:t>
      </w:r>
      <w:r>
        <w:rPr>
          <w:lang w:val="en-US"/>
        </w:rPr>
        <w:t>,</w:t>
      </w:r>
      <w:r w:rsidRPr="000C06E6">
        <w:rPr>
          <w:lang w:val="en-US"/>
        </w:rPr>
        <w:t xml:space="preserve"> </w:t>
      </w:r>
      <w:proofErr w:type="spellStart"/>
      <w:r w:rsidRPr="000C06E6">
        <w:rPr>
          <w:lang w:val="en-US"/>
        </w:rPr>
        <w:t>Reuten</w:t>
      </w:r>
      <w:proofErr w:type="spellEnd"/>
      <w:r w:rsidRPr="000C06E6">
        <w:rPr>
          <w:lang w:val="en-US"/>
        </w:rPr>
        <w:t xml:space="preserve"> has </w:t>
      </w:r>
      <w:r w:rsidR="00C22A1D">
        <w:rPr>
          <w:lang w:val="en-US"/>
        </w:rPr>
        <w:t>calculated</w:t>
      </w:r>
      <w:r w:rsidR="00C22A1D" w:rsidRPr="000C06E6">
        <w:rPr>
          <w:lang w:val="en-US"/>
        </w:rPr>
        <w:t xml:space="preserve"> </w:t>
      </w:r>
      <w:r w:rsidRPr="000C06E6">
        <w:rPr>
          <w:lang w:val="en-US"/>
        </w:rPr>
        <w:t xml:space="preserve">the distribution </w:t>
      </w:r>
      <w:r w:rsidR="00F230D3">
        <w:rPr>
          <w:lang w:val="en-US"/>
        </w:rPr>
        <w:t xml:space="preserve">not only </w:t>
      </w:r>
      <w:r w:rsidRPr="000C06E6">
        <w:rPr>
          <w:lang w:val="en-US"/>
        </w:rPr>
        <w:t xml:space="preserve">of financial assets but also what he defines as </w:t>
      </w:r>
      <w:r>
        <w:rPr>
          <w:lang w:val="en-US"/>
        </w:rPr>
        <w:t xml:space="preserve">the </w:t>
      </w:r>
      <w:r w:rsidRPr="000C06E6">
        <w:rPr>
          <w:lang w:val="en-US"/>
        </w:rPr>
        <w:t xml:space="preserve">‘capital ownership component’. Among the latter are shares and equity. </w:t>
      </w:r>
      <w:r w:rsidR="001C0C9F">
        <w:rPr>
          <w:lang w:val="en-US"/>
        </w:rPr>
        <w:t>O</w:t>
      </w:r>
      <w:r w:rsidRPr="000C06E6">
        <w:rPr>
          <w:lang w:val="en-US"/>
        </w:rPr>
        <w:t>f the broader group of financial assets</w:t>
      </w:r>
      <w:r w:rsidR="001C0C9F">
        <w:rPr>
          <w:lang w:val="en-US"/>
        </w:rPr>
        <w:t>,</w:t>
      </w:r>
      <w:r w:rsidRPr="000C06E6">
        <w:rPr>
          <w:lang w:val="en-US"/>
        </w:rPr>
        <w:t xml:space="preserve"> 68% are owned by the top 10%</w:t>
      </w:r>
      <w:r w:rsidR="006710A7">
        <w:rPr>
          <w:lang w:val="en-US"/>
        </w:rPr>
        <w:t xml:space="preserve"> in the income distribution</w:t>
      </w:r>
      <w:r w:rsidRPr="000C06E6">
        <w:rPr>
          <w:lang w:val="en-US"/>
        </w:rPr>
        <w:t xml:space="preserve">, while the bottom 40% own </w:t>
      </w:r>
      <w:r w:rsidR="001C0C9F">
        <w:rPr>
          <w:lang w:val="en-US"/>
        </w:rPr>
        <w:t>4%</w:t>
      </w:r>
      <w:r w:rsidRPr="000C06E6">
        <w:rPr>
          <w:lang w:val="en-US"/>
        </w:rPr>
        <w:t xml:space="preserve">. When we zoom in on capital ownership assets such as shares, 85% of these are owned by the top 10% </w:t>
      </w:r>
      <w:r w:rsidR="003E2C4D">
        <w:rPr>
          <w:lang w:val="en-US"/>
        </w:rPr>
        <w:t>with</w:t>
      </w:r>
      <w:r w:rsidR="003E2C4D" w:rsidRPr="000C06E6">
        <w:rPr>
          <w:lang w:val="en-US"/>
        </w:rPr>
        <w:t xml:space="preserve"> </w:t>
      </w:r>
      <w:r w:rsidRPr="000C06E6">
        <w:rPr>
          <w:lang w:val="en-US"/>
        </w:rPr>
        <w:t xml:space="preserve">only </w:t>
      </w:r>
      <w:r w:rsidR="001C0C9F">
        <w:rPr>
          <w:lang w:val="en-US"/>
        </w:rPr>
        <w:t>1%</w:t>
      </w:r>
      <w:r>
        <w:rPr>
          <w:lang w:val="en-US"/>
        </w:rPr>
        <w:t xml:space="preserve"> </w:t>
      </w:r>
      <w:r w:rsidR="001C0C9F">
        <w:rPr>
          <w:lang w:val="en-US"/>
        </w:rPr>
        <w:t>owned by</w:t>
      </w:r>
      <w:r w:rsidRPr="000C06E6">
        <w:rPr>
          <w:lang w:val="en-US"/>
        </w:rPr>
        <w:t xml:space="preserve"> the bottom 40%. </w:t>
      </w:r>
      <w:proofErr w:type="spellStart"/>
      <w:r w:rsidRPr="000C06E6">
        <w:rPr>
          <w:lang w:val="en-US"/>
        </w:rPr>
        <w:t>Reuten’s</w:t>
      </w:r>
      <w:proofErr w:type="spellEnd"/>
      <w:r w:rsidRPr="000C06E6">
        <w:rPr>
          <w:lang w:val="en-US"/>
        </w:rPr>
        <w:t xml:space="preserve"> research is based on 24 OECD countries. </w:t>
      </w:r>
    </w:p>
    <w:p w14:paraId="6B74A658" w14:textId="450CE5EA" w:rsidR="00AE5A67" w:rsidRPr="00AE5A67" w:rsidRDefault="00F941D9" w:rsidP="00AE5A67">
      <w:pPr>
        <w:pStyle w:val="Text"/>
        <w:rPr>
          <w:lang w:val="en-US"/>
        </w:rPr>
      </w:pPr>
      <w:r w:rsidRPr="000C06E6">
        <w:rPr>
          <w:lang w:val="en-US"/>
        </w:rPr>
        <w:t xml:space="preserve">We use this as </w:t>
      </w:r>
      <w:r w:rsidR="003E2C4D">
        <w:rPr>
          <w:lang w:val="en-US"/>
        </w:rPr>
        <w:t>the</w:t>
      </w:r>
      <w:r w:rsidR="003E2C4D" w:rsidRPr="000C06E6">
        <w:rPr>
          <w:lang w:val="en-US"/>
        </w:rPr>
        <w:t xml:space="preserve"> </w:t>
      </w:r>
      <w:r w:rsidRPr="000C06E6">
        <w:rPr>
          <w:lang w:val="en-US"/>
        </w:rPr>
        <w:t xml:space="preserve">baseline for our global estimate, </w:t>
      </w:r>
      <w:bookmarkStart w:id="6" w:name="_Hlk150365557"/>
      <w:r w:rsidRPr="000C06E6">
        <w:rPr>
          <w:lang w:val="en-US"/>
        </w:rPr>
        <w:t>allocating 85% of the US$2.87 trillion to the top 10%, equivalent to US$2.44 trillion, and US$28.7</w:t>
      </w:r>
      <w:r w:rsidR="001C0C9F">
        <w:rPr>
          <w:lang w:val="en-US"/>
        </w:rPr>
        <w:t>bn</w:t>
      </w:r>
      <w:r w:rsidRPr="000C06E6">
        <w:rPr>
          <w:lang w:val="en-US"/>
        </w:rPr>
        <w:t xml:space="preserve"> to the bottom 40%, equivalent to their share of </w:t>
      </w:r>
      <w:r w:rsidR="001C0C9F">
        <w:rPr>
          <w:lang w:val="en-US"/>
        </w:rPr>
        <w:t>1%</w:t>
      </w:r>
      <w:r w:rsidRPr="000C06E6">
        <w:rPr>
          <w:lang w:val="en-US"/>
        </w:rPr>
        <w:t xml:space="preserve">. </w:t>
      </w:r>
      <w:bookmarkEnd w:id="6"/>
    </w:p>
    <w:p w14:paraId="694CC5DA" w14:textId="48F184CF" w:rsidR="00F941D9" w:rsidRPr="00AE5A67" w:rsidRDefault="00F941D9" w:rsidP="00AE5A67">
      <w:pPr>
        <w:pStyle w:val="Text"/>
        <w:rPr>
          <w:b/>
          <w:bCs/>
          <w:lang w:val="en-US"/>
        </w:rPr>
      </w:pPr>
      <w:r w:rsidRPr="00AE5A67">
        <w:rPr>
          <w:b/>
          <w:bCs/>
          <w:lang w:val="en-US"/>
        </w:rPr>
        <w:t>b) Estimating the Palma ratio</w:t>
      </w:r>
      <w:r w:rsidR="00932E4B">
        <w:rPr>
          <w:b/>
          <w:bCs/>
          <w:lang w:val="en-US"/>
        </w:rPr>
        <w:t>.</w:t>
      </w:r>
    </w:p>
    <w:p w14:paraId="200D6F99" w14:textId="1126475B" w:rsidR="00932E4B" w:rsidRDefault="00F941D9" w:rsidP="00AE5A67">
      <w:pPr>
        <w:pStyle w:val="Text"/>
        <w:rPr>
          <w:lang w:val="en-US"/>
        </w:rPr>
      </w:pPr>
      <w:r w:rsidRPr="000C06E6">
        <w:rPr>
          <w:lang w:val="en-US"/>
        </w:rPr>
        <w:t xml:space="preserve">The data on </w:t>
      </w:r>
      <w:r>
        <w:rPr>
          <w:lang w:val="en-US"/>
        </w:rPr>
        <w:t>the</w:t>
      </w:r>
      <w:r w:rsidRPr="000C06E6">
        <w:rPr>
          <w:lang w:val="en-US"/>
        </w:rPr>
        <w:t xml:space="preserve"> Palma ratio is from the World Inequality Database (WID)</w:t>
      </w:r>
      <w:r w:rsidR="003E2C4D">
        <w:rPr>
          <w:lang w:val="en-US"/>
        </w:rPr>
        <w:t>.</w:t>
      </w:r>
      <w:r w:rsidRPr="000C06E6">
        <w:rPr>
          <w:vertAlign w:val="superscript"/>
          <w:lang w:val="en-US"/>
        </w:rPr>
        <w:endnoteReference w:id="47"/>
      </w:r>
      <w:r w:rsidRPr="000C06E6">
        <w:rPr>
          <w:lang w:val="en-US"/>
        </w:rPr>
        <w:t xml:space="preserve"> The latest year </w:t>
      </w:r>
      <w:r w:rsidR="001C0C9F">
        <w:rPr>
          <w:lang w:val="en-US"/>
        </w:rPr>
        <w:t xml:space="preserve">for which data is available </w:t>
      </w:r>
      <w:r w:rsidRPr="000C06E6">
        <w:rPr>
          <w:lang w:val="en-US"/>
        </w:rPr>
        <w:t xml:space="preserve">is 2021. We have found all percentiles in the income distribution and used their average income for the group. The definitions are pre-tax income, and the population is adults. </w:t>
      </w:r>
    </w:p>
    <w:p w14:paraId="13CEC135" w14:textId="67BBED20" w:rsidR="00F941D9" w:rsidRDefault="00F941D9" w:rsidP="00AE5A67">
      <w:pPr>
        <w:pStyle w:val="Text"/>
        <w:rPr>
          <w:lang w:val="en-US"/>
        </w:rPr>
      </w:pPr>
      <w:r w:rsidRPr="000C06E6">
        <w:rPr>
          <w:lang w:val="en-US"/>
        </w:rPr>
        <w:t xml:space="preserve">The product of the average income </w:t>
      </w:r>
      <w:r>
        <w:rPr>
          <w:lang w:val="en-US"/>
        </w:rPr>
        <w:t>in each</w:t>
      </w:r>
      <w:r w:rsidRPr="000C06E6">
        <w:rPr>
          <w:lang w:val="en-US"/>
        </w:rPr>
        <w:t xml:space="preserve"> percentile and the number of people in </w:t>
      </w:r>
      <w:r>
        <w:rPr>
          <w:lang w:val="en-US"/>
        </w:rPr>
        <w:t>that</w:t>
      </w:r>
      <w:r w:rsidRPr="000C06E6">
        <w:rPr>
          <w:lang w:val="en-US"/>
        </w:rPr>
        <w:t xml:space="preserve"> percentile (which is </w:t>
      </w:r>
      <w:r w:rsidR="005C2687">
        <w:rPr>
          <w:lang w:val="en-US"/>
        </w:rPr>
        <w:t>1%</w:t>
      </w:r>
      <w:r w:rsidRPr="000C06E6">
        <w:rPr>
          <w:lang w:val="en-US"/>
        </w:rPr>
        <w:t xml:space="preserve"> of 5.</w:t>
      </w:r>
      <w:r w:rsidR="00FF78CA">
        <w:rPr>
          <w:lang w:val="en-US"/>
        </w:rPr>
        <w:t xml:space="preserve">3 </w:t>
      </w:r>
      <w:r w:rsidRPr="000C06E6">
        <w:rPr>
          <w:lang w:val="en-US"/>
        </w:rPr>
        <w:t>billion adults</w:t>
      </w:r>
      <w:r w:rsidR="00FF78CA">
        <w:rPr>
          <w:lang w:val="en-US"/>
        </w:rPr>
        <w:t xml:space="preserve"> equivalent to</w:t>
      </w:r>
      <w:r w:rsidRPr="000C06E6">
        <w:rPr>
          <w:lang w:val="en-US"/>
        </w:rPr>
        <w:t xml:space="preserve"> 5</w:t>
      </w:r>
      <w:r w:rsidR="00FF78CA">
        <w:rPr>
          <w:lang w:val="en-US"/>
        </w:rPr>
        <w:t>3</w:t>
      </w:r>
      <w:r w:rsidRPr="000C06E6">
        <w:rPr>
          <w:lang w:val="en-US"/>
        </w:rPr>
        <w:t xml:space="preserve"> million people) is the total income for each percentile</w:t>
      </w:r>
      <w:r>
        <w:rPr>
          <w:lang w:val="en-US"/>
        </w:rPr>
        <w:t xml:space="preserve"> in US$ </w:t>
      </w:r>
      <w:r w:rsidR="001C0C9F">
        <w:rPr>
          <w:lang w:val="en-US"/>
        </w:rPr>
        <w:t>purchasing power parity (</w:t>
      </w:r>
      <w:r>
        <w:rPr>
          <w:lang w:val="en-US"/>
        </w:rPr>
        <w:t>PPP</w:t>
      </w:r>
      <w:r w:rsidR="001C0C9F">
        <w:rPr>
          <w:lang w:val="en-US"/>
        </w:rPr>
        <w:t>)</w:t>
      </w:r>
      <w:r>
        <w:rPr>
          <w:lang w:val="en-US"/>
        </w:rPr>
        <w:t xml:space="preserve">. </w:t>
      </w:r>
      <w:r w:rsidRPr="000C06E6">
        <w:rPr>
          <w:lang w:val="en-US"/>
        </w:rPr>
        <w:t xml:space="preserve">This is converted to market </w:t>
      </w:r>
      <w:r>
        <w:rPr>
          <w:lang w:val="en-US"/>
        </w:rPr>
        <w:t>dollars</w:t>
      </w:r>
      <w:r w:rsidRPr="000C06E6">
        <w:rPr>
          <w:lang w:val="en-US"/>
        </w:rPr>
        <w:t xml:space="preserve"> by dividing the total income with the PPP-converter</w:t>
      </w:r>
      <w:r w:rsidR="00E26A97">
        <w:rPr>
          <w:lang w:val="en-US"/>
        </w:rPr>
        <w:t>,</w:t>
      </w:r>
      <w:r w:rsidRPr="000C06E6">
        <w:rPr>
          <w:lang w:val="en-US"/>
        </w:rPr>
        <w:t xml:space="preserve"> given by WID as 0.68</w:t>
      </w:r>
      <w:r w:rsidR="003E2C4D">
        <w:rPr>
          <w:lang w:val="en-US"/>
        </w:rPr>
        <w:t>,</w:t>
      </w:r>
      <w:r w:rsidRPr="000C06E6">
        <w:rPr>
          <w:lang w:val="en-US"/>
        </w:rPr>
        <w:t xml:space="preserve"> to express the wealth in market dollars</w:t>
      </w:r>
      <w:r w:rsidR="001C0C9F">
        <w:rPr>
          <w:lang w:val="en-US"/>
        </w:rPr>
        <w:t xml:space="preserve"> – </w:t>
      </w:r>
      <w:r w:rsidRPr="000C06E6">
        <w:rPr>
          <w:lang w:val="en-US"/>
        </w:rPr>
        <w:t xml:space="preserve">which is what the dividends and buybacks from Janus Henderson are expressed in. </w:t>
      </w:r>
    </w:p>
    <w:p w14:paraId="64D9C87E" w14:textId="4710DA03" w:rsidR="00F941D9" w:rsidRPr="000C06E6" w:rsidRDefault="00F941D9" w:rsidP="00AE5A67">
      <w:pPr>
        <w:pStyle w:val="Text"/>
        <w:rPr>
          <w:lang w:val="en-US"/>
        </w:rPr>
      </w:pPr>
      <w:r w:rsidRPr="000C06E6">
        <w:rPr>
          <w:lang w:val="en-US"/>
        </w:rPr>
        <w:t>The Palma ratio is the income share of the richest 10% to th</w:t>
      </w:r>
      <w:r w:rsidR="006710A7">
        <w:rPr>
          <w:lang w:val="en-US"/>
        </w:rPr>
        <w:t xml:space="preserve">e income share </w:t>
      </w:r>
      <w:r w:rsidRPr="000C06E6">
        <w:rPr>
          <w:lang w:val="en-US"/>
        </w:rPr>
        <w:t>of the bottom 40%. In 2021</w:t>
      </w:r>
      <w:r w:rsidR="00675266">
        <w:rPr>
          <w:lang w:val="en-US"/>
        </w:rPr>
        <w:t>,</w:t>
      </w:r>
      <w:r w:rsidRPr="000C06E6">
        <w:rPr>
          <w:lang w:val="en-US"/>
        </w:rPr>
        <w:t xml:space="preserve"> the income </w:t>
      </w:r>
      <w:proofErr w:type="gramStart"/>
      <w:r w:rsidRPr="000C06E6">
        <w:rPr>
          <w:lang w:val="en-US"/>
        </w:rPr>
        <w:t>share</w:t>
      </w:r>
      <w:proofErr w:type="gramEnd"/>
      <w:r w:rsidRPr="000C06E6">
        <w:rPr>
          <w:lang w:val="en-US"/>
        </w:rPr>
        <w:t xml:space="preserve"> of the top 10% was 52.8%, while the share of the bottom 40% was 4.8%. This gives a Palma ratio of 11.1.</w:t>
      </w:r>
    </w:p>
    <w:p w14:paraId="406AEAB2" w14:textId="15AC2C6D" w:rsidR="00A34463" w:rsidRPr="00932E4B" w:rsidRDefault="00F941D9" w:rsidP="00932E4B">
      <w:pPr>
        <w:pStyle w:val="Text"/>
        <w:rPr>
          <w:lang w:val="en-US"/>
        </w:rPr>
      </w:pPr>
      <w:r w:rsidRPr="000C06E6">
        <w:rPr>
          <w:lang w:val="en-US"/>
        </w:rPr>
        <w:t xml:space="preserve">If 85% of the dividends and buybacks (US$2.44 trillion) of the top 10% is to be distributed to the bottom 40%, the income </w:t>
      </w:r>
      <w:proofErr w:type="gramStart"/>
      <w:r w:rsidRPr="000C06E6">
        <w:rPr>
          <w:lang w:val="en-US"/>
        </w:rPr>
        <w:t>share</w:t>
      </w:r>
      <w:proofErr w:type="gramEnd"/>
      <w:r w:rsidRPr="000C06E6">
        <w:rPr>
          <w:lang w:val="en-US"/>
        </w:rPr>
        <w:t xml:space="preserve"> of the top 10% would decrease from 52.8% to 51.6%, while that of the bottom 40% would increase from 4.8% to 5.9%. Th</w:t>
      </w:r>
      <w:r>
        <w:rPr>
          <w:lang w:val="en-US"/>
        </w:rPr>
        <w:t>e</w:t>
      </w:r>
      <w:r w:rsidRPr="000C06E6">
        <w:rPr>
          <w:lang w:val="en-US"/>
        </w:rPr>
        <w:t xml:space="preserve"> </w:t>
      </w:r>
      <w:r>
        <w:rPr>
          <w:lang w:val="en-US"/>
        </w:rPr>
        <w:t>Palma ratio decreases by 21.5%</w:t>
      </w:r>
      <w:r w:rsidR="001C0C9F">
        <w:rPr>
          <w:lang w:val="en-US"/>
        </w:rPr>
        <w:t>,</w:t>
      </w:r>
      <w:r>
        <w:rPr>
          <w:lang w:val="en-US"/>
        </w:rPr>
        <w:t xml:space="preserve"> </w:t>
      </w:r>
      <w:r w:rsidRPr="000C06E6">
        <w:rPr>
          <w:lang w:val="en-US"/>
        </w:rPr>
        <w:t>from 11.1 to 8.7</w:t>
      </w:r>
      <w:r>
        <w:rPr>
          <w:lang w:val="en-US"/>
        </w:rPr>
        <w:t xml:space="preserve">. </w:t>
      </w:r>
    </w:p>
    <w:p w14:paraId="7301B37C" w14:textId="50329AD6" w:rsidR="00F941D9" w:rsidRPr="00026270" w:rsidRDefault="00F941D9" w:rsidP="00A34463">
      <w:pPr>
        <w:pStyle w:val="Tablecaption"/>
        <w:rPr>
          <w:lang w:val="en-US"/>
        </w:rPr>
      </w:pPr>
      <w:r>
        <w:rPr>
          <w:lang w:val="en-US"/>
        </w:rPr>
        <w:lastRenderedPageBreak/>
        <w:t xml:space="preserve">Table 2.1: </w:t>
      </w:r>
      <w:r w:rsidRPr="00026270">
        <w:rPr>
          <w:lang w:val="en-US"/>
        </w:rPr>
        <w:t xml:space="preserve">Impact </w:t>
      </w:r>
      <w:r>
        <w:rPr>
          <w:lang w:val="en-US"/>
        </w:rPr>
        <w:t xml:space="preserve">of </w:t>
      </w:r>
      <w:r w:rsidR="00E26A97">
        <w:rPr>
          <w:lang w:val="en-US"/>
        </w:rPr>
        <w:t xml:space="preserve">redistribution of </w:t>
      </w:r>
      <w:r w:rsidRPr="00026270">
        <w:rPr>
          <w:lang w:val="en-US"/>
        </w:rPr>
        <w:t>dividends and share buyback</w:t>
      </w:r>
      <w:r w:rsidR="001D0DD1">
        <w:rPr>
          <w:lang w:val="en-US"/>
        </w:rPr>
        <w:t>s</w:t>
      </w:r>
      <w:r w:rsidRPr="00026270">
        <w:rPr>
          <w:lang w:val="en-US"/>
        </w:rPr>
        <w:t xml:space="preserve"> on the Palma </w:t>
      </w:r>
      <w:proofErr w:type="gramStart"/>
      <w:r w:rsidRPr="00026270">
        <w:rPr>
          <w:lang w:val="en-US"/>
        </w:rPr>
        <w:t>ratio</w:t>
      </w:r>
      <w:proofErr w:type="gramEnd"/>
    </w:p>
    <w:tbl>
      <w:tblPr>
        <w:tblStyle w:val="TableGrid"/>
        <w:tblW w:w="7923" w:type="dxa"/>
        <w:tblInd w:w="-5" w:type="dxa"/>
        <w:tblLook w:val="04A0" w:firstRow="1" w:lastRow="0" w:firstColumn="1" w:lastColumn="0" w:noHBand="0" w:noVBand="1"/>
      </w:tblPr>
      <w:tblGrid>
        <w:gridCol w:w="1282"/>
        <w:gridCol w:w="980"/>
        <w:gridCol w:w="1457"/>
        <w:gridCol w:w="1393"/>
        <w:gridCol w:w="1418"/>
        <w:gridCol w:w="1393"/>
      </w:tblGrid>
      <w:tr w:rsidR="00F941D9" w:rsidRPr="000647AB" w14:paraId="28839F2F" w14:textId="77777777" w:rsidTr="00A34463">
        <w:trPr>
          <w:trHeight w:val="2271"/>
        </w:trPr>
        <w:tc>
          <w:tcPr>
            <w:tcW w:w="1282" w:type="dxa"/>
            <w:noWrap/>
            <w:hideMark/>
          </w:tcPr>
          <w:p w14:paraId="58C27145" w14:textId="77777777" w:rsidR="00F941D9" w:rsidRPr="000647AB" w:rsidRDefault="00F941D9" w:rsidP="00A34463">
            <w:pPr>
              <w:pStyle w:val="Tableheading2"/>
            </w:pPr>
            <w:r w:rsidRPr="000647AB">
              <w:t> </w:t>
            </w:r>
          </w:p>
        </w:tc>
        <w:tc>
          <w:tcPr>
            <w:tcW w:w="980" w:type="dxa"/>
            <w:hideMark/>
          </w:tcPr>
          <w:p w14:paraId="368058BB" w14:textId="68F4E345" w:rsidR="00F941D9" w:rsidRPr="000647AB" w:rsidRDefault="00F941D9" w:rsidP="00A34463">
            <w:pPr>
              <w:pStyle w:val="Tableheading1"/>
            </w:pPr>
            <w:r w:rsidRPr="000647AB">
              <w:t>Divide</w:t>
            </w:r>
            <w:r w:rsidR="001C0C9F">
              <w:t>n</w:t>
            </w:r>
            <w:r w:rsidRPr="000647AB">
              <w:t xml:space="preserve">d and buyback </w:t>
            </w:r>
            <w:proofErr w:type="spellStart"/>
            <w:r w:rsidRPr="000647AB">
              <w:t>payouts</w:t>
            </w:r>
            <w:proofErr w:type="spellEnd"/>
            <w:r w:rsidRPr="000647AB">
              <w:t xml:space="preserve">, </w:t>
            </w:r>
            <w:proofErr w:type="spellStart"/>
            <w:r w:rsidRPr="000647AB">
              <w:t>US$bn</w:t>
            </w:r>
            <w:proofErr w:type="spellEnd"/>
          </w:p>
        </w:tc>
        <w:tc>
          <w:tcPr>
            <w:tcW w:w="1457" w:type="dxa"/>
            <w:hideMark/>
          </w:tcPr>
          <w:p w14:paraId="74D8D0A7" w14:textId="49532830" w:rsidR="00F941D9" w:rsidRPr="000647AB" w:rsidRDefault="00F941D9" w:rsidP="00A34463">
            <w:pPr>
              <w:pStyle w:val="Tableheading1"/>
            </w:pPr>
            <w:r w:rsidRPr="000647AB">
              <w:t>Pre</w:t>
            </w:r>
            <w:r w:rsidR="001C0C9F">
              <w:t>-</w:t>
            </w:r>
            <w:r w:rsidRPr="000647AB">
              <w:t xml:space="preserve">tax income before redistribution, </w:t>
            </w:r>
            <w:proofErr w:type="spellStart"/>
            <w:r w:rsidRPr="000647AB">
              <w:t>US$bn</w:t>
            </w:r>
            <w:proofErr w:type="spellEnd"/>
          </w:p>
        </w:tc>
        <w:tc>
          <w:tcPr>
            <w:tcW w:w="1393" w:type="dxa"/>
            <w:hideMark/>
          </w:tcPr>
          <w:p w14:paraId="3CC984E3" w14:textId="772302E3" w:rsidR="00F941D9" w:rsidRPr="000647AB" w:rsidRDefault="00F941D9" w:rsidP="00A34463">
            <w:pPr>
              <w:pStyle w:val="Tableheading1"/>
            </w:pPr>
            <w:r w:rsidRPr="000647AB">
              <w:t>Pre</w:t>
            </w:r>
            <w:r w:rsidR="001C0C9F">
              <w:t>-</w:t>
            </w:r>
            <w:r w:rsidRPr="000647AB">
              <w:t>tax income after redistribution</w:t>
            </w:r>
          </w:p>
        </w:tc>
        <w:tc>
          <w:tcPr>
            <w:tcW w:w="1418" w:type="dxa"/>
            <w:hideMark/>
          </w:tcPr>
          <w:p w14:paraId="19FBD9CD" w14:textId="4D080E1F" w:rsidR="00E26A97" w:rsidRPr="000647AB" w:rsidRDefault="00F941D9" w:rsidP="00A34463">
            <w:pPr>
              <w:pStyle w:val="Tableheading1"/>
            </w:pPr>
            <w:r w:rsidRPr="000647AB">
              <w:t>Share of pre</w:t>
            </w:r>
            <w:r w:rsidR="001C0C9F">
              <w:t>-</w:t>
            </w:r>
            <w:r w:rsidRPr="000647AB">
              <w:t>tax income before redistribution</w:t>
            </w:r>
          </w:p>
        </w:tc>
        <w:tc>
          <w:tcPr>
            <w:tcW w:w="1393" w:type="dxa"/>
            <w:hideMark/>
          </w:tcPr>
          <w:p w14:paraId="6DDF3F13" w14:textId="12A7A6D2" w:rsidR="00F941D9" w:rsidRPr="000647AB" w:rsidRDefault="00F941D9" w:rsidP="00A34463">
            <w:pPr>
              <w:pStyle w:val="Tableheading1"/>
            </w:pPr>
            <w:r w:rsidRPr="000647AB">
              <w:t>Share of pre</w:t>
            </w:r>
            <w:r w:rsidR="001C0C9F">
              <w:t>-</w:t>
            </w:r>
            <w:r w:rsidRPr="000647AB">
              <w:t>tax income after redistribution</w:t>
            </w:r>
          </w:p>
        </w:tc>
      </w:tr>
      <w:tr w:rsidR="00F941D9" w:rsidRPr="000647AB" w14:paraId="368C5F77" w14:textId="77777777" w:rsidTr="00A34463">
        <w:trPr>
          <w:trHeight w:val="290"/>
        </w:trPr>
        <w:tc>
          <w:tcPr>
            <w:tcW w:w="1282" w:type="dxa"/>
            <w:noWrap/>
            <w:hideMark/>
          </w:tcPr>
          <w:p w14:paraId="5C7E9B79" w14:textId="3AF9C87C" w:rsidR="00F941D9" w:rsidRPr="000647AB" w:rsidRDefault="00F941D9" w:rsidP="00A34463">
            <w:pPr>
              <w:pStyle w:val="Tableheading2"/>
            </w:pPr>
            <w:r w:rsidRPr="000647AB">
              <w:t>B</w:t>
            </w:r>
            <w:r w:rsidR="001C0C9F">
              <w:t xml:space="preserve">ottom </w:t>
            </w:r>
            <w:r w:rsidRPr="000647AB">
              <w:t>40</w:t>
            </w:r>
            <w:r w:rsidR="00E26A97">
              <w:t>%</w:t>
            </w:r>
            <w:r w:rsidRPr="000647AB">
              <w:t xml:space="preserve"> share</w:t>
            </w:r>
          </w:p>
        </w:tc>
        <w:tc>
          <w:tcPr>
            <w:tcW w:w="980" w:type="dxa"/>
            <w:noWrap/>
            <w:hideMark/>
          </w:tcPr>
          <w:p w14:paraId="001F6327" w14:textId="77777777" w:rsidR="00F941D9" w:rsidRPr="000647AB" w:rsidRDefault="00F941D9" w:rsidP="00932E4B">
            <w:pPr>
              <w:pStyle w:val="Tabletext"/>
            </w:pPr>
            <w:r w:rsidRPr="000647AB">
              <w:t>28.7</w:t>
            </w:r>
          </w:p>
        </w:tc>
        <w:tc>
          <w:tcPr>
            <w:tcW w:w="1457" w:type="dxa"/>
            <w:noWrap/>
            <w:hideMark/>
          </w:tcPr>
          <w:p w14:paraId="4F2B7BC0" w14:textId="52D8F216" w:rsidR="00F941D9" w:rsidRPr="000647AB" w:rsidRDefault="00F941D9" w:rsidP="00932E4B">
            <w:pPr>
              <w:pStyle w:val="Tabletext"/>
            </w:pPr>
            <w:r w:rsidRPr="000647AB">
              <w:t>9,945</w:t>
            </w:r>
          </w:p>
        </w:tc>
        <w:tc>
          <w:tcPr>
            <w:tcW w:w="1393" w:type="dxa"/>
            <w:noWrap/>
            <w:hideMark/>
          </w:tcPr>
          <w:p w14:paraId="52375183" w14:textId="1A90CFAA" w:rsidR="00F941D9" w:rsidRPr="000647AB" w:rsidRDefault="00F941D9" w:rsidP="00932E4B">
            <w:pPr>
              <w:pStyle w:val="Tabletext"/>
            </w:pPr>
            <w:r w:rsidRPr="000647AB">
              <w:t>12,384</w:t>
            </w:r>
          </w:p>
        </w:tc>
        <w:tc>
          <w:tcPr>
            <w:tcW w:w="1418" w:type="dxa"/>
            <w:noWrap/>
            <w:hideMark/>
          </w:tcPr>
          <w:p w14:paraId="2F3EF1DF" w14:textId="44B7909E" w:rsidR="00F941D9" w:rsidRPr="000647AB" w:rsidRDefault="00F941D9" w:rsidP="00932E4B">
            <w:pPr>
              <w:pStyle w:val="Tabletext"/>
            </w:pPr>
            <w:r w:rsidRPr="000647AB">
              <w:t>4.8</w:t>
            </w:r>
            <w:r w:rsidR="00E26A97">
              <w:t>%</w:t>
            </w:r>
          </w:p>
        </w:tc>
        <w:tc>
          <w:tcPr>
            <w:tcW w:w="1393" w:type="dxa"/>
            <w:noWrap/>
            <w:hideMark/>
          </w:tcPr>
          <w:p w14:paraId="1CD1C557" w14:textId="12D64A95" w:rsidR="00F941D9" w:rsidRPr="000647AB" w:rsidRDefault="00F941D9" w:rsidP="00932E4B">
            <w:pPr>
              <w:pStyle w:val="Tabletext"/>
            </w:pPr>
            <w:r w:rsidRPr="000647AB">
              <w:t>5.9</w:t>
            </w:r>
            <w:r w:rsidR="00E26A97">
              <w:t>%</w:t>
            </w:r>
          </w:p>
        </w:tc>
      </w:tr>
      <w:tr w:rsidR="00F941D9" w:rsidRPr="000647AB" w14:paraId="0D3FC64B" w14:textId="77777777" w:rsidTr="00A34463">
        <w:trPr>
          <w:trHeight w:val="290"/>
        </w:trPr>
        <w:tc>
          <w:tcPr>
            <w:tcW w:w="1282" w:type="dxa"/>
            <w:noWrap/>
            <w:hideMark/>
          </w:tcPr>
          <w:p w14:paraId="42372F4C" w14:textId="2EDC013C" w:rsidR="00F941D9" w:rsidRPr="000647AB" w:rsidRDefault="00F941D9" w:rsidP="00A34463">
            <w:pPr>
              <w:pStyle w:val="Tableheading2"/>
            </w:pPr>
            <w:r w:rsidRPr="000647AB">
              <w:t>Top 10</w:t>
            </w:r>
            <w:r w:rsidR="00E26A97">
              <w:t>%</w:t>
            </w:r>
            <w:r w:rsidRPr="000647AB">
              <w:t xml:space="preserve"> share</w:t>
            </w:r>
          </w:p>
        </w:tc>
        <w:tc>
          <w:tcPr>
            <w:tcW w:w="980" w:type="dxa"/>
            <w:noWrap/>
            <w:hideMark/>
          </w:tcPr>
          <w:p w14:paraId="5A1E52FF" w14:textId="457DC6D3" w:rsidR="00F941D9" w:rsidRPr="000647AB" w:rsidRDefault="00F941D9" w:rsidP="00932E4B">
            <w:pPr>
              <w:pStyle w:val="Tabletext"/>
            </w:pPr>
            <w:r w:rsidRPr="000647AB">
              <w:t>2</w:t>
            </w:r>
            <w:r w:rsidR="001D0DD1">
              <w:t>,</w:t>
            </w:r>
            <w:r w:rsidRPr="000647AB">
              <w:t>440</w:t>
            </w:r>
            <w:r w:rsidR="001D0DD1">
              <w:t>.0</w:t>
            </w:r>
          </w:p>
        </w:tc>
        <w:tc>
          <w:tcPr>
            <w:tcW w:w="1457" w:type="dxa"/>
            <w:noWrap/>
            <w:hideMark/>
          </w:tcPr>
          <w:p w14:paraId="5862D90D" w14:textId="5BFBE35E" w:rsidR="00F941D9" w:rsidRPr="000647AB" w:rsidRDefault="00F941D9" w:rsidP="00932E4B">
            <w:pPr>
              <w:pStyle w:val="Tabletext"/>
            </w:pPr>
            <w:r w:rsidRPr="000647AB">
              <w:t>109,954</w:t>
            </w:r>
          </w:p>
        </w:tc>
        <w:tc>
          <w:tcPr>
            <w:tcW w:w="1393" w:type="dxa"/>
            <w:noWrap/>
            <w:hideMark/>
          </w:tcPr>
          <w:p w14:paraId="632DAE73" w14:textId="01DFD1EB" w:rsidR="00F941D9" w:rsidRPr="000647AB" w:rsidRDefault="00F941D9" w:rsidP="00932E4B">
            <w:pPr>
              <w:pStyle w:val="Tabletext"/>
            </w:pPr>
            <w:r w:rsidRPr="000647AB">
              <w:t>107,514</w:t>
            </w:r>
          </w:p>
        </w:tc>
        <w:tc>
          <w:tcPr>
            <w:tcW w:w="1418" w:type="dxa"/>
            <w:noWrap/>
            <w:hideMark/>
          </w:tcPr>
          <w:p w14:paraId="6A8A4CBD" w14:textId="35B87601" w:rsidR="00F941D9" w:rsidRPr="000647AB" w:rsidRDefault="00F941D9" w:rsidP="00932E4B">
            <w:pPr>
              <w:pStyle w:val="Tabletext"/>
            </w:pPr>
            <w:r w:rsidRPr="000647AB">
              <w:t>52.8</w:t>
            </w:r>
            <w:r w:rsidR="00E26A97">
              <w:t>%</w:t>
            </w:r>
          </w:p>
        </w:tc>
        <w:tc>
          <w:tcPr>
            <w:tcW w:w="1393" w:type="dxa"/>
            <w:noWrap/>
            <w:hideMark/>
          </w:tcPr>
          <w:p w14:paraId="56AEDC21" w14:textId="5A2EB390" w:rsidR="00F941D9" w:rsidRPr="000647AB" w:rsidRDefault="00F941D9" w:rsidP="00932E4B">
            <w:pPr>
              <w:pStyle w:val="Tabletext"/>
            </w:pPr>
            <w:r w:rsidRPr="000647AB">
              <w:t>51.6</w:t>
            </w:r>
            <w:r w:rsidR="00E26A97">
              <w:t>%</w:t>
            </w:r>
          </w:p>
        </w:tc>
      </w:tr>
      <w:tr w:rsidR="00F941D9" w:rsidRPr="000647AB" w14:paraId="0EB60BF5" w14:textId="77777777" w:rsidTr="00A34463">
        <w:trPr>
          <w:trHeight w:val="290"/>
        </w:trPr>
        <w:tc>
          <w:tcPr>
            <w:tcW w:w="1282" w:type="dxa"/>
            <w:noWrap/>
            <w:hideMark/>
          </w:tcPr>
          <w:p w14:paraId="62A6D8BA" w14:textId="77777777" w:rsidR="00F941D9" w:rsidRPr="000647AB" w:rsidRDefault="00F941D9" w:rsidP="00A34463">
            <w:pPr>
              <w:pStyle w:val="Tableheading2"/>
            </w:pPr>
            <w:r w:rsidRPr="000647AB">
              <w:t>Global</w:t>
            </w:r>
          </w:p>
        </w:tc>
        <w:tc>
          <w:tcPr>
            <w:tcW w:w="980" w:type="dxa"/>
            <w:noWrap/>
            <w:hideMark/>
          </w:tcPr>
          <w:p w14:paraId="35D53B3A" w14:textId="0284E484" w:rsidR="00F941D9" w:rsidRPr="000647AB" w:rsidRDefault="00F941D9" w:rsidP="00932E4B">
            <w:pPr>
              <w:pStyle w:val="Tabletext"/>
            </w:pPr>
          </w:p>
        </w:tc>
        <w:tc>
          <w:tcPr>
            <w:tcW w:w="1457" w:type="dxa"/>
            <w:noWrap/>
            <w:hideMark/>
          </w:tcPr>
          <w:p w14:paraId="504DE9E0" w14:textId="77E039C5" w:rsidR="00F941D9" w:rsidRPr="000647AB" w:rsidRDefault="00F941D9" w:rsidP="00932E4B">
            <w:pPr>
              <w:pStyle w:val="Tabletext"/>
            </w:pPr>
            <w:r w:rsidRPr="000647AB">
              <w:t>208,375</w:t>
            </w:r>
          </w:p>
        </w:tc>
        <w:tc>
          <w:tcPr>
            <w:tcW w:w="1393" w:type="dxa"/>
            <w:noWrap/>
            <w:hideMark/>
          </w:tcPr>
          <w:p w14:paraId="58120CFE" w14:textId="78FB0F34" w:rsidR="00F941D9" w:rsidRPr="000647AB" w:rsidRDefault="00F941D9" w:rsidP="00932E4B">
            <w:pPr>
              <w:pStyle w:val="Tabletext"/>
            </w:pPr>
            <w:r w:rsidRPr="000647AB">
              <w:t>208,375</w:t>
            </w:r>
          </w:p>
        </w:tc>
        <w:tc>
          <w:tcPr>
            <w:tcW w:w="1418" w:type="dxa"/>
            <w:noWrap/>
            <w:hideMark/>
          </w:tcPr>
          <w:p w14:paraId="47894537" w14:textId="212CA164" w:rsidR="00F941D9" w:rsidRPr="000647AB" w:rsidRDefault="00F941D9" w:rsidP="00932E4B">
            <w:pPr>
              <w:pStyle w:val="Tabletext"/>
            </w:pPr>
            <w:r w:rsidRPr="000647AB">
              <w:t>100</w:t>
            </w:r>
            <w:r w:rsidR="00E26A97">
              <w:t>%</w:t>
            </w:r>
          </w:p>
        </w:tc>
        <w:tc>
          <w:tcPr>
            <w:tcW w:w="1393" w:type="dxa"/>
            <w:noWrap/>
            <w:hideMark/>
          </w:tcPr>
          <w:p w14:paraId="783119C1" w14:textId="32A805D2" w:rsidR="00F941D9" w:rsidRPr="000647AB" w:rsidRDefault="00F941D9" w:rsidP="00932E4B">
            <w:pPr>
              <w:pStyle w:val="Tabletext"/>
            </w:pPr>
            <w:r w:rsidRPr="000647AB">
              <w:t>100.0</w:t>
            </w:r>
            <w:r w:rsidR="00E26A97">
              <w:t>%</w:t>
            </w:r>
          </w:p>
        </w:tc>
      </w:tr>
      <w:tr w:rsidR="00F941D9" w:rsidRPr="000647AB" w14:paraId="6A228D3F" w14:textId="77777777" w:rsidTr="00A34463">
        <w:trPr>
          <w:trHeight w:val="290"/>
        </w:trPr>
        <w:tc>
          <w:tcPr>
            <w:tcW w:w="1282" w:type="dxa"/>
            <w:noWrap/>
            <w:hideMark/>
          </w:tcPr>
          <w:p w14:paraId="78F57FCE" w14:textId="77777777" w:rsidR="00F941D9" w:rsidRPr="000647AB" w:rsidRDefault="00F941D9" w:rsidP="00A34463">
            <w:pPr>
              <w:pStyle w:val="Tableheading2"/>
            </w:pPr>
            <w:r w:rsidRPr="000647AB">
              <w:t xml:space="preserve">Palma ratio </w:t>
            </w:r>
          </w:p>
        </w:tc>
        <w:tc>
          <w:tcPr>
            <w:tcW w:w="980" w:type="dxa"/>
            <w:noWrap/>
            <w:hideMark/>
          </w:tcPr>
          <w:p w14:paraId="7D34FED0" w14:textId="52834549" w:rsidR="00F941D9" w:rsidRPr="000647AB" w:rsidRDefault="00F941D9" w:rsidP="00932E4B">
            <w:pPr>
              <w:pStyle w:val="Tabletext"/>
            </w:pPr>
          </w:p>
        </w:tc>
        <w:tc>
          <w:tcPr>
            <w:tcW w:w="1457" w:type="dxa"/>
            <w:noWrap/>
            <w:hideMark/>
          </w:tcPr>
          <w:p w14:paraId="752070DD" w14:textId="1105E40E" w:rsidR="00F941D9" w:rsidRPr="000647AB" w:rsidRDefault="00F941D9" w:rsidP="00932E4B">
            <w:pPr>
              <w:pStyle w:val="Tabletext"/>
            </w:pPr>
          </w:p>
        </w:tc>
        <w:tc>
          <w:tcPr>
            <w:tcW w:w="1393" w:type="dxa"/>
            <w:noWrap/>
            <w:hideMark/>
          </w:tcPr>
          <w:p w14:paraId="7896BF80" w14:textId="2A0A9B18" w:rsidR="00F941D9" w:rsidRPr="000647AB" w:rsidRDefault="00F941D9" w:rsidP="00932E4B">
            <w:pPr>
              <w:pStyle w:val="Tabletext"/>
            </w:pPr>
          </w:p>
        </w:tc>
        <w:tc>
          <w:tcPr>
            <w:tcW w:w="1418" w:type="dxa"/>
            <w:noWrap/>
            <w:hideMark/>
          </w:tcPr>
          <w:p w14:paraId="4A3D7D06" w14:textId="77777777" w:rsidR="00F941D9" w:rsidRPr="000647AB" w:rsidRDefault="00F941D9" w:rsidP="00932E4B">
            <w:pPr>
              <w:pStyle w:val="Tabletext"/>
            </w:pPr>
            <w:r w:rsidRPr="000647AB">
              <w:t>11.1</w:t>
            </w:r>
          </w:p>
        </w:tc>
        <w:tc>
          <w:tcPr>
            <w:tcW w:w="1393" w:type="dxa"/>
            <w:noWrap/>
            <w:hideMark/>
          </w:tcPr>
          <w:p w14:paraId="33F21BD5" w14:textId="77777777" w:rsidR="00F941D9" w:rsidRPr="000647AB" w:rsidRDefault="00F941D9" w:rsidP="00932E4B">
            <w:pPr>
              <w:pStyle w:val="Tabletext"/>
            </w:pPr>
            <w:r w:rsidRPr="000647AB">
              <w:t>8.7</w:t>
            </w:r>
          </w:p>
        </w:tc>
      </w:tr>
      <w:tr w:rsidR="00F941D9" w:rsidRPr="000647AB" w14:paraId="0414BDD7" w14:textId="77777777" w:rsidTr="00A34463">
        <w:trPr>
          <w:trHeight w:val="290"/>
        </w:trPr>
        <w:tc>
          <w:tcPr>
            <w:tcW w:w="1282" w:type="dxa"/>
            <w:noWrap/>
            <w:hideMark/>
          </w:tcPr>
          <w:p w14:paraId="4A91A60B" w14:textId="066D0173" w:rsidR="00F941D9" w:rsidRPr="000647AB" w:rsidRDefault="00F941D9" w:rsidP="00A34463">
            <w:pPr>
              <w:pStyle w:val="Tableheading2"/>
            </w:pPr>
            <w:r w:rsidRPr="000647AB">
              <w:t>Palma ratio change</w:t>
            </w:r>
          </w:p>
        </w:tc>
        <w:tc>
          <w:tcPr>
            <w:tcW w:w="6641" w:type="dxa"/>
            <w:gridSpan w:val="5"/>
            <w:noWrap/>
            <w:hideMark/>
          </w:tcPr>
          <w:p w14:paraId="509BCD03" w14:textId="1CF78D27" w:rsidR="00F941D9" w:rsidRPr="000647AB" w:rsidRDefault="00F941D9" w:rsidP="00A34463">
            <w:pPr>
              <w:pStyle w:val="Tabletext"/>
            </w:pPr>
            <w:r w:rsidRPr="000647AB">
              <w:t>-21.48</w:t>
            </w:r>
            <w:r w:rsidR="001D0DD1">
              <w:t>%</w:t>
            </w:r>
          </w:p>
        </w:tc>
      </w:tr>
    </w:tbl>
    <w:p w14:paraId="3D8FE285" w14:textId="78EB1491" w:rsidR="00FE3727" w:rsidRPr="00FE3727" w:rsidRDefault="00F941D9" w:rsidP="00FE3727">
      <w:pPr>
        <w:pStyle w:val="Text"/>
        <w:rPr>
          <w:lang w:val="en-US"/>
        </w:rPr>
      </w:pPr>
      <w:r>
        <w:rPr>
          <w:lang w:val="en-US"/>
        </w:rPr>
        <w:t>Based on the data from Our World in Data</w:t>
      </w:r>
      <w:r w:rsidRPr="000C06E6">
        <w:rPr>
          <w:vertAlign w:val="superscript"/>
          <w:lang w:val="en-US"/>
        </w:rPr>
        <w:endnoteReference w:id="48"/>
      </w:r>
      <w:r w:rsidRPr="000C06E6">
        <w:rPr>
          <w:lang w:val="en-US"/>
        </w:rPr>
        <w:t xml:space="preserve"> (wh</w:t>
      </w:r>
      <w:r w:rsidR="001C0C9F">
        <w:rPr>
          <w:lang w:val="en-US"/>
        </w:rPr>
        <w:t>ich</w:t>
      </w:r>
      <w:r w:rsidRPr="000C06E6">
        <w:rPr>
          <w:lang w:val="en-US"/>
        </w:rPr>
        <w:t xml:space="preserve"> source</w:t>
      </w:r>
      <w:r w:rsidR="001C0C9F">
        <w:rPr>
          <w:lang w:val="en-US"/>
        </w:rPr>
        <w:t>s</w:t>
      </w:r>
      <w:r w:rsidRPr="000C06E6">
        <w:rPr>
          <w:lang w:val="en-US"/>
        </w:rPr>
        <w:t xml:space="preserve"> </w:t>
      </w:r>
      <w:r w:rsidR="001C0C9F">
        <w:rPr>
          <w:lang w:val="en-US"/>
        </w:rPr>
        <w:t>its</w:t>
      </w:r>
      <w:r w:rsidR="001C0C9F" w:rsidRPr="000C06E6">
        <w:rPr>
          <w:lang w:val="en-US"/>
        </w:rPr>
        <w:t xml:space="preserve"> </w:t>
      </w:r>
      <w:r w:rsidRPr="000C06E6">
        <w:rPr>
          <w:lang w:val="en-US"/>
        </w:rPr>
        <w:t xml:space="preserve">data from </w:t>
      </w:r>
      <w:r>
        <w:rPr>
          <w:lang w:val="en-US"/>
        </w:rPr>
        <w:t xml:space="preserve">the </w:t>
      </w:r>
      <w:r w:rsidRPr="000C06E6">
        <w:rPr>
          <w:lang w:val="en-US"/>
        </w:rPr>
        <w:t>WID database), the global Palma ratio decreased by 20.9% between 1980</w:t>
      </w:r>
      <w:r w:rsidR="00E26A97">
        <w:rPr>
          <w:lang w:val="en-US"/>
        </w:rPr>
        <w:t xml:space="preserve"> and </w:t>
      </w:r>
      <w:r w:rsidRPr="000C06E6">
        <w:rPr>
          <w:lang w:val="en-US"/>
        </w:rPr>
        <w:t>2021</w:t>
      </w:r>
      <w:r>
        <w:rPr>
          <w:lang w:val="en-US"/>
        </w:rPr>
        <w:t>, from 13.9 to 11</w:t>
      </w:r>
      <w:r w:rsidR="001D0DD1">
        <w:rPr>
          <w:lang w:val="en-US"/>
        </w:rPr>
        <w:t>.</w:t>
      </w:r>
      <w:r>
        <w:rPr>
          <w:lang w:val="en-US"/>
        </w:rPr>
        <w:t xml:space="preserve"> </w:t>
      </w:r>
      <w:r w:rsidR="001D0DD1">
        <w:rPr>
          <w:lang w:val="en-US"/>
        </w:rPr>
        <w:t xml:space="preserve">This is </w:t>
      </w:r>
      <w:proofErr w:type="gramStart"/>
      <w:r>
        <w:rPr>
          <w:lang w:val="en-US"/>
        </w:rPr>
        <w:t>similar to</w:t>
      </w:r>
      <w:proofErr w:type="gramEnd"/>
      <w:r>
        <w:rPr>
          <w:lang w:val="en-US"/>
        </w:rPr>
        <w:t xml:space="preserve"> the reduction observed if </w:t>
      </w:r>
      <w:r w:rsidRPr="000C06E6">
        <w:rPr>
          <w:lang w:val="en-US"/>
        </w:rPr>
        <w:t>the</w:t>
      </w:r>
      <w:r>
        <w:rPr>
          <w:lang w:val="en-US"/>
        </w:rPr>
        <w:t xml:space="preserve"> </w:t>
      </w:r>
      <w:r w:rsidRPr="000C06E6">
        <w:rPr>
          <w:lang w:val="en-US"/>
        </w:rPr>
        <w:t xml:space="preserve">dividend payouts </w:t>
      </w:r>
      <w:r>
        <w:rPr>
          <w:lang w:val="en-US"/>
        </w:rPr>
        <w:t xml:space="preserve">and buybacks </w:t>
      </w:r>
      <w:r w:rsidRPr="000C06E6">
        <w:rPr>
          <w:lang w:val="en-US"/>
        </w:rPr>
        <w:t xml:space="preserve">of the richest 10% </w:t>
      </w:r>
      <w:r>
        <w:rPr>
          <w:lang w:val="en-US"/>
        </w:rPr>
        <w:t xml:space="preserve">were to be </w:t>
      </w:r>
      <w:r w:rsidR="00E26A97">
        <w:rPr>
          <w:lang w:val="en-US"/>
        </w:rPr>
        <w:t>re</w:t>
      </w:r>
      <w:r>
        <w:rPr>
          <w:lang w:val="en-US"/>
        </w:rPr>
        <w:t>distributed to the bottom 40%.</w:t>
      </w:r>
    </w:p>
    <w:p w14:paraId="7F79D0A0" w14:textId="07E34A79" w:rsidR="00F941D9" w:rsidRPr="00FE3727" w:rsidRDefault="23FA63EA" w:rsidP="00FE3727">
      <w:pPr>
        <w:pStyle w:val="Text"/>
        <w:rPr>
          <w:b/>
          <w:bCs/>
        </w:rPr>
      </w:pPr>
      <w:r w:rsidRPr="00FE3727">
        <w:rPr>
          <w:b/>
          <w:bCs/>
        </w:rPr>
        <w:t>2.10</w:t>
      </w:r>
      <w:r w:rsidR="00932E4B">
        <w:rPr>
          <w:b/>
          <w:bCs/>
        </w:rPr>
        <w:t>.</w:t>
      </w:r>
      <w:r w:rsidRPr="00FE3727">
        <w:rPr>
          <w:b/>
          <w:bCs/>
        </w:rPr>
        <w:t xml:space="preserve"> Just half of the </w:t>
      </w:r>
      <w:r w:rsidR="6D97B5CF" w:rsidRPr="00FE3727">
        <w:rPr>
          <w:b/>
          <w:bCs/>
        </w:rPr>
        <w:t xml:space="preserve">amount from </w:t>
      </w:r>
      <w:proofErr w:type="spellStart"/>
      <w:r w:rsidRPr="00FE3727">
        <w:rPr>
          <w:b/>
          <w:bCs/>
        </w:rPr>
        <w:t>payouts</w:t>
      </w:r>
      <w:proofErr w:type="spellEnd"/>
      <w:r w:rsidRPr="00FE3727">
        <w:rPr>
          <w:b/>
          <w:bCs/>
        </w:rPr>
        <w:t xml:space="preserve"> to the top 10% in 2022 could </w:t>
      </w:r>
      <w:r w:rsidR="00882DB3" w:rsidRPr="00FE3727">
        <w:rPr>
          <w:b/>
          <w:bCs/>
        </w:rPr>
        <w:t>close</w:t>
      </w:r>
      <w:r w:rsidRPr="00FE3727">
        <w:rPr>
          <w:b/>
          <w:bCs/>
        </w:rPr>
        <w:t xml:space="preserve"> global poverty (defined as US$6.85 a day</w:t>
      </w:r>
      <w:r w:rsidR="6D97B5CF" w:rsidRPr="00FE3727">
        <w:rPr>
          <w:b/>
          <w:bCs/>
        </w:rPr>
        <w:t>,</w:t>
      </w:r>
      <w:r w:rsidRPr="00FE3727">
        <w:rPr>
          <w:b/>
          <w:bCs/>
        </w:rPr>
        <w:t xml:space="preserve"> 2017 PPP), and a mere 1.6% of the </w:t>
      </w:r>
      <w:proofErr w:type="spellStart"/>
      <w:r w:rsidRPr="00FE3727">
        <w:rPr>
          <w:b/>
          <w:bCs/>
        </w:rPr>
        <w:t>payouts</w:t>
      </w:r>
      <w:proofErr w:type="spellEnd"/>
      <w:r w:rsidRPr="00FE3727">
        <w:rPr>
          <w:b/>
          <w:bCs/>
        </w:rPr>
        <w:t xml:space="preserve"> could eliminate extreme poverty as defined by the World Bank (US$2.15 a day</w:t>
      </w:r>
      <w:r w:rsidR="6D97B5CF" w:rsidRPr="00FE3727">
        <w:rPr>
          <w:b/>
          <w:bCs/>
        </w:rPr>
        <w:t>,</w:t>
      </w:r>
      <w:r w:rsidRPr="00FE3727">
        <w:rPr>
          <w:b/>
          <w:bCs/>
        </w:rPr>
        <w:t xml:space="preserve"> 2017 PPP)</w:t>
      </w:r>
      <w:r w:rsidR="00F941D9" w:rsidRPr="00FE3727">
        <w:rPr>
          <w:b/>
          <w:bCs/>
        </w:rPr>
        <w:t>.</w:t>
      </w:r>
    </w:p>
    <w:p w14:paraId="6929E419" w14:textId="5A91BE8F" w:rsidR="00850BCD" w:rsidRPr="00675266" w:rsidRDefault="00F941D9" w:rsidP="00FE3727">
      <w:pPr>
        <w:pStyle w:val="Text"/>
      </w:pPr>
      <w:r>
        <w:rPr>
          <w:lang w:val="en-US"/>
        </w:rPr>
        <w:t>P</w:t>
      </w:r>
      <w:r w:rsidRPr="00652F25">
        <w:rPr>
          <w:lang w:val="en-US"/>
        </w:rPr>
        <w:t>overty data is from the World Bank.</w:t>
      </w:r>
      <w:r w:rsidRPr="00652F25">
        <w:rPr>
          <w:vertAlign w:val="superscript"/>
          <w:lang w:val="en-US"/>
        </w:rPr>
        <w:endnoteReference w:id="49"/>
      </w:r>
      <w:r w:rsidRPr="00652F25">
        <w:rPr>
          <w:lang w:val="en-US"/>
        </w:rPr>
        <w:t xml:space="preserve"> In 2022, the amount that accrued to the richest 10% as dividends and share buybacks was US$2.44 trillion (see stat </w:t>
      </w:r>
      <w:r>
        <w:rPr>
          <w:lang w:val="en-US"/>
        </w:rPr>
        <w:t xml:space="preserve">2.9 </w:t>
      </w:r>
      <w:r w:rsidR="00850BCD">
        <w:rPr>
          <w:lang w:val="en-US"/>
        </w:rPr>
        <w:t>on p.2</w:t>
      </w:r>
      <w:r w:rsidR="00675266">
        <w:rPr>
          <w:lang w:val="en-US"/>
        </w:rPr>
        <w:t>1</w:t>
      </w:r>
      <w:r>
        <w:rPr>
          <w:lang w:val="en-US"/>
        </w:rPr>
        <w:t>).</w:t>
      </w:r>
    </w:p>
    <w:p w14:paraId="297EEC4E" w14:textId="7822C699" w:rsidR="00F941D9" w:rsidRDefault="00F941D9" w:rsidP="00FE3727">
      <w:pPr>
        <w:pStyle w:val="Text"/>
        <w:rPr>
          <w:lang w:val="en-US"/>
        </w:rPr>
      </w:pPr>
      <w:r w:rsidRPr="00652F25">
        <w:rPr>
          <w:lang w:val="en-US"/>
        </w:rPr>
        <w:t xml:space="preserve">To calculate the amount needed to end poverty at $6.85 PPP a day, we first convert the poverty line at $6.85 PPP to </w:t>
      </w:r>
      <w:r>
        <w:rPr>
          <w:lang w:val="en-US"/>
        </w:rPr>
        <w:t xml:space="preserve">the </w:t>
      </w:r>
      <w:r w:rsidRPr="00652F25">
        <w:rPr>
          <w:lang w:val="en-US"/>
        </w:rPr>
        <w:t>local currency unit</w:t>
      </w:r>
      <w:r>
        <w:rPr>
          <w:lang w:val="en-US"/>
        </w:rPr>
        <w:t xml:space="preserve"> (LCU)</w:t>
      </w:r>
      <w:r w:rsidRPr="00652F25">
        <w:rPr>
          <w:lang w:val="en-US"/>
        </w:rPr>
        <w:t>. To do this</w:t>
      </w:r>
      <w:r w:rsidR="001D0DD1">
        <w:rPr>
          <w:lang w:val="en-US"/>
        </w:rPr>
        <w:t>,</w:t>
      </w:r>
      <w:r w:rsidRPr="00652F25">
        <w:rPr>
          <w:lang w:val="en-US"/>
        </w:rPr>
        <w:t xml:space="preserve"> we use the PPP values from the </w:t>
      </w:r>
      <w:r>
        <w:rPr>
          <w:lang w:val="en-US"/>
        </w:rPr>
        <w:t>W</w:t>
      </w:r>
      <w:r w:rsidRPr="00652F25">
        <w:rPr>
          <w:lang w:val="en-US"/>
        </w:rPr>
        <w:t xml:space="preserve">orld </w:t>
      </w:r>
      <w:r>
        <w:rPr>
          <w:lang w:val="en-US"/>
        </w:rPr>
        <w:t>B</w:t>
      </w:r>
      <w:r w:rsidRPr="00652F25">
        <w:rPr>
          <w:lang w:val="en-US"/>
        </w:rPr>
        <w:t xml:space="preserve">ank for the most recent year </w:t>
      </w:r>
      <w:r>
        <w:rPr>
          <w:lang w:val="en-US"/>
        </w:rPr>
        <w:t xml:space="preserve">and </w:t>
      </w:r>
      <w:r w:rsidRPr="00652F25">
        <w:rPr>
          <w:lang w:val="en-US"/>
        </w:rPr>
        <w:t xml:space="preserve">then multiply by </w:t>
      </w:r>
      <w:r>
        <w:rPr>
          <w:lang w:val="en-US"/>
        </w:rPr>
        <w:t>US</w:t>
      </w:r>
      <w:r w:rsidRPr="00652F25">
        <w:rPr>
          <w:lang w:val="en-US"/>
        </w:rPr>
        <w:t xml:space="preserve">$6.85. We then convert this </w:t>
      </w:r>
      <w:r w:rsidR="001D0DD1">
        <w:rPr>
          <w:lang w:val="en-US"/>
        </w:rPr>
        <w:t>LCU</w:t>
      </w:r>
      <w:r w:rsidRPr="00652F25">
        <w:rPr>
          <w:lang w:val="en-US"/>
        </w:rPr>
        <w:t xml:space="preserve"> into US$ at the market exchange rate</w:t>
      </w:r>
      <w:r>
        <w:rPr>
          <w:rStyle w:val="EndnoteReference"/>
          <w:lang w:val="en-US"/>
        </w:rPr>
        <w:endnoteReference w:id="50"/>
      </w:r>
      <w:r w:rsidRPr="00652F25">
        <w:rPr>
          <w:lang w:val="en-US"/>
        </w:rPr>
        <w:t xml:space="preserve"> for October 2023</w:t>
      </w:r>
      <w:r w:rsidR="00247194">
        <w:rPr>
          <w:lang w:val="en-US"/>
        </w:rPr>
        <w:t>,</w:t>
      </w:r>
      <w:r w:rsidRPr="00652F25">
        <w:rPr>
          <w:lang w:val="en-US"/>
        </w:rPr>
        <w:t xml:space="preserve"> by dividing the poverty line at LCU with US$ at </w:t>
      </w:r>
      <w:r>
        <w:rPr>
          <w:lang w:val="en-US"/>
        </w:rPr>
        <w:t xml:space="preserve">the </w:t>
      </w:r>
      <w:r w:rsidRPr="00652F25">
        <w:rPr>
          <w:lang w:val="en-US"/>
        </w:rPr>
        <w:t xml:space="preserve">market exchange rate. </w:t>
      </w:r>
    </w:p>
    <w:p w14:paraId="11D7310B" w14:textId="4BB84381" w:rsidR="00F941D9" w:rsidRDefault="00F941D9" w:rsidP="00FE3727">
      <w:pPr>
        <w:pStyle w:val="Text"/>
        <w:rPr>
          <w:lang w:val="en-US"/>
        </w:rPr>
      </w:pPr>
      <w:r w:rsidRPr="00652F25">
        <w:rPr>
          <w:lang w:val="en-US"/>
        </w:rPr>
        <w:t>The annual amount needed to end poverty is simply the product of the poverty gap, poverty line (at US$ market exchange rate), population and 365 days. We then aggregate the values for all the countries to get the global amount needed to end poverty</w:t>
      </w:r>
      <w:r w:rsidR="00775406">
        <w:rPr>
          <w:lang w:val="en-US"/>
        </w:rPr>
        <w:t xml:space="preserve"> at US$</w:t>
      </w:r>
      <w:r w:rsidR="008508D9">
        <w:rPr>
          <w:lang w:val="en-US"/>
        </w:rPr>
        <w:t>6.85 a day</w:t>
      </w:r>
      <w:r w:rsidRPr="00652F25">
        <w:rPr>
          <w:lang w:val="en-US"/>
        </w:rPr>
        <w:t xml:space="preserve">. This gives us </w:t>
      </w:r>
      <w:r w:rsidR="00247194">
        <w:rPr>
          <w:lang w:val="en-US"/>
        </w:rPr>
        <w:t>US</w:t>
      </w:r>
      <w:r w:rsidRPr="00652F25">
        <w:rPr>
          <w:lang w:val="en-US"/>
        </w:rPr>
        <w:t>$1,148</w:t>
      </w:r>
      <w:r w:rsidR="00247194">
        <w:rPr>
          <w:lang w:val="en-US"/>
        </w:rPr>
        <w:t>bn</w:t>
      </w:r>
      <w:r w:rsidRPr="00652F25">
        <w:rPr>
          <w:lang w:val="en-US"/>
        </w:rPr>
        <w:t xml:space="preserve">, equivalent </w:t>
      </w:r>
      <w:r>
        <w:rPr>
          <w:lang w:val="en-US"/>
        </w:rPr>
        <w:t>t</w:t>
      </w:r>
      <w:r w:rsidRPr="00652F25">
        <w:rPr>
          <w:lang w:val="en-US"/>
        </w:rPr>
        <w:t xml:space="preserve">o 47% of the amount paid to the richest 10% as dividends and share buybacks. </w:t>
      </w:r>
    </w:p>
    <w:p w14:paraId="09C183D9" w14:textId="3EC97424" w:rsidR="00FE3727" w:rsidRDefault="00F941D9" w:rsidP="00FE3727">
      <w:pPr>
        <w:pStyle w:val="Text"/>
        <w:rPr>
          <w:lang w:val="en-US"/>
        </w:rPr>
      </w:pPr>
      <w:r>
        <w:rPr>
          <w:lang w:val="en-US"/>
        </w:rPr>
        <w:t>F</w:t>
      </w:r>
      <w:r w:rsidRPr="00652F25">
        <w:rPr>
          <w:lang w:val="en-US"/>
        </w:rPr>
        <w:t>ollow</w:t>
      </w:r>
      <w:r>
        <w:rPr>
          <w:lang w:val="en-US"/>
        </w:rPr>
        <w:t xml:space="preserve">ing </w:t>
      </w:r>
      <w:r w:rsidRPr="00652F25">
        <w:rPr>
          <w:lang w:val="en-US"/>
        </w:rPr>
        <w:t xml:space="preserve">the same </w:t>
      </w:r>
      <w:r>
        <w:rPr>
          <w:lang w:val="en-US"/>
        </w:rPr>
        <w:t>method,</w:t>
      </w:r>
      <w:r w:rsidRPr="00652F25">
        <w:rPr>
          <w:lang w:val="en-US"/>
        </w:rPr>
        <w:t xml:space="preserve"> </w:t>
      </w:r>
      <w:r>
        <w:rPr>
          <w:lang w:val="en-US"/>
        </w:rPr>
        <w:t>t</w:t>
      </w:r>
      <w:r w:rsidRPr="00652F25">
        <w:rPr>
          <w:lang w:val="en-US"/>
        </w:rPr>
        <w:t>he amount needed to end extreme poverty at $2.15</w:t>
      </w:r>
      <w:r>
        <w:rPr>
          <w:lang w:val="en-US"/>
        </w:rPr>
        <w:t xml:space="preserve"> a </w:t>
      </w:r>
      <w:r w:rsidRPr="00652F25">
        <w:rPr>
          <w:lang w:val="en-US"/>
        </w:rPr>
        <w:t xml:space="preserve">day </w:t>
      </w:r>
      <w:r>
        <w:rPr>
          <w:lang w:val="en-US"/>
        </w:rPr>
        <w:t xml:space="preserve">is </w:t>
      </w:r>
      <w:r w:rsidRPr="00652F25">
        <w:rPr>
          <w:lang w:val="en-US"/>
        </w:rPr>
        <w:t>US$41</w:t>
      </w:r>
      <w:r w:rsidR="005C2687">
        <w:rPr>
          <w:lang w:val="en-US"/>
        </w:rPr>
        <w:t>bn</w:t>
      </w:r>
      <w:r w:rsidRPr="00652F25">
        <w:rPr>
          <w:lang w:val="en-US"/>
        </w:rPr>
        <w:t>, equivalent to 1.68% of the amount paid to the richest 10% as dividends and share buybacks</w:t>
      </w:r>
      <w:r>
        <w:rPr>
          <w:lang w:val="en-US"/>
        </w:rPr>
        <w:t>.</w:t>
      </w:r>
      <w:r w:rsidRPr="00652F25">
        <w:rPr>
          <w:lang w:val="en-US"/>
        </w:rPr>
        <w:t xml:space="preserve"> </w:t>
      </w:r>
    </w:p>
    <w:p w14:paraId="143E17E9" w14:textId="77777777" w:rsidR="00675266" w:rsidRDefault="00675266" w:rsidP="00B37B27">
      <w:pPr>
        <w:pStyle w:val="Tablecaption"/>
      </w:pPr>
    </w:p>
    <w:p w14:paraId="2B3E919F" w14:textId="4DECE5F0" w:rsidR="00F941D9" w:rsidRDefault="00F941D9" w:rsidP="00B37B27">
      <w:pPr>
        <w:pStyle w:val="Tablecaption"/>
        <w:rPr>
          <w:lang w:val="en-US"/>
        </w:rPr>
      </w:pPr>
      <w:r>
        <w:lastRenderedPageBreak/>
        <w:t xml:space="preserve">Table 2.2: </w:t>
      </w:r>
      <w:r w:rsidRPr="00825126">
        <w:t xml:space="preserve">Amount needed to end poverty at </w:t>
      </w:r>
      <w:r w:rsidR="001D0DD1" w:rsidRPr="00825126">
        <w:t>US$</w:t>
      </w:r>
      <w:r w:rsidR="001D0DD1">
        <w:t xml:space="preserve"> </w:t>
      </w:r>
      <w:r w:rsidRPr="00825126">
        <w:t xml:space="preserve">PPP and US$ market exchange rate, </w:t>
      </w:r>
      <w:proofErr w:type="spellStart"/>
      <w:r w:rsidRPr="00825126">
        <w:t>US$</w:t>
      </w:r>
      <w:proofErr w:type="gramStart"/>
      <w:r w:rsidR="005C2687">
        <w:t>bn</w:t>
      </w:r>
      <w:proofErr w:type="spellEnd"/>
      <w:proofErr w:type="gramEnd"/>
    </w:p>
    <w:tbl>
      <w:tblPr>
        <w:tblStyle w:val="TableGrid"/>
        <w:tblW w:w="0" w:type="auto"/>
        <w:tblInd w:w="-5" w:type="dxa"/>
        <w:tblLook w:val="04A0" w:firstRow="1" w:lastRow="0" w:firstColumn="1" w:lastColumn="0" w:noHBand="0" w:noVBand="1"/>
      </w:tblPr>
      <w:tblGrid>
        <w:gridCol w:w="3113"/>
        <w:gridCol w:w="1689"/>
        <w:gridCol w:w="1156"/>
        <w:gridCol w:w="1180"/>
      </w:tblGrid>
      <w:tr w:rsidR="00F941D9" w:rsidRPr="00A90092" w14:paraId="6342E29F" w14:textId="77777777" w:rsidTr="00B37B27">
        <w:trPr>
          <w:trHeight w:val="290"/>
        </w:trPr>
        <w:tc>
          <w:tcPr>
            <w:tcW w:w="3113" w:type="dxa"/>
            <w:noWrap/>
            <w:hideMark/>
          </w:tcPr>
          <w:p w14:paraId="664B518C" w14:textId="77777777" w:rsidR="00F941D9" w:rsidRPr="00A90092" w:rsidRDefault="00F941D9" w:rsidP="00B37B27">
            <w:pPr>
              <w:pStyle w:val="Tableheading1"/>
            </w:pPr>
            <w:r w:rsidRPr="00A90092">
              <w:t>Poverty line</w:t>
            </w:r>
          </w:p>
        </w:tc>
        <w:tc>
          <w:tcPr>
            <w:tcW w:w="1689" w:type="dxa"/>
            <w:noWrap/>
            <w:hideMark/>
          </w:tcPr>
          <w:p w14:paraId="72844FEF" w14:textId="10CE44AD" w:rsidR="00F941D9" w:rsidRPr="00A90092" w:rsidRDefault="008609F1" w:rsidP="00B37B27">
            <w:pPr>
              <w:pStyle w:val="Tableheading1"/>
            </w:pPr>
            <w:r>
              <w:t>US</w:t>
            </w:r>
            <w:r w:rsidR="00F941D9" w:rsidRPr="00A90092">
              <w:t>$2.15</w:t>
            </w:r>
          </w:p>
        </w:tc>
        <w:tc>
          <w:tcPr>
            <w:tcW w:w="1156" w:type="dxa"/>
            <w:noWrap/>
            <w:hideMark/>
          </w:tcPr>
          <w:p w14:paraId="58FB6920" w14:textId="65ECA9C1" w:rsidR="00F941D9" w:rsidRPr="00A90092" w:rsidRDefault="008609F1" w:rsidP="00B37B27">
            <w:pPr>
              <w:pStyle w:val="Tableheading1"/>
            </w:pPr>
            <w:r>
              <w:t>US</w:t>
            </w:r>
            <w:r w:rsidR="00F941D9" w:rsidRPr="00A90092">
              <w:t>$3.65</w:t>
            </w:r>
          </w:p>
        </w:tc>
        <w:tc>
          <w:tcPr>
            <w:tcW w:w="1180" w:type="dxa"/>
            <w:noWrap/>
            <w:hideMark/>
          </w:tcPr>
          <w:p w14:paraId="3FFCE0A5" w14:textId="4FD64804" w:rsidR="00F941D9" w:rsidRPr="00A90092" w:rsidRDefault="008609F1" w:rsidP="00B37B27">
            <w:pPr>
              <w:pStyle w:val="Tableheading1"/>
            </w:pPr>
            <w:r>
              <w:t>US</w:t>
            </w:r>
            <w:r w:rsidR="00F941D9" w:rsidRPr="00A90092">
              <w:t>$6.85</w:t>
            </w:r>
          </w:p>
        </w:tc>
      </w:tr>
      <w:tr w:rsidR="00F941D9" w:rsidRPr="00A90092" w14:paraId="23D4ABBD" w14:textId="77777777" w:rsidTr="00B37B27">
        <w:trPr>
          <w:trHeight w:val="290"/>
        </w:trPr>
        <w:tc>
          <w:tcPr>
            <w:tcW w:w="3113" w:type="dxa"/>
            <w:noWrap/>
            <w:hideMark/>
          </w:tcPr>
          <w:p w14:paraId="17FCCEF2" w14:textId="77777777" w:rsidR="00F941D9" w:rsidRPr="00A90092" w:rsidRDefault="00F941D9" w:rsidP="008609F1">
            <w:pPr>
              <w:pStyle w:val="Tableheading2"/>
            </w:pPr>
            <w:r w:rsidRPr="00A90092">
              <w:t>At US$ PPP</w:t>
            </w:r>
          </w:p>
        </w:tc>
        <w:tc>
          <w:tcPr>
            <w:tcW w:w="1689" w:type="dxa"/>
            <w:noWrap/>
            <w:hideMark/>
          </w:tcPr>
          <w:p w14:paraId="589BE3F1" w14:textId="438CD727" w:rsidR="00F941D9" w:rsidRPr="00A90092" w:rsidRDefault="00F941D9" w:rsidP="00B37B27">
            <w:pPr>
              <w:pStyle w:val="Tabletext"/>
            </w:pPr>
            <w:r w:rsidRPr="00A90092">
              <w:t>161</w:t>
            </w:r>
          </w:p>
        </w:tc>
        <w:tc>
          <w:tcPr>
            <w:tcW w:w="1156" w:type="dxa"/>
            <w:noWrap/>
            <w:hideMark/>
          </w:tcPr>
          <w:p w14:paraId="6F848012" w14:textId="221E13B9" w:rsidR="00F941D9" w:rsidRPr="00A90092" w:rsidRDefault="00F941D9" w:rsidP="00B37B27">
            <w:pPr>
              <w:pStyle w:val="Tabletext"/>
            </w:pPr>
            <w:r w:rsidRPr="00A90092">
              <w:t>834</w:t>
            </w:r>
          </w:p>
        </w:tc>
        <w:tc>
          <w:tcPr>
            <w:tcW w:w="1180" w:type="dxa"/>
            <w:noWrap/>
            <w:hideMark/>
          </w:tcPr>
          <w:p w14:paraId="4932257B" w14:textId="2676303C" w:rsidR="00F941D9" w:rsidRPr="00A90092" w:rsidRDefault="00F941D9" w:rsidP="00B37B27">
            <w:pPr>
              <w:pStyle w:val="Tabletext"/>
            </w:pPr>
            <w:r w:rsidRPr="00A90092">
              <w:t>4,068</w:t>
            </w:r>
          </w:p>
        </w:tc>
      </w:tr>
      <w:tr w:rsidR="00F941D9" w:rsidRPr="00A90092" w14:paraId="571E0746" w14:textId="77777777" w:rsidTr="00B37B27">
        <w:trPr>
          <w:trHeight w:val="290"/>
        </w:trPr>
        <w:tc>
          <w:tcPr>
            <w:tcW w:w="3113" w:type="dxa"/>
            <w:noWrap/>
            <w:hideMark/>
          </w:tcPr>
          <w:p w14:paraId="30CD3326" w14:textId="09A530F9" w:rsidR="00F941D9" w:rsidRPr="00A90092" w:rsidRDefault="00F941D9" w:rsidP="008609F1">
            <w:pPr>
              <w:pStyle w:val="Tableheading2"/>
            </w:pPr>
            <w:r w:rsidRPr="00A90092">
              <w:t xml:space="preserve">At </w:t>
            </w:r>
            <w:r w:rsidR="001D0DD1" w:rsidRPr="00A90092">
              <w:t>US$</w:t>
            </w:r>
            <w:r w:rsidR="001D0DD1">
              <w:t xml:space="preserve"> </w:t>
            </w:r>
            <w:r w:rsidR="005C2687">
              <w:t>m</w:t>
            </w:r>
            <w:r w:rsidRPr="00A90092">
              <w:t xml:space="preserve">arket exchange </w:t>
            </w:r>
            <w:r w:rsidR="001D0DD1">
              <w:t>rate</w:t>
            </w:r>
          </w:p>
        </w:tc>
        <w:tc>
          <w:tcPr>
            <w:tcW w:w="1689" w:type="dxa"/>
            <w:noWrap/>
            <w:hideMark/>
          </w:tcPr>
          <w:p w14:paraId="4B300934" w14:textId="72B8DB37" w:rsidR="00F941D9" w:rsidRPr="00A90092" w:rsidRDefault="00F941D9" w:rsidP="00B37B27">
            <w:pPr>
              <w:pStyle w:val="Tabletext"/>
            </w:pPr>
            <w:r w:rsidRPr="00A90092">
              <w:t>41</w:t>
            </w:r>
          </w:p>
        </w:tc>
        <w:tc>
          <w:tcPr>
            <w:tcW w:w="1156" w:type="dxa"/>
            <w:noWrap/>
            <w:hideMark/>
          </w:tcPr>
          <w:p w14:paraId="0CDDE5E9" w14:textId="0745FEB1" w:rsidR="00F941D9" w:rsidRPr="00A90092" w:rsidRDefault="00F941D9" w:rsidP="00B37B27">
            <w:pPr>
              <w:pStyle w:val="Tabletext"/>
            </w:pPr>
            <w:r w:rsidRPr="00A90092">
              <w:t>209</w:t>
            </w:r>
          </w:p>
        </w:tc>
        <w:tc>
          <w:tcPr>
            <w:tcW w:w="1180" w:type="dxa"/>
            <w:noWrap/>
            <w:hideMark/>
          </w:tcPr>
          <w:p w14:paraId="37C9E334" w14:textId="30045F56" w:rsidR="00F941D9" w:rsidRPr="00A90092" w:rsidRDefault="00F941D9" w:rsidP="00B37B27">
            <w:pPr>
              <w:pStyle w:val="Tabletext"/>
            </w:pPr>
            <w:r w:rsidRPr="00A90092">
              <w:t>1,148</w:t>
            </w:r>
          </w:p>
        </w:tc>
      </w:tr>
    </w:tbl>
    <w:p w14:paraId="1F4B8EB3" w14:textId="1058B0C1" w:rsidR="00F941D9" w:rsidRPr="00880CAB" w:rsidRDefault="00F941D9" w:rsidP="00880CAB">
      <w:pPr>
        <w:pStyle w:val="Text"/>
        <w:rPr>
          <w:b/>
          <w:bCs/>
        </w:rPr>
      </w:pPr>
      <w:r w:rsidRPr="00880CAB">
        <w:rPr>
          <w:b/>
          <w:bCs/>
        </w:rPr>
        <w:t>2.11</w:t>
      </w:r>
      <w:r w:rsidR="008609F1">
        <w:rPr>
          <w:b/>
          <w:bCs/>
        </w:rPr>
        <w:t>.</w:t>
      </w:r>
      <w:r w:rsidRPr="00880CAB">
        <w:rPr>
          <w:b/>
          <w:bCs/>
        </w:rPr>
        <w:t xml:space="preserve"> The world’s five largest corporations combined are valued </w:t>
      </w:r>
      <w:r w:rsidR="00882DB3" w:rsidRPr="00880CAB">
        <w:rPr>
          <w:b/>
          <w:bCs/>
        </w:rPr>
        <w:t xml:space="preserve">at </w:t>
      </w:r>
      <w:r w:rsidRPr="00880CAB">
        <w:rPr>
          <w:b/>
          <w:bCs/>
        </w:rPr>
        <w:t>more than all the GDP of economies in Africa, Latin America and the Caribbean combined.</w:t>
      </w:r>
    </w:p>
    <w:p w14:paraId="35195797" w14:textId="329B45BE" w:rsidR="00880CAB" w:rsidRDefault="00F941D9" w:rsidP="00880CAB">
      <w:pPr>
        <w:pStyle w:val="Text"/>
      </w:pPr>
      <w:r w:rsidRPr="3A39F8DB">
        <w:t xml:space="preserve">The top </w:t>
      </w:r>
      <w:r w:rsidR="005C2687">
        <w:t>five</w:t>
      </w:r>
      <w:r w:rsidRPr="3A39F8DB">
        <w:t xml:space="preserve"> global companies by market cap</w:t>
      </w:r>
      <w:r w:rsidR="001D0DD1">
        <w:t>italization</w:t>
      </w:r>
      <w:r w:rsidRPr="3A39F8DB">
        <w:t>, according to Forbes</w:t>
      </w:r>
      <w:r w:rsidR="005C2687">
        <w:t>’</w:t>
      </w:r>
      <w:r w:rsidRPr="3A39F8DB">
        <w:t xml:space="preserve"> Global 2000 ranking of the world</w:t>
      </w:r>
      <w:r w:rsidR="00247194">
        <w:t>’</w:t>
      </w:r>
      <w:r w:rsidRPr="3A39F8DB">
        <w:t>s largest companies (published</w:t>
      </w:r>
      <w:r w:rsidR="00247194">
        <w:t xml:space="preserve"> 8</w:t>
      </w:r>
      <w:r w:rsidRPr="3A39F8DB">
        <w:t xml:space="preserve"> June 2023),</w:t>
      </w:r>
      <w:r w:rsidR="00993AF6">
        <w:rPr>
          <w:rStyle w:val="EndnoteReference"/>
        </w:rPr>
        <w:endnoteReference w:id="51"/>
      </w:r>
      <w:r w:rsidRPr="3A39F8DB">
        <w:t xml:space="preserve"> are: </w:t>
      </w:r>
    </w:p>
    <w:p w14:paraId="3C2D9B50" w14:textId="056B1824" w:rsidR="00F941D9" w:rsidRDefault="00F941D9" w:rsidP="00880CAB">
      <w:pPr>
        <w:pStyle w:val="Textlistnumbered"/>
      </w:pPr>
      <w:r w:rsidRPr="3A39F8DB">
        <w:t xml:space="preserve">Apple: </w:t>
      </w:r>
      <w:r w:rsidR="005C2687">
        <w:t>US</w:t>
      </w:r>
      <w:r w:rsidRPr="3A39F8DB">
        <w:t>$2,746</w:t>
      </w:r>
      <w:r w:rsidR="005C2687">
        <w:t>bn</w:t>
      </w:r>
    </w:p>
    <w:p w14:paraId="29E879A0" w14:textId="4C1AE386" w:rsidR="00F941D9" w:rsidRDefault="00F941D9" w:rsidP="00880CAB">
      <w:pPr>
        <w:pStyle w:val="Textlistnumbered"/>
      </w:pPr>
      <w:r w:rsidRPr="3A39F8DB">
        <w:t xml:space="preserve">Microsoft: </w:t>
      </w:r>
      <w:r w:rsidR="005C2687">
        <w:t>US</w:t>
      </w:r>
      <w:r w:rsidRPr="3A39F8DB">
        <w:t>$2,310</w:t>
      </w:r>
      <w:r w:rsidR="005C2687">
        <w:t>bn</w:t>
      </w:r>
    </w:p>
    <w:p w14:paraId="1066B3D7" w14:textId="53011C08" w:rsidR="00F941D9" w:rsidRDefault="00F941D9" w:rsidP="00880CAB">
      <w:pPr>
        <w:pStyle w:val="Textlistnumbered"/>
      </w:pPr>
      <w:r w:rsidRPr="3A39F8DB">
        <w:t xml:space="preserve">Saudi Aramco: </w:t>
      </w:r>
      <w:r w:rsidR="005C2687">
        <w:t>US</w:t>
      </w:r>
      <w:r w:rsidRPr="3A39F8DB">
        <w:t>$2,055</w:t>
      </w:r>
      <w:r w:rsidR="005C2687">
        <w:t>bn</w:t>
      </w:r>
      <w:r w:rsidRPr="3A39F8DB">
        <w:t xml:space="preserve"> </w:t>
      </w:r>
    </w:p>
    <w:p w14:paraId="189BACCA" w14:textId="317C14A0" w:rsidR="00F941D9" w:rsidRDefault="00F941D9" w:rsidP="00880CAB">
      <w:pPr>
        <w:pStyle w:val="Textlistnumbered"/>
      </w:pPr>
      <w:r w:rsidRPr="3A39F8DB">
        <w:t xml:space="preserve">Alphabet: </w:t>
      </w:r>
      <w:r w:rsidR="005C2687">
        <w:t>US</w:t>
      </w:r>
      <w:r w:rsidRPr="3A39F8DB">
        <w:t>$1,341</w:t>
      </w:r>
      <w:r w:rsidR="005C2687">
        <w:t>bn</w:t>
      </w:r>
    </w:p>
    <w:p w14:paraId="20B9F758" w14:textId="0855289E" w:rsidR="00BF705A" w:rsidRDefault="00F941D9" w:rsidP="00880CAB">
      <w:pPr>
        <w:pStyle w:val="Textlistnumbered"/>
      </w:pPr>
      <w:r w:rsidRPr="3A39F8DB">
        <w:t xml:space="preserve">Amazon: </w:t>
      </w:r>
      <w:r w:rsidR="005C2687">
        <w:t>US</w:t>
      </w:r>
      <w:r w:rsidRPr="3A39F8DB">
        <w:t>$1,084</w:t>
      </w:r>
      <w:r w:rsidR="005C2687">
        <w:t>bn</w:t>
      </w:r>
    </w:p>
    <w:p w14:paraId="461FD2C6" w14:textId="1F5B1271" w:rsidR="00F941D9" w:rsidRDefault="00F941D9" w:rsidP="00880CAB">
      <w:pPr>
        <w:pStyle w:val="Text"/>
      </w:pPr>
      <w:r w:rsidRPr="3A39F8DB">
        <w:t>The sum of their market cap</w:t>
      </w:r>
      <w:r w:rsidR="00727666">
        <w:t>itali</w:t>
      </w:r>
      <w:r w:rsidR="005372DA">
        <w:t>z</w:t>
      </w:r>
      <w:r w:rsidR="00727666">
        <w:t>ation</w:t>
      </w:r>
      <w:r w:rsidR="00727666">
        <w:rPr>
          <w:rStyle w:val="EndnoteReference"/>
        </w:rPr>
        <w:endnoteReference w:id="52"/>
      </w:r>
      <w:r w:rsidRPr="3A39F8DB">
        <w:t xml:space="preserve"> </w:t>
      </w:r>
      <w:r w:rsidR="00057EAA" w:rsidRPr="3A39F8DB">
        <w:t>is US</w:t>
      </w:r>
      <w:r w:rsidRPr="3A39F8DB">
        <w:t>$9.</w:t>
      </w:r>
      <w:r w:rsidR="00057EAA">
        <w:t>5 t</w:t>
      </w:r>
      <w:r w:rsidRPr="3A39F8DB">
        <w:t>rillion. Data is publicly available</w:t>
      </w:r>
      <w:r w:rsidR="00BF705A">
        <w:t>.</w:t>
      </w:r>
      <w:r w:rsidR="00BF705A">
        <w:rPr>
          <w:rStyle w:val="EndnoteReference"/>
        </w:rPr>
        <w:endnoteReference w:id="53"/>
      </w:r>
      <w:r w:rsidRPr="3A39F8DB">
        <w:t xml:space="preserve"> </w:t>
      </w:r>
    </w:p>
    <w:p w14:paraId="2FD04145" w14:textId="15FC8313" w:rsidR="00F941D9" w:rsidRDefault="00F941D9" w:rsidP="00880CAB">
      <w:pPr>
        <w:pStyle w:val="Text"/>
      </w:pPr>
      <w:r w:rsidRPr="3A39F8DB">
        <w:t xml:space="preserve">According to the </w:t>
      </w:r>
      <w:r>
        <w:t>IMF October 2023 World Economic Outlook,</w:t>
      </w:r>
      <w:r>
        <w:rPr>
          <w:rStyle w:val="EndnoteReference"/>
        </w:rPr>
        <w:endnoteReference w:id="54"/>
      </w:r>
      <w:r w:rsidRPr="3A39F8DB">
        <w:t xml:space="preserve"> the combined GDP of economies in Africa </w:t>
      </w:r>
      <w:r>
        <w:t xml:space="preserve">in 2023 </w:t>
      </w:r>
      <w:r w:rsidRPr="3A39F8DB">
        <w:t xml:space="preserve">is </w:t>
      </w:r>
      <w:r>
        <w:t>US$2,867</w:t>
      </w:r>
      <w:r w:rsidR="00DE1945">
        <w:t>bn,</w:t>
      </w:r>
      <w:r>
        <w:t xml:space="preserve"> while that of countries</w:t>
      </w:r>
      <w:r w:rsidRPr="3A39F8DB">
        <w:t xml:space="preserve"> in Latin America and the </w:t>
      </w:r>
      <w:r>
        <w:t>Caribbean</w:t>
      </w:r>
      <w:r w:rsidRPr="3A39F8DB">
        <w:t xml:space="preserve"> is $6,</w:t>
      </w:r>
      <w:r>
        <w:t>517</w:t>
      </w:r>
      <w:r w:rsidR="00DE1945">
        <w:t>bn</w:t>
      </w:r>
      <w:r w:rsidRPr="3A39F8DB">
        <w:t xml:space="preserve">. This is a total of </w:t>
      </w:r>
      <w:r>
        <w:t>US</w:t>
      </w:r>
      <w:r w:rsidRPr="3A39F8DB">
        <w:t>$</w:t>
      </w:r>
      <w:r>
        <w:t>9</w:t>
      </w:r>
      <w:r w:rsidR="00057EAA">
        <w:t>.4 trillion</w:t>
      </w:r>
      <w:r>
        <w:t xml:space="preserve">, </w:t>
      </w:r>
      <w:r w:rsidR="00247194">
        <w:t xml:space="preserve">which is </w:t>
      </w:r>
      <w:r>
        <w:t>lower than the market cap</w:t>
      </w:r>
      <w:r w:rsidR="00727666">
        <w:t>itali</w:t>
      </w:r>
      <w:r w:rsidR="005372DA">
        <w:t>z</w:t>
      </w:r>
      <w:r w:rsidR="00727666">
        <w:t>ation</w:t>
      </w:r>
      <w:r>
        <w:t xml:space="preserve"> of the five largest corporations.</w:t>
      </w:r>
      <w:r w:rsidRPr="3A39F8DB">
        <w:t xml:space="preserve"> </w:t>
      </w:r>
    </w:p>
    <w:p w14:paraId="469FCBF4" w14:textId="6BBDD6A0" w:rsidR="00F941D9" w:rsidRDefault="00F941D9" w:rsidP="3A39F8DB">
      <w:pPr>
        <w:pStyle w:val="ListParagraph"/>
        <w:ind w:left="0"/>
      </w:pPr>
    </w:p>
    <w:p w14:paraId="4BDC8B98" w14:textId="69532F09" w:rsidR="0039287D" w:rsidRDefault="0039287D">
      <w:pPr>
        <w:spacing w:after="0"/>
        <w:rPr>
          <w:lang w:bidi="en-US"/>
        </w:rPr>
      </w:pPr>
      <w:r>
        <w:rPr>
          <w:lang w:bidi="en-US"/>
        </w:rPr>
        <w:br w:type="page"/>
      </w:r>
    </w:p>
    <w:p w14:paraId="2B0A5B0C" w14:textId="4D846D0F" w:rsidR="001343BC" w:rsidRDefault="00F941D9" w:rsidP="0091219A">
      <w:pPr>
        <w:pStyle w:val="Heading1"/>
        <w:spacing w:after="0"/>
      </w:pPr>
      <w:bookmarkStart w:id="7" w:name="_Toc154070027"/>
      <w:r w:rsidRPr="001343BC">
        <w:lastRenderedPageBreak/>
        <w:t>3.</w:t>
      </w:r>
      <w:r w:rsidR="001343BC">
        <w:tab/>
      </w:r>
      <w:r w:rsidR="00B77820" w:rsidRPr="001343BC">
        <w:t>Billionaire ownership of the world’s largest companies</w:t>
      </w:r>
      <w:bookmarkEnd w:id="7"/>
    </w:p>
    <w:p w14:paraId="262D9E2B" w14:textId="5028B837" w:rsidR="001343BC" w:rsidRPr="00391DC0" w:rsidRDefault="001343BC" w:rsidP="001343BC">
      <w:pPr>
        <w:pStyle w:val="Boxheading1"/>
      </w:pPr>
      <w:r>
        <w:t>Summary of b</w:t>
      </w:r>
      <w:r w:rsidRPr="00391DC0">
        <w:t xml:space="preserve">illionaire </w:t>
      </w:r>
      <w:r>
        <w:t xml:space="preserve">company </w:t>
      </w:r>
      <w:r w:rsidRPr="00391DC0">
        <w:t xml:space="preserve">ownership </w:t>
      </w:r>
      <w:r>
        <w:t>stats</w:t>
      </w:r>
    </w:p>
    <w:p w14:paraId="3F1993F0" w14:textId="77777777" w:rsidR="001343BC" w:rsidRDefault="001343BC" w:rsidP="001343BC">
      <w:pPr>
        <w:pStyle w:val="Boxtext"/>
      </w:pPr>
      <w:r w:rsidRPr="007F0AE3">
        <w:rPr>
          <w:b/>
          <w:bCs/>
        </w:rPr>
        <w:t>3.0.</w:t>
      </w:r>
      <w:r>
        <w:t xml:space="preserve"> </w:t>
      </w:r>
      <w:r w:rsidRPr="009F45F9">
        <w:t>Of the 10 largest listed companies in the world</w:t>
      </w:r>
      <w:r>
        <w:t>,</w:t>
      </w:r>
      <w:r w:rsidRPr="009F45F9">
        <w:t xml:space="preserve"> </w:t>
      </w:r>
      <w:r>
        <w:t>seven</w:t>
      </w:r>
      <w:r w:rsidRPr="009F45F9">
        <w:t xml:space="preserve"> have a billionaire as either a principal shareholder or CEO. The total value (market capitali</w:t>
      </w:r>
      <w:r>
        <w:t>z</w:t>
      </w:r>
      <w:r w:rsidRPr="009F45F9">
        <w:t xml:space="preserve">ation) of these companies is </w:t>
      </w:r>
      <w:r>
        <w:t>US</w:t>
      </w:r>
      <w:r w:rsidRPr="009F45F9">
        <w:t>$10.2 trillion.</w:t>
      </w:r>
    </w:p>
    <w:p w14:paraId="70D13D67" w14:textId="31CC5CF2" w:rsidR="001343BC" w:rsidRDefault="001343BC" w:rsidP="0091219A">
      <w:pPr>
        <w:pStyle w:val="Boxtext"/>
      </w:pPr>
      <w:r w:rsidRPr="007F0AE3">
        <w:rPr>
          <w:b/>
          <w:bCs/>
        </w:rPr>
        <w:t>3.1.</w:t>
      </w:r>
      <w:r>
        <w:t xml:space="preserve"> </w:t>
      </w:r>
      <w:r w:rsidRPr="009F45F9">
        <w:t>Of the 50 largest listed companies in the world</w:t>
      </w:r>
      <w:r>
        <w:t>,</w:t>
      </w:r>
      <w:r w:rsidRPr="009F45F9">
        <w:t xml:space="preserve"> 17 (34%) have a billionaire as either a principal shareholder or CEO. The total value (market capitali</w:t>
      </w:r>
      <w:r>
        <w:t>z</w:t>
      </w:r>
      <w:r w:rsidRPr="009F45F9">
        <w:t xml:space="preserve">ation) of these companies is </w:t>
      </w:r>
      <w:r>
        <w:t>US</w:t>
      </w:r>
      <w:r w:rsidRPr="009F45F9">
        <w:t>$13.3 trillion.</w:t>
      </w:r>
    </w:p>
    <w:p w14:paraId="75E5E45C" w14:textId="14057E56" w:rsidR="00057EAA" w:rsidRPr="0091219A" w:rsidRDefault="0091219A" w:rsidP="0091219A">
      <w:pPr>
        <w:pStyle w:val="Text"/>
        <w:rPr>
          <w:b/>
          <w:bCs/>
        </w:rPr>
      </w:pPr>
      <w:r w:rsidRPr="0091219A">
        <w:rPr>
          <w:b/>
          <w:bCs/>
        </w:rPr>
        <w:t xml:space="preserve">3.0. </w:t>
      </w:r>
      <w:r w:rsidR="00057EAA" w:rsidRPr="0091219A">
        <w:rPr>
          <w:b/>
          <w:bCs/>
        </w:rPr>
        <w:t>Of the 10 largest listed companies in the world, seven have a billionaire as either a principal shareholder or CEO. The total value (market capitalization) of these companies is US$10.2 trillion.</w:t>
      </w:r>
    </w:p>
    <w:p w14:paraId="5EADE271" w14:textId="073823B1" w:rsidR="008778E4" w:rsidRPr="00FB0CDA" w:rsidRDefault="008778E4" w:rsidP="0091219A">
      <w:pPr>
        <w:pStyle w:val="Text"/>
      </w:pPr>
      <w:r w:rsidRPr="00FB0CDA">
        <w:t>To calculate the billionaire ownership of the world’s largest companies</w:t>
      </w:r>
      <w:r w:rsidR="00247194">
        <w:t>,</w:t>
      </w:r>
      <w:r w:rsidRPr="00FB0CDA">
        <w:t xml:space="preserve"> we researched the ownership of the 100 largest listed companies by market capitali</w:t>
      </w:r>
      <w:r w:rsidR="00247194">
        <w:t>z</w:t>
      </w:r>
      <w:r w:rsidRPr="00FB0CDA">
        <w:t>ation</w:t>
      </w:r>
      <w:r w:rsidR="0023409F">
        <w:t>. The data was accessed</w:t>
      </w:r>
      <w:r w:rsidRPr="00FB0CDA">
        <w:t xml:space="preserve"> on 27</w:t>
      </w:r>
      <w:r w:rsidR="00DE1945">
        <w:t xml:space="preserve"> November 2</w:t>
      </w:r>
      <w:r w:rsidRPr="00FB0CDA">
        <w:t>023.</w:t>
      </w:r>
      <w:r w:rsidRPr="00FB0CDA">
        <w:rPr>
          <w:vertAlign w:val="superscript"/>
        </w:rPr>
        <w:endnoteReference w:id="55"/>
      </w:r>
      <w:r w:rsidRPr="00FB0CDA">
        <w:t xml:space="preserve"> </w:t>
      </w:r>
    </w:p>
    <w:p w14:paraId="4FD4F626" w14:textId="68419849" w:rsidR="008778E4" w:rsidRPr="00FB0CDA" w:rsidRDefault="008778E4" w:rsidP="0091219A">
      <w:pPr>
        <w:pStyle w:val="Text"/>
      </w:pPr>
      <w:r w:rsidRPr="00FB0CDA">
        <w:t xml:space="preserve">We used the Forbes and Bloomberg </w:t>
      </w:r>
      <w:r w:rsidR="001678A2">
        <w:t>b</w:t>
      </w:r>
      <w:r w:rsidRPr="00FB0CDA">
        <w:t>illionaire list and Market Screener</w:t>
      </w:r>
      <w:r w:rsidR="00351F9E">
        <w:t>, a leading financial news website</w:t>
      </w:r>
      <w:r w:rsidR="00351F9E">
        <w:rPr>
          <w:rStyle w:val="EndnoteReference"/>
        </w:rPr>
        <w:endnoteReference w:id="56"/>
      </w:r>
      <w:r w:rsidRPr="00FB0CDA">
        <w:t xml:space="preserve"> to identify if a billionaire had a financial stake in the company and/or </w:t>
      </w:r>
      <w:r w:rsidR="00247194">
        <w:t>is</w:t>
      </w:r>
      <w:r w:rsidRPr="00FB0CDA">
        <w:t xml:space="preserve"> the CEO.</w:t>
      </w:r>
    </w:p>
    <w:p w14:paraId="37F3E0BA" w14:textId="0D838042" w:rsidR="008778E4" w:rsidRPr="00FB0CDA" w:rsidRDefault="008778E4" w:rsidP="0091219A">
      <w:pPr>
        <w:pStyle w:val="Text"/>
      </w:pPr>
      <w:r w:rsidRPr="00FB0CDA">
        <w:t>We set a 10% threshold as the minimum ownership for a billionaire, based on the definition used by the U.S. Securities and Exchange Commission (SEC) of a principal shareholder, as these shareholders are considered to have significant influence over a company.</w:t>
      </w:r>
      <w:r w:rsidRPr="00FB0CDA">
        <w:rPr>
          <w:vertAlign w:val="superscript"/>
        </w:rPr>
        <w:endnoteReference w:id="57"/>
      </w:r>
      <w:r w:rsidRPr="00FB0CDA">
        <w:t xml:space="preserve"> </w:t>
      </w:r>
    </w:p>
    <w:p w14:paraId="22012001" w14:textId="3ED74290" w:rsidR="008778E4" w:rsidRDefault="008778E4" w:rsidP="0091219A">
      <w:pPr>
        <w:pStyle w:val="Text"/>
      </w:pPr>
      <w:r w:rsidRPr="00FB0CDA">
        <w:t xml:space="preserve">Where a company is owned by various family members, we have considered their ownership as one group. In the case of </w:t>
      </w:r>
      <w:proofErr w:type="spellStart"/>
      <w:r w:rsidRPr="00FB0CDA">
        <w:t>Saudia</w:t>
      </w:r>
      <w:proofErr w:type="spellEnd"/>
      <w:r w:rsidRPr="00FB0CDA">
        <w:t xml:space="preserve"> Aramco, we have considered this to have a billionaire family as a principal shareholder. The company</w:t>
      </w:r>
      <w:r w:rsidR="00F27275">
        <w:t>, which</w:t>
      </w:r>
      <w:r w:rsidRPr="00FB0CDA">
        <w:t xml:space="preserve"> is 90% owned by the Government of Saudi Arabia, is described as the primary source of the Saudi </w:t>
      </w:r>
      <w:r w:rsidR="00F27275">
        <w:t>r</w:t>
      </w:r>
      <w:r w:rsidRPr="00FB0CDA">
        <w:t xml:space="preserve">oyal </w:t>
      </w:r>
      <w:r w:rsidR="00F27275">
        <w:t>f</w:t>
      </w:r>
      <w:r w:rsidRPr="00FB0CDA">
        <w:t>amily’s wealth received through the Royal Diwan</w:t>
      </w:r>
      <w:r w:rsidR="00F27275">
        <w:t xml:space="preserve"> </w:t>
      </w:r>
      <w:r w:rsidR="00993AF6">
        <w:t>(</w:t>
      </w:r>
      <w:r w:rsidR="00F27275">
        <w:t>the primary executive office of the king</w:t>
      </w:r>
      <w:r w:rsidR="00993AF6">
        <w:t>)</w:t>
      </w:r>
      <w:r w:rsidR="00F27275">
        <w:t>.</w:t>
      </w:r>
      <w:r w:rsidRPr="00FB0CDA">
        <w:rPr>
          <w:vertAlign w:val="superscript"/>
        </w:rPr>
        <w:endnoteReference w:id="58"/>
      </w:r>
      <w:r w:rsidRPr="00FB0CDA">
        <w:t xml:space="preserve"> In the case of International Holding Company</w:t>
      </w:r>
      <w:r w:rsidR="001678A2">
        <w:t>,</w:t>
      </w:r>
      <w:r w:rsidRPr="00FB0CDA">
        <w:t xml:space="preserve"> this is 61% owned by the </w:t>
      </w:r>
      <w:r w:rsidR="00F27275">
        <w:t>r</w:t>
      </w:r>
      <w:r w:rsidRPr="00FB0CDA">
        <w:t xml:space="preserve">oyal </w:t>
      </w:r>
      <w:r w:rsidR="00F27275">
        <w:t>f</w:t>
      </w:r>
      <w:r w:rsidRPr="00FB0CDA">
        <w:t>amily</w:t>
      </w:r>
      <w:r w:rsidR="00F27275">
        <w:t xml:space="preserve"> of the United Arab Emirates,</w:t>
      </w:r>
      <w:r w:rsidRPr="00FB0CDA">
        <w:t xml:space="preserve"> wh</w:t>
      </w:r>
      <w:r w:rsidR="001678A2">
        <w:t>ich</w:t>
      </w:r>
      <w:r w:rsidRPr="00FB0CDA">
        <w:t xml:space="preserve"> Bloomberg estimate</w:t>
      </w:r>
      <w:r w:rsidR="00F27275">
        <w:t>s</w:t>
      </w:r>
      <w:r w:rsidRPr="00FB0CDA">
        <w:t xml:space="preserve"> to have a ne</w:t>
      </w:r>
      <w:r w:rsidR="00F27275">
        <w:t>t</w:t>
      </w:r>
      <w:r w:rsidRPr="00FB0CDA">
        <w:t xml:space="preserve"> worth of </w:t>
      </w:r>
      <w:r w:rsidR="00BB0701">
        <w:t>US</w:t>
      </w:r>
      <w:r w:rsidRPr="00FB0CDA">
        <w:t>$300bn.</w:t>
      </w:r>
      <w:r w:rsidRPr="00FB0CDA">
        <w:rPr>
          <w:vertAlign w:val="superscript"/>
        </w:rPr>
        <w:endnoteReference w:id="59"/>
      </w:r>
    </w:p>
    <w:p w14:paraId="15C75D5B" w14:textId="4E6B5DD8" w:rsidR="00351F9E" w:rsidRPr="00351F9E" w:rsidRDefault="00351F9E" w:rsidP="0091219A">
      <w:pPr>
        <w:pStyle w:val="Text"/>
      </w:pPr>
      <w:r>
        <w:t xml:space="preserve">Our research shows that </w:t>
      </w:r>
      <w:r w:rsidRPr="00351F9E">
        <w:t>of the 10 largest listed companies in the world</w:t>
      </w:r>
      <w:r>
        <w:t xml:space="preserve">, seven </w:t>
      </w:r>
      <w:r w:rsidRPr="00351F9E">
        <w:t xml:space="preserve">have a billionaire as either a principal shareholder or CEO. The total value (market capitalisation) of these companies is </w:t>
      </w:r>
      <w:r w:rsidR="007418DD">
        <w:t>US</w:t>
      </w:r>
      <w:r w:rsidRPr="00351F9E">
        <w:t>$10.2 trillion.</w:t>
      </w:r>
    </w:p>
    <w:p w14:paraId="1FAD6CB2" w14:textId="7AE53B3F" w:rsidR="00351F9E" w:rsidRPr="0091219A" w:rsidRDefault="00351F9E" w:rsidP="0091219A">
      <w:pPr>
        <w:pStyle w:val="Text"/>
        <w:rPr>
          <w:b/>
          <w:bCs/>
        </w:rPr>
      </w:pPr>
      <w:r w:rsidRPr="0091219A">
        <w:rPr>
          <w:b/>
          <w:bCs/>
        </w:rPr>
        <w:t>3.1</w:t>
      </w:r>
      <w:r w:rsidR="007418DD">
        <w:rPr>
          <w:b/>
          <w:bCs/>
        </w:rPr>
        <w:t>.</w:t>
      </w:r>
      <w:r w:rsidRPr="0091219A">
        <w:rPr>
          <w:b/>
          <w:bCs/>
        </w:rPr>
        <w:t xml:space="preserve"> Of the 50 largest listed companies in the world, 17 (34%) have a billionaire as either a principal shareholder or CEO. The total value (market capitalization) of these companies is US$13.3 trillion.</w:t>
      </w:r>
    </w:p>
    <w:p w14:paraId="1117DC25" w14:textId="0CD7F7E8" w:rsidR="00351F9E" w:rsidRDefault="00351F9E" w:rsidP="0091219A">
      <w:pPr>
        <w:pStyle w:val="Text"/>
      </w:pPr>
      <w:r>
        <w:t xml:space="preserve">See methodology </w:t>
      </w:r>
      <w:r w:rsidR="00414AC8">
        <w:t>in stat 3.0</w:t>
      </w:r>
      <w:r w:rsidR="007418DD">
        <w:t xml:space="preserve"> </w:t>
      </w:r>
      <w:r w:rsidR="00675266">
        <w:t>above</w:t>
      </w:r>
      <w:r>
        <w:t>.</w:t>
      </w:r>
    </w:p>
    <w:p w14:paraId="741232BD" w14:textId="24EE614C" w:rsidR="00D85A9C" w:rsidRPr="0091219A" w:rsidRDefault="00A85B7B" w:rsidP="0091219A">
      <w:pPr>
        <w:pStyle w:val="Heading1"/>
        <w:sectPr w:rsidR="00D85A9C" w:rsidRPr="0091219A" w:rsidSect="001132CF">
          <w:footerReference w:type="even" r:id="rId11"/>
          <w:footerReference w:type="default" r:id="rId12"/>
          <w:headerReference w:type="first" r:id="rId13"/>
          <w:footerReference w:type="first" r:id="rId14"/>
          <w:endnotePr>
            <w:numFmt w:val="decimal"/>
          </w:endnotePr>
          <w:pgSz w:w="11906" w:h="16838" w:code="9"/>
          <w:pgMar w:top="964" w:right="3799" w:bottom="1134" w:left="964" w:header="567" w:footer="567" w:gutter="0"/>
          <w:cols w:space="720"/>
          <w:titlePg/>
        </w:sectPr>
      </w:pPr>
      <w:bookmarkStart w:id="8" w:name="_Toc154070028"/>
      <w:r w:rsidRPr="0091219A">
        <w:lastRenderedPageBreak/>
        <w:t>Notes</w:t>
      </w:r>
      <w:bookmarkEnd w:id="8"/>
    </w:p>
    <w:p w14:paraId="79317511" w14:textId="25E0D1EC" w:rsidR="003C0979" w:rsidRDefault="003C0979" w:rsidP="003C0979">
      <w:pPr>
        <w:pStyle w:val="Endcredits"/>
      </w:pPr>
      <w:r>
        <w:lastRenderedPageBreak/>
        <w:t xml:space="preserve">© Oxfam International </w:t>
      </w:r>
      <w:r w:rsidR="00665E3D">
        <w:t>January</w:t>
      </w:r>
      <w:r>
        <w:t xml:space="preserve"> 20</w:t>
      </w:r>
      <w:r w:rsidR="00665E3D">
        <w:t>24</w:t>
      </w:r>
    </w:p>
    <w:p w14:paraId="7965097B" w14:textId="0499BE8C" w:rsidR="003C0979" w:rsidRDefault="003C0979" w:rsidP="003C0979">
      <w:pPr>
        <w:pStyle w:val="Endcredits"/>
      </w:pPr>
      <w:r>
        <w:t xml:space="preserve">This publication was written by </w:t>
      </w:r>
      <w:r w:rsidR="00414AC8">
        <w:t xml:space="preserve">Anthony </w:t>
      </w:r>
      <w:proofErr w:type="spellStart"/>
      <w:r w:rsidR="00414AC8">
        <w:t>Kamande</w:t>
      </w:r>
      <w:proofErr w:type="spellEnd"/>
      <w:r w:rsidR="00414AC8">
        <w:t xml:space="preserve"> as the lead author, with </w:t>
      </w:r>
      <w:r w:rsidR="0000403D">
        <w:t xml:space="preserve">major contributions from </w:t>
      </w:r>
      <w:r w:rsidR="00414AC8" w:rsidRPr="00414AC8">
        <w:t xml:space="preserve">Jonas </w:t>
      </w:r>
      <w:proofErr w:type="spellStart"/>
      <w:r w:rsidR="00414AC8" w:rsidRPr="00414AC8">
        <w:t>Gielfeldt</w:t>
      </w:r>
      <w:proofErr w:type="spellEnd"/>
      <w:r w:rsidR="00414AC8">
        <w:t xml:space="preserve">, Alex Maitland, Christian Hallum, </w:t>
      </w:r>
      <w:r w:rsidR="0000403D" w:rsidRPr="0000403D">
        <w:t>Martin Brehm Christensen</w:t>
      </w:r>
      <w:r w:rsidR="0000403D">
        <w:t xml:space="preserve">, </w:t>
      </w:r>
      <w:r w:rsidR="00414AC8">
        <w:t xml:space="preserve">Nabil Ahmed, Max </w:t>
      </w:r>
      <w:proofErr w:type="gramStart"/>
      <w:r w:rsidR="00414AC8">
        <w:t>Lawson</w:t>
      </w:r>
      <w:proofErr w:type="gramEnd"/>
      <w:r w:rsidR="0000403D">
        <w:t xml:space="preserve"> and</w:t>
      </w:r>
      <w:r w:rsidR="00414AC8">
        <w:t xml:space="preserve"> Alex Bush</w:t>
      </w:r>
      <w:r w:rsidR="0000403D">
        <w:t xml:space="preserve"> as contributing authors</w:t>
      </w:r>
      <w:r w:rsidR="00414AC8">
        <w:t>.</w:t>
      </w:r>
      <w:r>
        <w:t xml:space="preserve"> Oxfam acknowledges the assistance </w:t>
      </w:r>
      <w:r w:rsidR="0000403D">
        <w:t>of Inigo</w:t>
      </w:r>
      <w:r w:rsidR="00414AC8" w:rsidRPr="00414AC8">
        <w:t xml:space="preserve"> Macias </w:t>
      </w:r>
      <w:proofErr w:type="spellStart"/>
      <w:r w:rsidR="00414AC8" w:rsidRPr="00414AC8">
        <w:t>Aymar</w:t>
      </w:r>
      <w:proofErr w:type="spellEnd"/>
      <w:r w:rsidR="00414AC8">
        <w:t xml:space="preserve">, </w:t>
      </w:r>
      <w:proofErr w:type="spellStart"/>
      <w:r w:rsidR="00414AC8">
        <w:t>Grazielle</w:t>
      </w:r>
      <w:proofErr w:type="spellEnd"/>
      <w:r w:rsidR="00414AC8">
        <w:t xml:space="preserve"> </w:t>
      </w:r>
      <w:proofErr w:type="spellStart"/>
      <w:r w:rsidR="00414AC8">
        <w:t>Custudio</w:t>
      </w:r>
      <w:proofErr w:type="spellEnd"/>
      <w:r w:rsidR="00414AC8">
        <w:t>,</w:t>
      </w:r>
      <w:r>
        <w:t xml:space="preserve"> </w:t>
      </w:r>
      <w:r w:rsidR="00414AC8">
        <w:t xml:space="preserve">Irene </w:t>
      </w:r>
      <w:proofErr w:type="spellStart"/>
      <w:r w:rsidR="0000403D">
        <w:t>Guijt</w:t>
      </w:r>
      <w:proofErr w:type="spellEnd"/>
      <w:r w:rsidR="00414AC8">
        <w:t xml:space="preserve">, </w:t>
      </w:r>
      <w:r w:rsidR="00414AC8" w:rsidRPr="00414AC8">
        <w:t xml:space="preserve">Annie </w:t>
      </w:r>
      <w:proofErr w:type="spellStart"/>
      <w:r w:rsidR="00414AC8" w:rsidRPr="00414AC8">
        <w:t>Thériault</w:t>
      </w:r>
      <w:proofErr w:type="spellEnd"/>
      <w:r w:rsidR="00414AC8">
        <w:t xml:space="preserve">, </w:t>
      </w:r>
      <w:r w:rsidR="0000403D">
        <w:t xml:space="preserve">Rebecca </w:t>
      </w:r>
      <w:proofErr w:type="spellStart"/>
      <w:r w:rsidR="0000403D">
        <w:t>Riddel</w:t>
      </w:r>
      <w:proofErr w:type="spellEnd"/>
      <w:r w:rsidR="0000403D">
        <w:t xml:space="preserve">, </w:t>
      </w:r>
      <w:proofErr w:type="spellStart"/>
      <w:r w:rsidR="00414AC8">
        <w:t>Anjela</w:t>
      </w:r>
      <w:proofErr w:type="spellEnd"/>
      <w:r w:rsidR="00414AC8">
        <w:t xml:space="preserve"> Taneja, Victoria </w:t>
      </w:r>
      <w:proofErr w:type="spellStart"/>
      <w:r w:rsidR="00414AC8">
        <w:t>Harnett</w:t>
      </w:r>
      <w:proofErr w:type="spellEnd"/>
      <w:r w:rsidR="00665E3D">
        <w:t>, Jane Garton</w:t>
      </w:r>
      <w:r w:rsidR="0000403D">
        <w:t xml:space="preserve"> and</w:t>
      </w:r>
      <w:r w:rsidR="00414AC8">
        <w:t xml:space="preserve"> Lucy Cowie </w:t>
      </w:r>
      <w:r>
        <w:t xml:space="preserve">in its production. </w:t>
      </w:r>
    </w:p>
    <w:p w14:paraId="34299AB6" w14:textId="57791586" w:rsidR="003C0979" w:rsidRDefault="003C0979" w:rsidP="003C0979">
      <w:pPr>
        <w:pStyle w:val="Endcredits"/>
      </w:pPr>
      <w:r>
        <w:rPr>
          <w:color w:val="auto"/>
        </w:rPr>
        <w:t xml:space="preserve">For further information on the issues raised in this publication please email </w:t>
      </w:r>
      <w:r w:rsidR="00EC40AC" w:rsidRPr="00EC40AC">
        <w:rPr>
          <w:color w:val="auto"/>
          <w:u w:val="single"/>
        </w:rPr>
        <w:t>anthony.kamande@oxfam.org</w:t>
      </w:r>
    </w:p>
    <w:p w14:paraId="3B2108AA" w14:textId="65B90A07" w:rsidR="003C0979" w:rsidRDefault="003C0979" w:rsidP="003C0979">
      <w:pPr>
        <w:pStyle w:val="Endcredits"/>
      </w:pPr>
      <w:r>
        <w:t xml:space="preserve">This publication is </w:t>
      </w:r>
      <w:proofErr w:type="gramStart"/>
      <w:r>
        <w:t>copyright</w:t>
      </w:r>
      <w:proofErr w:type="gramEnd"/>
      <w:r>
        <w:t xml:space="preserve"> but the text may be used free of charge for the purposes of advocacy, campaigning, education, and research, provided that the source is acknowledged in full. The copyright holder requests that all such use be registered with them for impact assessment purposes. For copying in any other circumstances, or for re-use in other publications, or for translation or adaptation, permission must be </w:t>
      </w:r>
      <w:proofErr w:type="gramStart"/>
      <w:r>
        <w:t>secured</w:t>
      </w:r>
      <w:proofErr w:type="gramEnd"/>
      <w:r>
        <w:t xml:space="preserve"> and a fee may be charged. Email </w:t>
      </w:r>
      <w:r w:rsidRPr="00EC40AC">
        <w:rPr>
          <w:u w:val="single"/>
        </w:rPr>
        <w:t>policyandpractice@oxfam.org.uk</w:t>
      </w:r>
    </w:p>
    <w:p w14:paraId="7D5645B5" w14:textId="77777777" w:rsidR="003C0979" w:rsidRDefault="003C0979" w:rsidP="003C0979">
      <w:pPr>
        <w:pStyle w:val="Endcredits"/>
      </w:pPr>
      <w:r>
        <w:t>The information in this publication is correct at the time of going to press.</w:t>
      </w:r>
    </w:p>
    <w:p w14:paraId="71BD3CCB" w14:textId="498559E1" w:rsidR="003C0979" w:rsidRDefault="003C0979" w:rsidP="003C0979">
      <w:pPr>
        <w:pStyle w:val="Endcredits"/>
      </w:pPr>
      <w:r>
        <w:t xml:space="preserve">Published by Oxfam GB for Oxfam International under DOI: </w:t>
      </w:r>
      <w:r w:rsidR="009C795B">
        <w:rPr>
          <w:rStyle w:val="A7"/>
        </w:rPr>
        <w:t>10.21201/2024.000007</w:t>
      </w:r>
      <w:r>
        <w:br/>
        <w:t>Oxfam GB, Oxfam House, John Smith Drive, Cowley, Oxford, OX4 2JY, UK.</w:t>
      </w:r>
    </w:p>
    <w:p w14:paraId="03D22452" w14:textId="77777777" w:rsidR="003C0979" w:rsidRPr="003C0979" w:rsidRDefault="003C0979" w:rsidP="003C0979">
      <w:pPr>
        <w:pStyle w:val="Endcredits"/>
        <w:spacing w:before="240"/>
        <w:rPr>
          <w:rFonts w:ascii="Oxfam TSTAR PRO Headline" w:hAnsi="Oxfam TSTAR PRO Headline"/>
          <w:color w:val="44841A" w:themeColor="text2"/>
          <w:sz w:val="44"/>
          <w:szCs w:val="44"/>
        </w:rPr>
      </w:pPr>
      <w:r w:rsidRPr="003C0979">
        <w:rPr>
          <w:rFonts w:ascii="Oxfam TSTAR PRO Headline" w:hAnsi="Oxfam TSTAR PRO Headline"/>
          <w:color w:val="44841A" w:themeColor="text2"/>
          <w:sz w:val="44"/>
          <w:szCs w:val="44"/>
        </w:rPr>
        <w:t>OXFAM</w:t>
      </w:r>
    </w:p>
    <w:p w14:paraId="2FC818E9" w14:textId="77777777" w:rsidR="007A515B" w:rsidRDefault="003C0979" w:rsidP="00A26DF1">
      <w:pPr>
        <w:pStyle w:val="Endcredits"/>
        <w:spacing w:after="120"/>
      </w:pPr>
      <w:r w:rsidRPr="0000212A">
        <w:t>Oxfam is an i</w:t>
      </w:r>
      <w:r>
        <w:t>nternational confederation of 21</w:t>
      </w:r>
      <w:r w:rsidRPr="0000212A">
        <w:t xml:space="preserve"> organizations networked together in </w:t>
      </w:r>
      <w:r>
        <w:t xml:space="preserve">65 </w:t>
      </w:r>
      <w:r w:rsidRPr="0000212A">
        <w:t>countries, as part of a global movement for change, to build a future fre</w:t>
      </w:r>
      <w:r>
        <w:t xml:space="preserve">e from the injustice of poverty. Please write to any of the agencies for further </w:t>
      </w:r>
      <w:proofErr w:type="gramStart"/>
      <w:r>
        <w:t>information, or</w:t>
      </w:r>
      <w:proofErr w:type="gramEnd"/>
      <w:r>
        <w:t xml:space="preserve"> visit </w:t>
      </w:r>
      <w:hyperlink r:id="rId15" w:history="1">
        <w:r>
          <w:t>www.oxfam.org</w:t>
        </w:r>
      </w:hyperlink>
      <w:r>
        <w:t>.</w:t>
      </w:r>
    </w:p>
    <w:tbl>
      <w:tblPr>
        <w:tblStyle w:val="TableGrid"/>
        <w:tblW w:w="9907" w:type="dxa"/>
        <w:tblInd w:w="108" w:type="dxa"/>
        <w:tblLook w:val="04A0" w:firstRow="1" w:lastRow="0" w:firstColumn="1" w:lastColumn="0" w:noHBand="0" w:noVBand="1"/>
      </w:tblPr>
      <w:tblGrid>
        <w:gridCol w:w="4723"/>
        <w:gridCol w:w="5184"/>
      </w:tblGrid>
      <w:tr w:rsidR="00A26DF1" w14:paraId="5CBCC5D6" w14:textId="77777777" w:rsidTr="001904B2">
        <w:trPr>
          <w:trHeight w:val="1942"/>
        </w:trPr>
        <w:tc>
          <w:tcPr>
            <w:tcW w:w="4723" w:type="dxa"/>
            <w:tcBorders>
              <w:top w:val="nil"/>
              <w:left w:val="nil"/>
              <w:bottom w:val="nil"/>
              <w:right w:val="nil"/>
            </w:tcBorders>
          </w:tcPr>
          <w:p w14:paraId="2A70622F" w14:textId="77777777" w:rsidR="00A26DF1" w:rsidRDefault="00A26DF1" w:rsidP="001904B2">
            <w:pPr>
              <w:pStyle w:val="Endcredits"/>
              <w:spacing w:before="0"/>
              <w:ind w:left="-113"/>
              <w:rPr>
                <w:lang w:val="pt-BR"/>
              </w:rPr>
            </w:pPr>
            <w:r>
              <w:rPr>
                <w:lang w:val="pt-BR"/>
              </w:rPr>
              <w:t xml:space="preserve">Oxfam America (www.oxfamamerica.org) </w:t>
            </w:r>
          </w:p>
          <w:p w14:paraId="3473801D" w14:textId="77777777" w:rsidR="00A26DF1" w:rsidRDefault="00A26DF1" w:rsidP="001904B2">
            <w:pPr>
              <w:pStyle w:val="Endcredits"/>
              <w:spacing w:before="0"/>
              <w:ind w:hanging="113"/>
              <w:rPr>
                <w:sz w:val="18"/>
                <w:lang w:val="pt-BR"/>
              </w:rPr>
            </w:pPr>
            <w:r>
              <w:rPr>
                <w:lang w:val="es-ES"/>
              </w:rPr>
              <w:t xml:space="preserve">Oxfam </w:t>
            </w:r>
            <w:proofErr w:type="spellStart"/>
            <w:r>
              <w:rPr>
                <w:lang w:val="es-ES"/>
              </w:rPr>
              <w:t>Aotearoa</w:t>
            </w:r>
            <w:proofErr w:type="spellEnd"/>
            <w:r>
              <w:rPr>
                <w:lang w:val="es-ES"/>
              </w:rPr>
              <w:t xml:space="preserve"> (www.oxfam.org.nz)</w:t>
            </w:r>
          </w:p>
          <w:p w14:paraId="4E06A69C" w14:textId="77777777" w:rsidR="00A26DF1" w:rsidRDefault="00A26DF1" w:rsidP="001904B2">
            <w:pPr>
              <w:pStyle w:val="Endcredits"/>
              <w:spacing w:before="0"/>
              <w:ind w:hanging="113"/>
              <w:rPr>
                <w:lang w:val="pt-BR"/>
              </w:rPr>
            </w:pPr>
            <w:r>
              <w:rPr>
                <w:lang w:val="pt-BR"/>
              </w:rPr>
              <w:t xml:space="preserve">Oxfam Australia (www.oxfam.org.au) </w:t>
            </w:r>
          </w:p>
          <w:p w14:paraId="703292D9" w14:textId="77777777" w:rsidR="00A26DF1" w:rsidRDefault="00A26DF1" w:rsidP="001904B2">
            <w:pPr>
              <w:pStyle w:val="Endcredits"/>
              <w:spacing w:before="0"/>
              <w:ind w:hanging="113"/>
            </w:pPr>
            <w:r>
              <w:t xml:space="preserve">Oxfam-in-Belgium (www.oxfamsol.be) </w:t>
            </w:r>
          </w:p>
          <w:p w14:paraId="5F38896A" w14:textId="77777777" w:rsidR="00A26DF1" w:rsidRDefault="00A26DF1" w:rsidP="001904B2">
            <w:pPr>
              <w:pStyle w:val="Endcredits"/>
              <w:spacing w:before="0"/>
              <w:ind w:hanging="113"/>
              <w:rPr>
                <w:b/>
                <w:lang w:val="pt-BR"/>
              </w:rPr>
            </w:pPr>
            <w:r>
              <w:rPr>
                <w:lang w:val="es-ES"/>
              </w:rPr>
              <w:t>Oxfam Brasil (www.oxfam.org.br)</w:t>
            </w:r>
          </w:p>
          <w:p w14:paraId="16FC87A5" w14:textId="77777777" w:rsidR="00A26DF1" w:rsidRDefault="00A26DF1" w:rsidP="001904B2">
            <w:pPr>
              <w:pStyle w:val="Endcredits"/>
              <w:spacing w:before="0"/>
              <w:ind w:hanging="113"/>
              <w:rPr>
                <w:lang w:val="pt-BR"/>
              </w:rPr>
            </w:pPr>
            <w:r>
              <w:rPr>
                <w:lang w:val="pt-BR"/>
              </w:rPr>
              <w:t xml:space="preserve">Oxfam Canada (www.oxfam.ca) </w:t>
            </w:r>
          </w:p>
          <w:p w14:paraId="70EC7A23" w14:textId="2560093A" w:rsidR="00A26DF1" w:rsidRDefault="00A26DF1" w:rsidP="001904B2">
            <w:pPr>
              <w:pStyle w:val="Endcredits"/>
              <w:spacing w:before="0"/>
              <w:ind w:left="-221" w:firstLine="108"/>
            </w:pPr>
            <w:r>
              <w:t>Oxfam Colombia (</w:t>
            </w:r>
            <w:r w:rsidR="004F3517">
              <w:t>www</w:t>
            </w:r>
            <w:r>
              <w:t>.oxfamcolombia</w:t>
            </w:r>
            <w:r w:rsidR="004F3517">
              <w:t>.org</w:t>
            </w:r>
            <w:r>
              <w:t>)</w:t>
            </w:r>
          </w:p>
          <w:p w14:paraId="3B168F92" w14:textId="77777777" w:rsidR="00A26DF1" w:rsidRDefault="00A26DF1" w:rsidP="001904B2">
            <w:pPr>
              <w:pStyle w:val="Endcredits"/>
              <w:spacing w:before="0"/>
              <w:ind w:left="-221" w:firstLine="108"/>
            </w:pPr>
            <w:r>
              <w:t xml:space="preserve">Oxfam France (www.oxfamfrance.org) </w:t>
            </w:r>
          </w:p>
          <w:p w14:paraId="6B8E9B72" w14:textId="77777777" w:rsidR="00A26DF1" w:rsidRDefault="00A26DF1" w:rsidP="001904B2">
            <w:pPr>
              <w:pStyle w:val="Endcredits"/>
              <w:spacing w:before="0"/>
              <w:ind w:hanging="113"/>
            </w:pPr>
            <w:r>
              <w:t xml:space="preserve">Oxfam Germany (www.oxfam.de) </w:t>
            </w:r>
          </w:p>
          <w:p w14:paraId="58EE4239" w14:textId="77777777" w:rsidR="00A26DF1" w:rsidRDefault="00A26DF1" w:rsidP="001904B2">
            <w:pPr>
              <w:pStyle w:val="Endcredits"/>
              <w:spacing w:before="0"/>
              <w:ind w:hanging="113"/>
            </w:pPr>
            <w:r>
              <w:t xml:space="preserve">Oxfam GB (www.oxfam.org.uk) </w:t>
            </w:r>
          </w:p>
          <w:p w14:paraId="476F6E6E" w14:textId="77777777" w:rsidR="00A26DF1" w:rsidRDefault="00A26DF1" w:rsidP="00A26DF1">
            <w:pPr>
              <w:pStyle w:val="Endcredits"/>
              <w:spacing w:before="0"/>
              <w:ind w:hanging="113"/>
            </w:pPr>
            <w:r>
              <w:t>Oxfam Hong Kong (www.oxfam.org.hk)</w:t>
            </w:r>
          </w:p>
        </w:tc>
        <w:tc>
          <w:tcPr>
            <w:tcW w:w="5184" w:type="dxa"/>
            <w:tcBorders>
              <w:top w:val="nil"/>
              <w:left w:val="nil"/>
              <w:bottom w:val="nil"/>
              <w:right w:val="nil"/>
            </w:tcBorders>
            <w:hideMark/>
          </w:tcPr>
          <w:p w14:paraId="18EC571E" w14:textId="405F5494" w:rsidR="00A26DF1" w:rsidRDefault="00A26DF1" w:rsidP="001904B2">
            <w:pPr>
              <w:pStyle w:val="Endcredits"/>
              <w:spacing w:before="0"/>
              <w:ind w:left="113" w:hanging="113"/>
            </w:pPr>
            <w:r>
              <w:t>Oxfam Denmark (www.oxfam.dk)</w:t>
            </w:r>
          </w:p>
          <w:p w14:paraId="3DD6D59E" w14:textId="77777777" w:rsidR="00A26DF1" w:rsidRDefault="00A26DF1" w:rsidP="001904B2">
            <w:pPr>
              <w:pStyle w:val="Endcredits"/>
              <w:spacing w:before="0"/>
              <w:rPr>
                <w:lang w:val="pt-BR"/>
              </w:rPr>
            </w:pPr>
            <w:r>
              <w:rPr>
                <w:lang w:val="pt-BR"/>
              </w:rPr>
              <w:t>Oxfam India (www.oxfamindia.org)</w:t>
            </w:r>
          </w:p>
          <w:p w14:paraId="75CDDF51" w14:textId="77777777" w:rsidR="00A26DF1" w:rsidRDefault="00A26DF1" w:rsidP="001904B2">
            <w:pPr>
              <w:pStyle w:val="Endcredits"/>
              <w:spacing w:before="0"/>
              <w:rPr>
                <w:lang w:val="en-US"/>
              </w:rPr>
            </w:pPr>
            <w:r>
              <w:rPr>
                <w:lang w:val="en-US"/>
              </w:rPr>
              <w:t xml:space="preserve">Oxfam </w:t>
            </w:r>
            <w:proofErr w:type="spellStart"/>
            <w:r>
              <w:rPr>
                <w:lang w:val="en-US"/>
              </w:rPr>
              <w:t>Intermón</w:t>
            </w:r>
            <w:proofErr w:type="spellEnd"/>
            <w:r>
              <w:rPr>
                <w:lang w:val="en-US"/>
              </w:rPr>
              <w:t xml:space="preserve"> (Spain) (www.oxfamintermon.org) </w:t>
            </w:r>
          </w:p>
          <w:p w14:paraId="75FD2D38" w14:textId="77777777" w:rsidR="00A26DF1" w:rsidRDefault="00A26DF1" w:rsidP="001904B2">
            <w:pPr>
              <w:pStyle w:val="Endcredits"/>
              <w:spacing w:before="0"/>
              <w:rPr>
                <w:lang w:val="pt-BR"/>
              </w:rPr>
            </w:pPr>
            <w:r>
              <w:rPr>
                <w:lang w:val="pt-BR"/>
              </w:rPr>
              <w:t xml:space="preserve">Oxfam Ireland (www.oxfamireland.org) </w:t>
            </w:r>
          </w:p>
          <w:p w14:paraId="0CBCB4DC" w14:textId="77777777" w:rsidR="00A26DF1" w:rsidRDefault="00A26DF1" w:rsidP="001904B2">
            <w:pPr>
              <w:pStyle w:val="Endcredits"/>
              <w:spacing w:before="0"/>
              <w:rPr>
                <w:lang w:val="pt-BR"/>
              </w:rPr>
            </w:pPr>
            <w:r>
              <w:rPr>
                <w:lang w:val="pt-BR"/>
              </w:rPr>
              <w:t>Oxfam Italy (www.oxfamitalia.org)</w:t>
            </w:r>
          </w:p>
          <w:p w14:paraId="3E73049C" w14:textId="77777777" w:rsidR="00A26DF1" w:rsidRDefault="00A26DF1" w:rsidP="001904B2">
            <w:pPr>
              <w:pStyle w:val="Endcredits"/>
              <w:spacing w:before="0"/>
              <w:rPr>
                <w:lang w:val="pt-BR"/>
              </w:rPr>
            </w:pPr>
            <w:r>
              <w:rPr>
                <w:lang w:val="pt-BR"/>
              </w:rPr>
              <w:t xml:space="preserve">Oxfam Mexico (www.oxfammexico.org) </w:t>
            </w:r>
            <w:r>
              <w:rPr>
                <w:lang w:val="pt-BR"/>
              </w:rPr>
              <w:br/>
              <w:t xml:space="preserve">Oxfam Novib (Netherlands) (www.oxfamnovib.nl) </w:t>
            </w:r>
          </w:p>
          <w:p w14:paraId="5D84A059" w14:textId="77777777" w:rsidR="00A26DF1" w:rsidRDefault="00A26DF1" w:rsidP="001904B2">
            <w:pPr>
              <w:pStyle w:val="Endcredits"/>
              <w:spacing w:before="0"/>
              <w:rPr>
                <w:lang w:val="pt-BR"/>
              </w:rPr>
            </w:pPr>
            <w:r>
              <w:rPr>
                <w:lang w:val="pt-BR"/>
              </w:rPr>
              <w:t>Oxfam Québec (www.oxfam.qc.ca)</w:t>
            </w:r>
          </w:p>
          <w:p w14:paraId="440861B4" w14:textId="77777777" w:rsidR="00A26DF1" w:rsidRDefault="00A26DF1" w:rsidP="001904B2">
            <w:pPr>
              <w:pStyle w:val="Endcredits"/>
              <w:spacing w:before="0"/>
            </w:pPr>
            <w:r>
              <w:t>Oxfam South Africa (www.oxfam.org.za)</w:t>
            </w:r>
          </w:p>
          <w:p w14:paraId="10991B66" w14:textId="77777777" w:rsidR="00A26DF1" w:rsidRDefault="00A26DF1" w:rsidP="001904B2">
            <w:pPr>
              <w:pStyle w:val="Endcredits"/>
              <w:spacing w:before="0"/>
            </w:pPr>
            <w:r>
              <w:rPr>
                <w:lang w:val="pt-BR"/>
              </w:rPr>
              <w:t>KEDV (</w:t>
            </w:r>
            <w:r>
              <w:t>www.kedv.org.tr)</w:t>
            </w:r>
          </w:p>
        </w:tc>
      </w:tr>
    </w:tbl>
    <w:sdt>
      <w:sdtPr>
        <w:id w:val="-937300132"/>
        <w:lock w:val="sdtContentLocked"/>
        <w:placeholder>
          <w:docPart w:val="B0F62B16936C497AA5D88D5CC543443A"/>
        </w:placeholder>
        <w:group/>
      </w:sdtPr>
      <w:sdtContent>
        <w:p w14:paraId="50FE7BE8" w14:textId="77777777" w:rsidR="00A26DF1" w:rsidRDefault="00350BF5" w:rsidP="00A26DF1">
          <w:pPr>
            <w:pStyle w:val="Endcredits"/>
          </w:pPr>
          <w:r>
            <w:rPr>
              <w:noProof/>
              <w:lang w:val="en-US" w:bidi="ar-SA"/>
            </w:rPr>
            <mc:AlternateContent>
              <mc:Choice Requires="wps">
                <w:drawing>
                  <wp:anchor distT="0" distB="0" distL="114300" distR="114300" simplePos="0" relativeHeight="251658240" behindDoc="0" locked="0" layoutInCell="1" allowOverlap="1" wp14:anchorId="6CD4C83B" wp14:editId="3A1273F3">
                    <wp:simplePos x="0" y="0"/>
                    <wp:positionH relativeFrom="page">
                      <wp:posOffset>0</wp:posOffset>
                    </wp:positionH>
                    <wp:positionV relativeFrom="page">
                      <wp:posOffset>9082292</wp:posOffset>
                    </wp:positionV>
                    <wp:extent cx="7559675" cy="1609090"/>
                    <wp:effectExtent l="0" t="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160909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1A66072" w14:textId="77777777" w:rsidR="003C0979" w:rsidRPr="00BE4606" w:rsidRDefault="003C0979" w:rsidP="003C0979">
                                <w:pPr>
                                  <w:pStyle w:val="Footer"/>
                                  <w:tabs>
                                    <w:tab w:val="clear" w:pos="4320"/>
                                    <w:tab w:val="clear" w:pos="8640"/>
                                    <w:tab w:val="right" w:pos="9979"/>
                                  </w:tabs>
                                  <w:spacing w:before="360"/>
                                  <w:rPr>
                                    <w:b/>
                                    <w:bCs/>
                                    <w:color w:val="000000"/>
                                    <w:szCs w:val="36"/>
                                  </w:rPr>
                                </w:pPr>
                                <w:r w:rsidRPr="001340B9">
                                  <w:rPr>
                                    <w:color w:val="44841A"/>
                                    <w:sz w:val="36"/>
                                    <w:szCs w:val="36"/>
                                  </w:rPr>
                                  <w:t>www.oxfam.org</w:t>
                                </w:r>
                                <w:r w:rsidRPr="00BE4606">
                                  <w:rPr>
                                    <w:color w:val="000000"/>
                                    <w:sz w:val="36"/>
                                    <w:szCs w:val="36"/>
                                  </w:rPr>
                                  <w:tab/>
                                </w:r>
                                <w:r w:rsidRPr="00BE4606">
                                  <w:rPr>
                                    <w:b/>
                                    <w:bCs/>
                                    <w:noProof/>
                                    <w:snapToGrid/>
                                    <w:color w:val="000000"/>
                                    <w:szCs w:val="36"/>
                                    <w:lang w:eastAsia="en-GB"/>
                                  </w:rPr>
                                  <w:drawing>
                                    <wp:inline distT="0" distB="0" distL="0" distR="0" wp14:anchorId="3AF5A14E" wp14:editId="7C39F50A">
                                      <wp:extent cx="899676" cy="1007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899676" cy="1007842"/>
                                              </a:xfrm>
                                              <a:prstGeom prst="rect">
                                                <a:avLst/>
                                              </a:prstGeom>
                                              <a:extLst>
                                                <a:ext uri="{FAA26D3D-D897-4be2-8F04-BA451C77F1D7}">
                                                  <ma14:placeholderFlag xmlns:a14="http://schemas.microsoft.com/office/drawing/2010/main" xmlns:a16="http://schemas.microsoft.com/office/drawing/2014/main" xmlns:c="http://schemas.openxmlformats.org/drawingml/2006/char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p>
                            </w:txbxContent>
                          </wps:txbx>
                          <wps:bodyPr rot="0" spcFirstLastPara="0" vertOverflow="overflow" horzOverflow="overflow" vert="horz" wrap="square" lIns="61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C83B" id="_x0000_t202" coordsize="21600,21600" o:spt="202" path="m,l,21600r21600,l21600,xe">
                    <v:stroke joinstyle="miter"/>
                    <v:path gradientshapeok="t" o:connecttype="rect"/>
                  </v:shapetype>
                  <v:shape id="Text Box 11" o:spid="_x0000_s1026" type="#_x0000_t202" style="position:absolute;margin-left:0;margin-top:715.15pt;width:595.25pt;height:12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" fillcolor="white [3212]" stroked="f">
                    <v:textbox inset="17mm,0,0,0">
                      <w:txbxContent>
                        <w:p w14:paraId="71A66072" w14:textId="77777777" w:rsidR="003C0979" w:rsidRPr="00BE4606" w:rsidRDefault="003C0979" w:rsidP="003C0979">
                          <w:pPr>
                            <w:pStyle w:val="Footer"/>
                            <w:tabs>
                              <w:tab w:val="clear" w:pos="4320"/>
                              <w:tab w:val="clear" w:pos="8640"/>
                              <w:tab w:val="right" w:pos="9979"/>
                            </w:tabs>
                            <w:spacing w:before="360"/>
                            <w:rPr>
                              <w:b/>
                              <w:bCs/>
                              <w:color w:val="000000"/>
                              <w:szCs w:val="36"/>
                            </w:rPr>
                          </w:pPr>
                          <w:r w:rsidRPr="001340B9">
                            <w:rPr>
                              <w:color w:val="44841A"/>
                              <w:sz w:val="36"/>
                              <w:szCs w:val="36"/>
                            </w:rPr>
                            <w:t>www.oxfam.org</w:t>
                          </w:r>
                          <w:r w:rsidRPr="00BE4606">
                            <w:rPr>
                              <w:color w:val="000000"/>
                              <w:sz w:val="36"/>
                              <w:szCs w:val="36"/>
                            </w:rPr>
                            <w:tab/>
                          </w:r>
                          <w:r w:rsidRPr="00BE4606">
                            <w:rPr>
                              <w:b/>
                              <w:bCs/>
                              <w:noProof/>
                              <w:snapToGrid/>
                              <w:color w:val="000000"/>
                              <w:szCs w:val="36"/>
                              <w:lang w:eastAsia="en-GB"/>
                            </w:rPr>
                            <w:drawing>
                              <wp:inline distT="0" distB="0" distL="0" distR="0" wp14:anchorId="3AF5A14E" wp14:editId="7C39F50A">
                                <wp:extent cx="899676" cy="1007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899676" cy="1007842"/>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6="http://schemas.microsoft.com/office/drawing/2014/main" xmlns:a14="http://schemas.microsoft.com/office/drawing/2010/main"/>
                                          </a:ext>
                                        </a:extLst>
                                      </pic:spPr>
                                    </pic:pic>
                                  </a:graphicData>
                                </a:graphic>
                              </wp:inline>
                            </w:drawing>
                          </w:r>
                        </w:p>
                      </w:txbxContent>
                    </v:textbox>
                    <w10:wrap anchorx="page" anchory="page"/>
                  </v:shape>
                </w:pict>
              </mc:Fallback>
            </mc:AlternateContent>
          </w:r>
        </w:p>
      </w:sdtContent>
    </w:sdt>
    <w:sectPr w:rsidR="00A26DF1" w:rsidSect="001132CF">
      <w:headerReference w:type="first" r:id="rId18"/>
      <w:endnotePr>
        <w:numFmt w:val="decimal"/>
      </w:endnotePr>
      <w:pgSz w:w="11906" w:h="16838" w:code="9"/>
      <w:pgMar w:top="964" w:right="3799" w:bottom="1134" w:left="96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C3B28" w14:textId="77777777" w:rsidR="00874C9E" w:rsidRPr="004410F2" w:rsidRDefault="00874C9E" w:rsidP="004410F2">
      <w:pPr>
        <w:pStyle w:val="Footer"/>
      </w:pPr>
    </w:p>
  </w:endnote>
  <w:endnote w:type="continuationSeparator" w:id="0">
    <w:p w14:paraId="706C5266" w14:textId="77777777" w:rsidR="00874C9E" w:rsidRPr="004410F2" w:rsidRDefault="00874C9E" w:rsidP="004410F2">
      <w:pPr>
        <w:pStyle w:val="Footer"/>
      </w:pPr>
    </w:p>
  </w:endnote>
  <w:endnote w:type="continuationNotice" w:id="1">
    <w:p w14:paraId="126AC112" w14:textId="77777777" w:rsidR="00874C9E" w:rsidRPr="004410F2" w:rsidRDefault="00874C9E" w:rsidP="004410F2">
      <w:pPr>
        <w:pStyle w:val="Footer"/>
      </w:pPr>
    </w:p>
  </w:endnote>
  <w:endnote w:id="2">
    <w:p w14:paraId="22BC2ECA" w14:textId="40F52D9E" w:rsidR="001637E8" w:rsidRPr="00675266" w:rsidRDefault="001637E8" w:rsidP="0091219A">
      <w:pPr>
        <w:pStyle w:val="EndnoteText"/>
        <w:rPr>
          <w:u w:val="single"/>
        </w:rPr>
      </w:pPr>
      <w:r w:rsidRPr="0091219A">
        <w:rPr>
          <w:rStyle w:val="EndnoteReference"/>
          <w:color w:val="000000"/>
        </w:rPr>
        <w:endnoteRef/>
      </w:r>
      <w:r w:rsidRPr="0091219A">
        <w:rPr>
          <w:vertAlign w:val="superscript"/>
        </w:rPr>
        <w:t xml:space="preserve"> </w:t>
      </w:r>
      <w:r w:rsidRPr="00675266">
        <w:t>Forbes. (</w:t>
      </w:r>
      <w:r w:rsidR="009D3345" w:rsidRPr="00675266">
        <w:t>2023</w:t>
      </w:r>
      <w:r w:rsidRPr="00675266">
        <w:t>). The World</w:t>
      </w:r>
      <w:r w:rsidR="00F27275" w:rsidRPr="00675266">
        <w:t>’</w:t>
      </w:r>
      <w:r w:rsidRPr="00675266">
        <w:t>s Real-Time Billionaires.</w:t>
      </w:r>
      <w:r w:rsidR="00DE1945" w:rsidRPr="00675266">
        <w:t xml:space="preserve"> </w:t>
      </w:r>
      <w:hyperlink r:id="rId1" w:anchor="24e340bd3d78" w:history="1">
        <w:r w:rsidR="00DE1945" w:rsidRPr="00675266">
          <w:rPr>
            <w:rStyle w:val="Hyperlink"/>
            <w:color w:val="000000"/>
          </w:rPr>
          <w:t>https://www.forbes.com/real-time-billionaires/#24e340bd3d78</w:t>
        </w:r>
      </w:hyperlink>
    </w:p>
  </w:endnote>
  <w:endnote w:id="3">
    <w:p w14:paraId="38E19889" w14:textId="40AE8071" w:rsidR="001637E8" w:rsidRPr="00675266" w:rsidRDefault="001637E8" w:rsidP="0091219A">
      <w:pPr>
        <w:pStyle w:val="EndnoteText"/>
      </w:pPr>
      <w:r w:rsidRPr="00675266">
        <w:rPr>
          <w:rStyle w:val="EndnoteReference"/>
          <w:color w:val="000000"/>
        </w:rPr>
        <w:endnoteRef/>
      </w:r>
      <w:r w:rsidRPr="00675266">
        <w:rPr>
          <w:vertAlign w:val="superscript"/>
        </w:rPr>
        <w:t xml:space="preserve"> </w:t>
      </w:r>
      <w:r w:rsidRPr="00675266">
        <w:t xml:space="preserve">UBS. (2023). </w:t>
      </w:r>
      <w:r w:rsidRPr="00675266">
        <w:rPr>
          <w:i/>
          <w:iCs/>
        </w:rPr>
        <w:t>Global Wealth Report 2023.</w:t>
      </w:r>
      <w:r w:rsidRPr="00675266">
        <w:t xml:space="preserve"> </w:t>
      </w:r>
      <w:hyperlink r:id="rId2" w:history="1">
        <w:r w:rsidR="00A37C5F" w:rsidRPr="00675266">
          <w:rPr>
            <w:rStyle w:val="Hyperlink"/>
            <w:color w:val="000000"/>
          </w:rPr>
          <w:t>https://www.ubs.com/global/en/family-office-uhnw/reports/global-wealth-report-2023.html</w:t>
        </w:r>
      </w:hyperlink>
      <w:r w:rsidRPr="00675266">
        <w:t xml:space="preserve"> </w:t>
      </w:r>
    </w:p>
  </w:endnote>
  <w:endnote w:id="4">
    <w:p w14:paraId="062E67F0" w14:textId="7D618E3C" w:rsidR="001637E8" w:rsidRPr="00675266" w:rsidRDefault="001637E8" w:rsidP="0091219A">
      <w:pPr>
        <w:pStyle w:val="EndnoteText"/>
        <w:rPr>
          <w:u w:val="single"/>
        </w:rPr>
      </w:pPr>
      <w:r w:rsidRPr="00675266">
        <w:rPr>
          <w:rStyle w:val="EndnoteReference"/>
          <w:color w:val="000000"/>
        </w:rPr>
        <w:endnoteRef/>
      </w:r>
      <w:r w:rsidRPr="00675266">
        <w:rPr>
          <w:vertAlign w:val="superscript"/>
        </w:rPr>
        <w:t xml:space="preserve"> </w:t>
      </w:r>
      <w:r w:rsidRPr="00675266">
        <w:t>Credit Suisse</w:t>
      </w:r>
      <w:r w:rsidR="00A37C5F" w:rsidRPr="00675266">
        <w:t xml:space="preserve"> Research Institute</w:t>
      </w:r>
      <w:r w:rsidRPr="00675266">
        <w:t xml:space="preserve">. (2019). </w:t>
      </w:r>
      <w:r w:rsidRPr="00675266">
        <w:rPr>
          <w:i/>
          <w:iCs/>
        </w:rPr>
        <w:t xml:space="preserve">Global </w:t>
      </w:r>
      <w:r w:rsidR="009773A2" w:rsidRPr="00675266">
        <w:rPr>
          <w:i/>
          <w:iCs/>
        </w:rPr>
        <w:t>W</w:t>
      </w:r>
      <w:r w:rsidRPr="00675266">
        <w:rPr>
          <w:i/>
          <w:iCs/>
        </w:rPr>
        <w:t xml:space="preserve">ealth </w:t>
      </w:r>
      <w:r w:rsidR="009773A2" w:rsidRPr="00675266">
        <w:rPr>
          <w:i/>
          <w:iCs/>
        </w:rPr>
        <w:t xml:space="preserve">Databook </w:t>
      </w:r>
      <w:r w:rsidRPr="00675266">
        <w:rPr>
          <w:i/>
          <w:iCs/>
        </w:rPr>
        <w:t>2019</w:t>
      </w:r>
      <w:r w:rsidR="00A37C5F" w:rsidRPr="00675266">
        <w:t>.</w:t>
      </w:r>
      <w:r w:rsidR="00F27275" w:rsidRPr="00675266">
        <w:t xml:space="preserve"> </w:t>
      </w:r>
      <w:hyperlink r:id="rId3" w:history="1">
        <w:r w:rsidR="00F27275" w:rsidRPr="00675266">
          <w:rPr>
            <w:rStyle w:val="Hyperlink"/>
            <w:color w:val="000000"/>
          </w:rPr>
          <w:t>https://www.credit-suisse.com/media/assets/corporate/docs/about-us/research/publications/global-wealth-databook-2019.pdf</w:t>
        </w:r>
      </w:hyperlink>
    </w:p>
  </w:endnote>
  <w:endnote w:id="5">
    <w:p w14:paraId="2AE0288D" w14:textId="613C0645" w:rsidR="001637E8" w:rsidRPr="00675266" w:rsidRDefault="001637E8" w:rsidP="0091219A">
      <w:pPr>
        <w:pStyle w:val="EndnoteText"/>
        <w:rPr>
          <w:u w:val="single"/>
        </w:rPr>
      </w:pPr>
      <w:r w:rsidRPr="00675266">
        <w:rPr>
          <w:rStyle w:val="EndnoteReference"/>
          <w:color w:val="000000"/>
        </w:rPr>
        <w:endnoteRef/>
      </w:r>
      <w:r w:rsidRPr="00675266">
        <w:t xml:space="preserve"> </w:t>
      </w:r>
      <w:r w:rsidR="00A37C5F" w:rsidRPr="00675266">
        <w:t xml:space="preserve">U.S. </w:t>
      </w:r>
      <w:r w:rsidRPr="00675266">
        <w:t xml:space="preserve">Bureau of Labor Statistics. </w:t>
      </w:r>
      <w:hyperlink r:id="rId4" w:history="1">
        <w:r w:rsidR="009D3345" w:rsidRPr="00675266">
          <w:rPr>
            <w:rStyle w:val="Hyperlink"/>
            <w:color w:val="000000"/>
          </w:rPr>
          <w:t>https://data.bls.gov/pdq/SurveyOutputServlet</w:t>
        </w:r>
      </w:hyperlink>
    </w:p>
  </w:endnote>
  <w:endnote w:id="6">
    <w:p w14:paraId="41CA5F7C" w14:textId="54A3DCE2" w:rsidR="00F03CE1" w:rsidRPr="00675266" w:rsidRDefault="00F03CE1" w:rsidP="0091219A">
      <w:pPr>
        <w:pStyle w:val="EndnoteText"/>
      </w:pPr>
      <w:r w:rsidRPr="00675266">
        <w:rPr>
          <w:rStyle w:val="EndnoteReference"/>
          <w:color w:val="000000"/>
        </w:rPr>
        <w:endnoteRef/>
      </w:r>
      <w:r w:rsidRPr="00675266">
        <w:rPr>
          <w:vertAlign w:val="superscript"/>
        </w:rPr>
        <w:t xml:space="preserve"> </w:t>
      </w:r>
      <w:r w:rsidRPr="00675266">
        <w:t xml:space="preserve">See: </w:t>
      </w:r>
      <w:hyperlink r:id="rId5" w:history="1">
        <w:r w:rsidRPr="00675266">
          <w:rPr>
            <w:rStyle w:val="Hyperlink"/>
            <w:color w:val="000000"/>
          </w:rPr>
          <w:t>https://databankfiles.worldbank.org/public/ddpext_download/POP.pdf</w:t>
        </w:r>
      </w:hyperlink>
      <w:r w:rsidRPr="00675266">
        <w:t xml:space="preserve"> </w:t>
      </w:r>
    </w:p>
  </w:endnote>
  <w:endnote w:id="7">
    <w:p w14:paraId="15F03DD9" w14:textId="06BB735D" w:rsidR="003C1191" w:rsidRPr="00675266" w:rsidRDefault="00F941D9" w:rsidP="003C1191">
      <w:pPr>
        <w:pStyle w:val="EndnoteText"/>
        <w:rPr>
          <w:color w:val="auto"/>
          <w:u w:val="single"/>
        </w:rPr>
      </w:pPr>
      <w:r w:rsidRPr="00675266">
        <w:rPr>
          <w:rStyle w:val="EndnoteReference"/>
          <w:color w:val="000000"/>
        </w:rPr>
        <w:endnoteRef/>
      </w:r>
      <w:r w:rsidR="00DE1945" w:rsidRPr="00675266">
        <w:t xml:space="preserve"> </w:t>
      </w:r>
      <w:r w:rsidRPr="00675266">
        <w:t>Eurostat. (</w:t>
      </w:r>
      <w:r w:rsidR="003C1191" w:rsidRPr="00675266">
        <w:t xml:space="preserve">30 March </w:t>
      </w:r>
      <w:r w:rsidRPr="00675266">
        <w:t xml:space="preserve">2023). </w:t>
      </w:r>
      <w:r w:rsidR="00A37C5F" w:rsidRPr="00675266">
        <w:t>Labour cost levels by NACE Rev. 2 activity.</w:t>
      </w:r>
      <w:r w:rsidR="004F3517" w:rsidRPr="00675266">
        <w:t xml:space="preserve"> https://ec.europa.eu/eurostat/databrowser/view/lc_lci_lev__custom_7961217/default/table?lang=en</w:t>
      </w:r>
    </w:p>
  </w:endnote>
  <w:endnote w:id="8">
    <w:p w14:paraId="535D1780" w14:textId="7D08145E" w:rsidR="00F02F18" w:rsidRPr="00675266" w:rsidRDefault="00F02F18">
      <w:pPr>
        <w:pStyle w:val="EndnoteText"/>
      </w:pPr>
      <w:r w:rsidRPr="00675266">
        <w:rPr>
          <w:rStyle w:val="EndnoteReference"/>
        </w:rPr>
        <w:endnoteRef/>
      </w:r>
      <w:r w:rsidRPr="00675266">
        <w:t xml:space="preserve"> Eurostat. (14 December 2023). </w:t>
      </w:r>
      <w:hyperlink r:id="rId6" w:history="1">
        <w:r w:rsidRPr="00675266">
          <w:rPr>
            <w:rStyle w:val="Hyperlink"/>
          </w:rPr>
          <w:t>https://ec.europa.eu/eurostat/databrowser/bookmark/39db59e4-d0d3-487e-aef2-950f3b481962?lang=en</w:t>
        </w:r>
      </w:hyperlink>
    </w:p>
  </w:endnote>
  <w:endnote w:id="9">
    <w:p w14:paraId="62E701FD" w14:textId="3A2CC42C" w:rsidR="00F941D9" w:rsidRPr="00675266" w:rsidRDefault="00F941D9" w:rsidP="004F3517">
      <w:pPr>
        <w:pStyle w:val="EndnoteText"/>
      </w:pPr>
      <w:r w:rsidRPr="00675266">
        <w:rPr>
          <w:rStyle w:val="EndnoteReference"/>
          <w:color w:val="000000"/>
        </w:rPr>
        <w:endnoteRef/>
      </w:r>
      <w:r w:rsidRPr="00675266">
        <w:t xml:space="preserve"> Eurostat. (</w:t>
      </w:r>
      <w:r w:rsidR="003C1191" w:rsidRPr="00675266">
        <w:t xml:space="preserve">15 September </w:t>
      </w:r>
      <w:r w:rsidRPr="00675266">
        <w:t xml:space="preserve">2023). </w:t>
      </w:r>
      <w:r w:rsidR="00A37C5F" w:rsidRPr="00675266">
        <w:t xml:space="preserve">Labour cost index by NACE Rev. 2 activity - nominal value, quarterly data. </w:t>
      </w:r>
      <w:hyperlink r:id="rId7" w:history="1">
        <w:r w:rsidR="008030F1" w:rsidRPr="00675266">
          <w:rPr>
            <w:rStyle w:val="Hyperlink"/>
            <w:color w:val="000000"/>
          </w:rPr>
          <w:t>https://ec.europa.eu/eurostat/databrowser/bookmark/2d16b716-8253-483f-ab99-2ed9ddb64a05?lang=en</w:t>
        </w:r>
      </w:hyperlink>
      <w:r w:rsidR="008030F1" w:rsidRPr="00675266">
        <w:t xml:space="preserve"> </w:t>
      </w:r>
    </w:p>
  </w:endnote>
  <w:endnote w:id="10">
    <w:p w14:paraId="53442B77" w14:textId="1883F6B1" w:rsidR="00F941D9" w:rsidRPr="00675266" w:rsidRDefault="00F941D9" w:rsidP="004F3517">
      <w:pPr>
        <w:pStyle w:val="EndnoteText"/>
      </w:pPr>
      <w:r w:rsidRPr="00675266">
        <w:rPr>
          <w:rStyle w:val="EndnoteReference"/>
          <w:color w:val="000000"/>
        </w:rPr>
        <w:endnoteRef/>
      </w:r>
      <w:r w:rsidR="00F27275" w:rsidRPr="00675266">
        <w:rPr>
          <w:vertAlign w:val="superscript"/>
        </w:rPr>
        <w:t xml:space="preserve"> </w:t>
      </w:r>
      <w:r w:rsidR="00F27275" w:rsidRPr="00675266">
        <w:t>Eurostat</w:t>
      </w:r>
      <w:r w:rsidRPr="00675266">
        <w:t xml:space="preserve"> (</w:t>
      </w:r>
      <w:r w:rsidR="003C1191" w:rsidRPr="00675266">
        <w:t xml:space="preserve">17 October </w:t>
      </w:r>
      <w:r w:rsidRPr="00675266">
        <w:t>2023). Hours worked compared to hours paid</w:t>
      </w:r>
      <w:r w:rsidR="00F27275" w:rsidRPr="00675266">
        <w:t>, by NACE Rev. 2 Activity</w:t>
      </w:r>
      <w:r w:rsidRPr="00675266">
        <w:t xml:space="preserve">. </w:t>
      </w:r>
      <w:hyperlink r:id="rId8" w:history="1">
        <w:r w:rsidR="00A37C5F" w:rsidRPr="00675266">
          <w:rPr>
            <w:rStyle w:val="Hyperlink"/>
            <w:color w:val="000000"/>
          </w:rPr>
          <w:t>https://ec.europa.eu/eurostat/databrowser/view/lc_nhour_r2/default/table?lang=en</w:t>
        </w:r>
      </w:hyperlink>
      <w:r w:rsidR="008030F1" w:rsidRPr="00675266">
        <w:t xml:space="preserve"> </w:t>
      </w:r>
    </w:p>
  </w:endnote>
  <w:endnote w:id="11">
    <w:p w14:paraId="794444ED" w14:textId="5E8F35FC" w:rsidR="00F941D9" w:rsidRPr="00675266" w:rsidRDefault="00F941D9" w:rsidP="004F3517">
      <w:pPr>
        <w:pStyle w:val="EndnoteText"/>
      </w:pPr>
      <w:r w:rsidRPr="00675266">
        <w:rPr>
          <w:rStyle w:val="EndnoteReference"/>
          <w:color w:val="000000"/>
        </w:rPr>
        <w:endnoteRef/>
      </w:r>
      <w:r w:rsidRPr="00675266">
        <w:rPr>
          <w:vertAlign w:val="superscript"/>
        </w:rPr>
        <w:t xml:space="preserve"> </w:t>
      </w:r>
      <w:r w:rsidR="00A37C5F" w:rsidRPr="00675266">
        <w:t xml:space="preserve">International Labour Organization </w:t>
      </w:r>
      <w:r w:rsidRPr="00675266">
        <w:t xml:space="preserve">(2022). </w:t>
      </w:r>
      <w:r w:rsidR="00A37C5F" w:rsidRPr="00675266">
        <w:rPr>
          <w:i/>
          <w:iCs/>
        </w:rPr>
        <w:t xml:space="preserve">Global </w:t>
      </w:r>
      <w:r w:rsidR="00086C41" w:rsidRPr="00675266">
        <w:rPr>
          <w:i/>
          <w:iCs/>
        </w:rPr>
        <w:t>W</w:t>
      </w:r>
      <w:r w:rsidR="00A37C5F" w:rsidRPr="00675266">
        <w:rPr>
          <w:i/>
          <w:iCs/>
        </w:rPr>
        <w:t xml:space="preserve">age </w:t>
      </w:r>
      <w:r w:rsidR="00086C41" w:rsidRPr="00675266">
        <w:rPr>
          <w:i/>
          <w:iCs/>
        </w:rPr>
        <w:t>R</w:t>
      </w:r>
      <w:r w:rsidR="00A37C5F" w:rsidRPr="00675266">
        <w:rPr>
          <w:i/>
          <w:iCs/>
        </w:rPr>
        <w:t>eport 2022</w:t>
      </w:r>
      <w:r w:rsidR="009773A2" w:rsidRPr="00675266">
        <w:rPr>
          <w:i/>
          <w:iCs/>
        </w:rPr>
        <w:t>–</w:t>
      </w:r>
      <w:r w:rsidR="00A37C5F" w:rsidRPr="00675266">
        <w:rPr>
          <w:i/>
          <w:iCs/>
        </w:rPr>
        <w:t>23</w:t>
      </w:r>
      <w:r w:rsidR="00A37C5F" w:rsidRPr="00675266">
        <w:t xml:space="preserve">. </w:t>
      </w:r>
      <w:hyperlink r:id="rId9" w:history="1">
        <w:r w:rsidR="008030F1" w:rsidRPr="00675266">
          <w:rPr>
            <w:rStyle w:val="Hyperlink"/>
            <w:color w:val="000000"/>
          </w:rPr>
          <w:t>https://www.ilo.org/infostories/getmedia/534d9c07-5870-4b6e-85a4-ccda41e77c0f/globalwagereport-2022-23-data.xls</w:t>
        </w:r>
        <w:r w:rsidR="008030F1" w:rsidRPr="00675266">
          <w:rPr>
            <w:rStyle w:val="Hyperlink"/>
            <w:color w:val="000000"/>
            <w:u w:val="none"/>
          </w:rPr>
          <w:t>x</w:t>
        </w:r>
      </w:hyperlink>
      <w:r w:rsidR="008030F1" w:rsidRPr="00675266">
        <w:t xml:space="preserve"> </w:t>
      </w:r>
    </w:p>
  </w:endnote>
  <w:endnote w:id="12">
    <w:p w14:paraId="4B1529FD" w14:textId="0ABC4275" w:rsidR="00F941D9" w:rsidRPr="00675266" w:rsidRDefault="00F941D9" w:rsidP="004F3517">
      <w:pPr>
        <w:pStyle w:val="EndnoteText"/>
        <w:rPr>
          <w:sz w:val="22"/>
          <w:szCs w:val="22"/>
        </w:rPr>
      </w:pPr>
      <w:r w:rsidRPr="00675266">
        <w:rPr>
          <w:rStyle w:val="EndnoteReference"/>
          <w:color w:val="000000"/>
        </w:rPr>
        <w:endnoteRef/>
      </w:r>
      <w:r w:rsidR="00F27275" w:rsidRPr="00675266">
        <w:rPr>
          <w:vertAlign w:val="superscript"/>
        </w:rPr>
        <w:t xml:space="preserve"> </w:t>
      </w:r>
      <w:r w:rsidRPr="00675266">
        <w:t>I</w:t>
      </w:r>
      <w:r w:rsidR="00E02435" w:rsidRPr="00675266">
        <w:t>LOSTAT</w:t>
      </w:r>
      <w:r w:rsidRPr="00675266">
        <w:t>.</w:t>
      </w:r>
      <w:r w:rsidR="003C1191" w:rsidRPr="00675266">
        <w:t xml:space="preserve"> </w:t>
      </w:r>
      <w:hyperlink r:id="rId10" w:history="1">
        <w:r w:rsidR="003C1191" w:rsidRPr="00675266">
          <w:rPr>
            <w:rStyle w:val="Hyperlink"/>
          </w:rPr>
          <w:t>https://www.ilo.org/shinyapps/bulkexplorer22/?id=EAR_4MTH_SEX_ECO_CUR_NB_A&amp;sex=SEX_T&amp;classif1=ECO_AGGREGATE_TOTAL+ECO_ISIC4_TOTAL&amp;classif2=CUR_TYPE_LCU&amp;timefrom=2021</w:t>
        </w:r>
      </w:hyperlink>
      <w:r w:rsidR="008030F1" w:rsidRPr="00675266">
        <w:rPr>
          <w:sz w:val="22"/>
          <w:szCs w:val="22"/>
        </w:rPr>
        <w:t xml:space="preserve"> </w:t>
      </w:r>
    </w:p>
  </w:endnote>
  <w:endnote w:id="13">
    <w:p w14:paraId="2FF89937" w14:textId="15EA52B1" w:rsidR="00F941D9" w:rsidRPr="00675266" w:rsidRDefault="00F941D9" w:rsidP="00B25500">
      <w:pPr>
        <w:pStyle w:val="EndnoteText"/>
      </w:pPr>
      <w:r w:rsidRPr="00675266">
        <w:rPr>
          <w:rStyle w:val="EndnoteReference"/>
          <w:color w:val="000000"/>
        </w:rPr>
        <w:endnoteRef/>
      </w:r>
      <w:r w:rsidR="00F27275" w:rsidRPr="00675266">
        <w:rPr>
          <w:vertAlign w:val="superscript"/>
        </w:rPr>
        <w:t xml:space="preserve"> </w:t>
      </w:r>
      <w:r w:rsidR="00E02435" w:rsidRPr="00675266">
        <w:t>ILOSTAT</w:t>
      </w:r>
      <w:r w:rsidRPr="00675266">
        <w:t xml:space="preserve">. </w:t>
      </w:r>
      <w:hyperlink r:id="rId11" w:history="1">
        <w:r w:rsidR="00086C41" w:rsidRPr="00675266">
          <w:rPr>
            <w:rStyle w:val="Hyperlink"/>
            <w:color w:val="000000"/>
          </w:rPr>
          <w:t>https://www.ilo.org/shinyapps/bulkexplorer22/?id=EAR_XEES_SEX_ECO_NB_Q&amp;sex=SEX_T&amp;classif1=ECO_SECTOR_TOTAL+ECO_AGGREGATE_TOTAL+ECO_ISIC4_TOTAL&amp;timefrom=2023</w:t>
        </w:r>
      </w:hyperlink>
      <w:r w:rsidR="008030F1" w:rsidRPr="00675266">
        <w:t xml:space="preserve"> </w:t>
      </w:r>
    </w:p>
  </w:endnote>
  <w:endnote w:id="14">
    <w:p w14:paraId="6F1AA660" w14:textId="4AD657C4" w:rsidR="00F941D9" w:rsidRPr="00675266" w:rsidRDefault="00F941D9" w:rsidP="00B25500">
      <w:pPr>
        <w:pStyle w:val="EndnoteText"/>
      </w:pPr>
      <w:r w:rsidRPr="00675266">
        <w:rPr>
          <w:rStyle w:val="EndnoteReference"/>
          <w:color w:val="000000"/>
        </w:rPr>
        <w:endnoteRef/>
      </w:r>
      <w:r w:rsidRPr="00675266">
        <w:rPr>
          <w:vertAlign w:val="superscript"/>
        </w:rPr>
        <w:t xml:space="preserve"> </w:t>
      </w:r>
      <w:r w:rsidRPr="00675266">
        <w:t xml:space="preserve">Korn Ferry. (2022). </w:t>
      </w:r>
      <w:r w:rsidRPr="00675266">
        <w:rPr>
          <w:i/>
          <w:iCs/>
        </w:rPr>
        <w:t>Global Rewards Pulse Survey 2022</w:t>
      </w:r>
      <w:r w:rsidR="003246E6" w:rsidRPr="00675266">
        <w:rPr>
          <w:i/>
          <w:iCs/>
        </w:rPr>
        <w:t>: Compensation Practices and Salary Increase Projections for 2022</w:t>
      </w:r>
      <w:r w:rsidRPr="00675266">
        <w:t xml:space="preserve">. </w:t>
      </w:r>
      <w:hyperlink r:id="rId12" w:history="1">
        <w:r w:rsidR="008030F1" w:rsidRPr="00675266">
          <w:rPr>
            <w:rStyle w:val="Hyperlink"/>
            <w:color w:val="000000"/>
          </w:rPr>
          <w:t>https://www.kornferry.com/content/dam/kornferry-v2/featured-topics/pdf/Global-Rewards-Pulse-Survey-2022.pdf</w:t>
        </w:r>
      </w:hyperlink>
      <w:r w:rsidR="008030F1" w:rsidRPr="00675266">
        <w:t xml:space="preserve"> </w:t>
      </w:r>
    </w:p>
  </w:endnote>
  <w:endnote w:id="15">
    <w:p w14:paraId="6C6D9115" w14:textId="03EA6965" w:rsidR="00F941D9" w:rsidRPr="00675266" w:rsidRDefault="00F941D9" w:rsidP="00B25500">
      <w:pPr>
        <w:pStyle w:val="EndnoteText"/>
      </w:pPr>
      <w:r w:rsidRPr="00675266">
        <w:rPr>
          <w:rStyle w:val="EndnoteReference"/>
          <w:color w:val="000000"/>
        </w:rPr>
        <w:endnoteRef/>
      </w:r>
      <w:r w:rsidRPr="00675266">
        <w:t xml:space="preserve"> Korn Ferry. (</w:t>
      </w:r>
      <w:r w:rsidR="003C1191" w:rsidRPr="00675266">
        <w:t xml:space="preserve">September </w:t>
      </w:r>
      <w:r w:rsidRPr="00675266">
        <w:t xml:space="preserve">2022). </w:t>
      </w:r>
      <w:r w:rsidRPr="00675266">
        <w:rPr>
          <w:i/>
          <w:iCs/>
        </w:rPr>
        <w:t>Global Total Rewards Pulse Survey</w:t>
      </w:r>
      <w:r w:rsidR="003246E6" w:rsidRPr="00675266">
        <w:rPr>
          <w:i/>
          <w:iCs/>
        </w:rPr>
        <w:t>: Dealing with high inflation in a volatile economy</w:t>
      </w:r>
      <w:r w:rsidRPr="00675266">
        <w:t>.</w:t>
      </w:r>
      <w:r w:rsidR="00A37C5F" w:rsidRPr="00675266">
        <w:t xml:space="preserve"> </w:t>
      </w:r>
      <w:hyperlink r:id="rId13" w:history="1">
        <w:r w:rsidR="00E60E01" w:rsidRPr="00675266">
          <w:rPr>
            <w:rStyle w:val="Hyperlink"/>
            <w:color w:val="000000"/>
          </w:rPr>
          <w:t>https://www.kornferry.com/content/dam/kornferry-v2/featured-topics/pdf/Total_Rewards_Pulse_Survey_Report_FINAL.pdf</w:t>
        </w:r>
      </w:hyperlink>
      <w:r w:rsidR="00E60E01" w:rsidRPr="00675266">
        <w:t xml:space="preserve"> </w:t>
      </w:r>
    </w:p>
  </w:endnote>
  <w:endnote w:id="16">
    <w:p w14:paraId="4263B529" w14:textId="0B870D43" w:rsidR="00F941D9" w:rsidRPr="00675266" w:rsidRDefault="00F941D9" w:rsidP="00B25500">
      <w:pPr>
        <w:pStyle w:val="EndnoteText"/>
      </w:pPr>
      <w:r w:rsidRPr="00675266">
        <w:rPr>
          <w:rStyle w:val="EndnoteReference"/>
          <w:color w:val="000000"/>
        </w:rPr>
        <w:endnoteRef/>
      </w:r>
      <w:r w:rsidR="003246E6" w:rsidRPr="00675266">
        <w:rPr>
          <w:vertAlign w:val="superscript"/>
        </w:rPr>
        <w:t xml:space="preserve"> </w:t>
      </w:r>
      <w:r w:rsidR="00AC6B27" w:rsidRPr="00675266">
        <w:t>ILOSTAT</w:t>
      </w:r>
      <w:r w:rsidRPr="00675266">
        <w:t>.</w:t>
      </w:r>
      <w:r w:rsidR="00086C41" w:rsidRPr="00675266">
        <w:t xml:space="preserve"> </w:t>
      </w:r>
      <w:hyperlink r:id="rId14" w:history="1">
        <w:r w:rsidR="007718C2" w:rsidRPr="00675266">
          <w:rPr>
            <w:rStyle w:val="Hyperlink"/>
            <w:color w:val="000000"/>
          </w:rPr>
          <w:t>https://www.ilo.org/shinyapps/bulkexplorer37/?lang=en&amp;id=EMP_TEMP_SEX_AGE_NB_A</w:t>
        </w:r>
      </w:hyperlink>
      <w:r w:rsidR="008030F1" w:rsidRPr="00675266">
        <w:t xml:space="preserve"> </w:t>
      </w:r>
    </w:p>
  </w:endnote>
  <w:endnote w:id="17">
    <w:p w14:paraId="57672301" w14:textId="56988B85" w:rsidR="00F941D9" w:rsidRPr="00675266" w:rsidRDefault="00F941D9" w:rsidP="00B25500">
      <w:pPr>
        <w:pStyle w:val="EndnoteText"/>
      </w:pPr>
      <w:r w:rsidRPr="00675266">
        <w:rPr>
          <w:rStyle w:val="EndnoteReference"/>
          <w:color w:val="000000"/>
        </w:rPr>
        <w:endnoteRef/>
      </w:r>
      <w:r w:rsidRPr="00675266">
        <w:t xml:space="preserve"> </w:t>
      </w:r>
      <w:r w:rsidR="009D2A1A" w:rsidRPr="00675266">
        <w:t>The Global Economy.com</w:t>
      </w:r>
      <w:r w:rsidRPr="00675266">
        <w:t xml:space="preserve">. </w:t>
      </w:r>
      <w:hyperlink r:id="rId15" w:history="1">
        <w:r w:rsidR="00AC6B27" w:rsidRPr="00675266">
          <w:rPr>
            <w:rStyle w:val="Hyperlink"/>
            <w:color w:val="000000"/>
          </w:rPr>
          <w:t>https://www.theglobaleconomy.com/</w:t>
        </w:r>
      </w:hyperlink>
      <w:r w:rsidR="00AC6B27" w:rsidRPr="00675266">
        <w:t xml:space="preserve"> </w:t>
      </w:r>
    </w:p>
  </w:endnote>
  <w:endnote w:id="18">
    <w:p w14:paraId="2B310F3F" w14:textId="0A94CA8E" w:rsidR="00F941D9" w:rsidRPr="00675266" w:rsidRDefault="00F941D9" w:rsidP="00B25500">
      <w:pPr>
        <w:pStyle w:val="EndnoteText"/>
      </w:pPr>
      <w:r w:rsidRPr="00675266">
        <w:rPr>
          <w:rStyle w:val="EndnoteReference"/>
          <w:color w:val="000000"/>
        </w:rPr>
        <w:endnoteRef/>
      </w:r>
      <w:r w:rsidRPr="00675266">
        <w:t xml:space="preserve"> </w:t>
      </w:r>
      <w:r w:rsidR="009D2A1A" w:rsidRPr="00675266">
        <w:t xml:space="preserve">U.S. </w:t>
      </w:r>
      <w:r w:rsidRPr="00675266">
        <w:t xml:space="preserve">Bureau of Labor Statistics. </w:t>
      </w:r>
      <w:hyperlink r:id="rId16" w:history="1">
        <w:r w:rsidR="009D3345" w:rsidRPr="00675266">
          <w:rPr>
            <w:rStyle w:val="Hyperlink"/>
            <w:color w:val="000000"/>
          </w:rPr>
          <w:t>https://data.bls.gov/pdq/SurveyOutputServlet</w:t>
        </w:r>
      </w:hyperlink>
    </w:p>
  </w:endnote>
  <w:endnote w:id="19">
    <w:p w14:paraId="1422BCC1" w14:textId="55715FFF" w:rsidR="00F941D9" w:rsidRPr="00675266" w:rsidRDefault="00F941D9" w:rsidP="00B25500">
      <w:pPr>
        <w:pStyle w:val="EndnoteText"/>
        <w:rPr>
          <w:szCs w:val="22"/>
        </w:rPr>
      </w:pPr>
      <w:r w:rsidRPr="00675266">
        <w:rPr>
          <w:rStyle w:val="EndnoteReference"/>
          <w:color w:val="000000"/>
        </w:rPr>
        <w:endnoteRef/>
      </w:r>
      <w:r w:rsidRPr="00675266">
        <w:rPr>
          <w:vertAlign w:val="superscript"/>
        </w:rPr>
        <w:t xml:space="preserve"> </w:t>
      </w:r>
      <w:r w:rsidRPr="00675266">
        <w:t>Forbes. (</w:t>
      </w:r>
      <w:r w:rsidR="00B25500" w:rsidRPr="00675266">
        <w:t xml:space="preserve">7 April </w:t>
      </w:r>
      <w:r w:rsidR="009D2A1A" w:rsidRPr="00675266">
        <w:t>2020</w:t>
      </w:r>
      <w:r w:rsidRPr="00675266">
        <w:t xml:space="preserve">). </w:t>
      </w:r>
      <w:r w:rsidR="009D2A1A" w:rsidRPr="00675266">
        <w:rPr>
          <w:rFonts w:eastAsiaTheme="minorHAnsi"/>
          <w:i/>
          <w:iCs/>
        </w:rPr>
        <w:t xml:space="preserve">Forbes Publishes 34th Annual List </w:t>
      </w:r>
      <w:r w:rsidR="00675266">
        <w:rPr>
          <w:rFonts w:eastAsiaTheme="minorHAnsi"/>
          <w:i/>
          <w:iCs/>
        </w:rPr>
        <w:t>o</w:t>
      </w:r>
      <w:r w:rsidR="009D2A1A" w:rsidRPr="00675266">
        <w:rPr>
          <w:rFonts w:eastAsiaTheme="minorHAnsi"/>
          <w:i/>
          <w:iCs/>
        </w:rPr>
        <w:t>f Global Billionaires.</w:t>
      </w:r>
      <w:r w:rsidR="009D2A1A" w:rsidRPr="00675266">
        <w:rPr>
          <w:rFonts w:eastAsiaTheme="minorHAnsi"/>
        </w:rPr>
        <w:t xml:space="preserve"> </w:t>
      </w:r>
      <w:hyperlink r:id="rId17" w:history="1">
        <w:r w:rsidR="003246E6" w:rsidRPr="00675266">
          <w:rPr>
            <w:rStyle w:val="Hyperlink"/>
            <w:color w:val="000000"/>
          </w:rPr>
          <w:t>https://www.forbes.com/sites/forbespr/2020/04/07/forbes-publishes-34th-annual-list-of-global-billionaires/?sh=28f073a33edf</w:t>
        </w:r>
      </w:hyperlink>
      <w:r w:rsidR="003246E6" w:rsidRPr="00675266">
        <w:rPr>
          <w:szCs w:val="22"/>
        </w:rPr>
        <w:t xml:space="preserve"> </w:t>
      </w:r>
    </w:p>
  </w:endnote>
  <w:endnote w:id="20">
    <w:p w14:paraId="4AB72139" w14:textId="38ADD569" w:rsidR="00877263" w:rsidRPr="00675266" w:rsidRDefault="00877263" w:rsidP="00195520">
      <w:pPr>
        <w:pStyle w:val="EndnoteText"/>
      </w:pPr>
      <w:r w:rsidRPr="00675266">
        <w:rPr>
          <w:rStyle w:val="EndnoteReference"/>
          <w:color w:val="000000"/>
        </w:rPr>
        <w:endnoteRef/>
      </w:r>
      <w:r w:rsidRPr="00675266">
        <w:rPr>
          <w:vertAlign w:val="superscript"/>
        </w:rPr>
        <w:t xml:space="preserve"> </w:t>
      </w:r>
      <w:r w:rsidRPr="00675266">
        <w:t>Forbes. (</w:t>
      </w:r>
      <w:r w:rsidR="009D3345" w:rsidRPr="00675266">
        <w:t>2023</w:t>
      </w:r>
      <w:r w:rsidRPr="00675266">
        <w:t xml:space="preserve">). </w:t>
      </w:r>
      <w:r w:rsidRPr="00675266">
        <w:rPr>
          <w:i/>
          <w:iCs/>
        </w:rPr>
        <w:t>The World</w:t>
      </w:r>
      <w:r w:rsidR="003246E6" w:rsidRPr="00675266">
        <w:rPr>
          <w:i/>
          <w:iCs/>
        </w:rPr>
        <w:t>’</w:t>
      </w:r>
      <w:r w:rsidRPr="00675266">
        <w:rPr>
          <w:i/>
          <w:iCs/>
        </w:rPr>
        <w:t>s Real-Time Billionaires</w:t>
      </w:r>
      <w:r w:rsidRPr="00675266">
        <w:t xml:space="preserve">. </w:t>
      </w:r>
      <w:r w:rsidR="009D2A1A" w:rsidRPr="00675266">
        <w:t>Op. cit.</w:t>
      </w:r>
      <w:r w:rsidRPr="00675266">
        <w:t xml:space="preserve"> </w:t>
      </w:r>
    </w:p>
  </w:endnote>
  <w:endnote w:id="21">
    <w:p w14:paraId="362E103A" w14:textId="02F56BC5" w:rsidR="00F941D9" w:rsidRPr="00675266" w:rsidRDefault="00F941D9" w:rsidP="00195520">
      <w:pPr>
        <w:pStyle w:val="EndnoteText"/>
      </w:pPr>
      <w:r w:rsidRPr="00675266">
        <w:rPr>
          <w:rStyle w:val="EndnoteReference"/>
          <w:color w:val="000000"/>
        </w:rPr>
        <w:endnoteRef/>
      </w:r>
      <w:r w:rsidRPr="00675266">
        <w:rPr>
          <w:vertAlign w:val="superscript"/>
        </w:rPr>
        <w:t xml:space="preserve"> </w:t>
      </w:r>
      <w:r w:rsidR="009D2A1A" w:rsidRPr="00675266">
        <w:t xml:space="preserve">UBS. (2023). </w:t>
      </w:r>
      <w:r w:rsidRPr="00675266">
        <w:rPr>
          <w:i/>
          <w:iCs/>
        </w:rPr>
        <w:t>Global Wealth Report 2023</w:t>
      </w:r>
      <w:r w:rsidRPr="00675266">
        <w:t xml:space="preserve">. </w:t>
      </w:r>
      <w:r w:rsidR="009D2A1A" w:rsidRPr="00675266">
        <w:t xml:space="preserve">Op. cit. </w:t>
      </w:r>
    </w:p>
  </w:endnote>
  <w:endnote w:id="22">
    <w:p w14:paraId="2031530B" w14:textId="5DA48D84" w:rsidR="00F941D9" w:rsidRPr="00675266" w:rsidRDefault="00F941D9" w:rsidP="00195520">
      <w:pPr>
        <w:pStyle w:val="EndnoteText"/>
      </w:pPr>
      <w:r w:rsidRPr="00675266">
        <w:rPr>
          <w:rStyle w:val="EndnoteReference"/>
          <w:color w:val="000000"/>
        </w:rPr>
        <w:endnoteRef/>
      </w:r>
      <w:r w:rsidRPr="00675266">
        <w:t xml:space="preserve"> Forbes. (</w:t>
      </w:r>
      <w:r w:rsidR="009D3345" w:rsidRPr="00675266">
        <w:t>2023</w:t>
      </w:r>
      <w:r w:rsidRPr="00675266">
        <w:t xml:space="preserve">). </w:t>
      </w:r>
      <w:r w:rsidRPr="00675266">
        <w:rPr>
          <w:i/>
          <w:iCs/>
        </w:rPr>
        <w:t>The World</w:t>
      </w:r>
      <w:r w:rsidR="003246E6" w:rsidRPr="00675266">
        <w:rPr>
          <w:i/>
          <w:iCs/>
        </w:rPr>
        <w:t>’</w:t>
      </w:r>
      <w:r w:rsidRPr="00675266">
        <w:rPr>
          <w:i/>
          <w:iCs/>
        </w:rPr>
        <w:t>s Real-Time Billionaires</w:t>
      </w:r>
      <w:r w:rsidRPr="00675266">
        <w:t xml:space="preserve">. </w:t>
      </w:r>
      <w:r w:rsidR="003246E6" w:rsidRPr="00675266">
        <w:t>Op. cit.</w:t>
      </w:r>
    </w:p>
  </w:endnote>
  <w:endnote w:id="23">
    <w:p w14:paraId="6EC37CD1" w14:textId="03C04553" w:rsidR="00A80BA7" w:rsidRPr="00675266" w:rsidRDefault="00A80BA7" w:rsidP="00195520">
      <w:pPr>
        <w:pStyle w:val="EndnoteText"/>
      </w:pPr>
      <w:r w:rsidRPr="00675266">
        <w:rPr>
          <w:rStyle w:val="EndnoteReference"/>
          <w:color w:val="000000"/>
        </w:rPr>
        <w:endnoteRef/>
      </w:r>
      <w:r w:rsidRPr="00675266">
        <w:t xml:space="preserve"> </w:t>
      </w:r>
      <w:r w:rsidR="00BC215B" w:rsidRPr="00675266">
        <w:t>Financ</w:t>
      </w:r>
      <w:r w:rsidR="000E292A" w:rsidRPr="00675266">
        <w:t xml:space="preserve">e </w:t>
      </w:r>
      <w:r w:rsidR="00BC215B" w:rsidRPr="00675266">
        <w:t>Centre for South-South Cooperation</w:t>
      </w:r>
      <w:r w:rsidR="009D2A1A" w:rsidRPr="00675266">
        <w:t>.</w:t>
      </w:r>
      <w:r w:rsidR="00BC215B" w:rsidRPr="00675266">
        <w:t xml:space="preserve"> </w:t>
      </w:r>
      <w:r w:rsidR="009D2A1A" w:rsidRPr="00675266">
        <w:t xml:space="preserve">Global South Countries (Group of 77 and China). </w:t>
      </w:r>
      <w:hyperlink r:id="rId18" w:history="1">
        <w:r w:rsidR="009D2A1A" w:rsidRPr="00675266">
          <w:rPr>
            <w:rStyle w:val="Hyperlink"/>
            <w:color w:val="000000"/>
          </w:rPr>
          <w:t>http://www.fc-ssc.org/en/partnership_program/south_south_countries</w:t>
        </w:r>
      </w:hyperlink>
      <w:r w:rsidR="00BC215B" w:rsidRPr="00675266">
        <w:t xml:space="preserve"> </w:t>
      </w:r>
    </w:p>
  </w:endnote>
  <w:endnote w:id="24">
    <w:p w14:paraId="06206F9A" w14:textId="68F97213" w:rsidR="00F941D9" w:rsidRPr="00675266" w:rsidRDefault="00F941D9" w:rsidP="00F543F2">
      <w:pPr>
        <w:pStyle w:val="EndnoteText"/>
        <w:rPr>
          <w:u w:val="single"/>
        </w:rPr>
      </w:pPr>
      <w:r w:rsidRPr="00675266">
        <w:rPr>
          <w:rStyle w:val="EndnoteReference"/>
          <w:color w:val="000000"/>
        </w:rPr>
        <w:endnoteRef/>
      </w:r>
      <w:r w:rsidRPr="00675266">
        <w:rPr>
          <w:vertAlign w:val="superscript"/>
        </w:rPr>
        <w:t xml:space="preserve"> </w:t>
      </w:r>
      <w:r w:rsidRPr="00675266">
        <w:t>Credit Suisse</w:t>
      </w:r>
      <w:r w:rsidR="009D2A1A" w:rsidRPr="00675266">
        <w:t xml:space="preserve"> Research Institute</w:t>
      </w:r>
      <w:r w:rsidRPr="00675266">
        <w:t xml:space="preserve">. (2018). </w:t>
      </w:r>
      <w:r w:rsidRPr="00675266">
        <w:rPr>
          <w:i/>
          <w:iCs/>
        </w:rPr>
        <w:t>Global Wealth Databook 2018</w:t>
      </w:r>
      <w:r w:rsidR="009D2A1A" w:rsidRPr="00675266">
        <w:t>.</w:t>
      </w:r>
      <w:r w:rsidRPr="00675266">
        <w:t xml:space="preserve"> </w:t>
      </w:r>
      <w:hyperlink r:id="rId19" w:history="1">
        <w:r w:rsidRPr="00675266">
          <w:rPr>
            <w:rStyle w:val="Hyperlink"/>
            <w:rFonts w:eastAsia="Calibri"/>
            <w:color w:val="000000"/>
          </w:rPr>
          <w:t>https://www.credit-suisse.com/media/assets/corporate/docs/about-us/research/publications/global-wealth-databook-2018.pdf</w:t>
        </w:r>
      </w:hyperlink>
    </w:p>
  </w:endnote>
  <w:endnote w:id="25">
    <w:p w14:paraId="25661388" w14:textId="092F6A78" w:rsidR="00F941D9" w:rsidRPr="00675266" w:rsidRDefault="00F941D9" w:rsidP="00F543F2">
      <w:pPr>
        <w:pStyle w:val="EndnoteText"/>
      </w:pPr>
      <w:r w:rsidRPr="00675266">
        <w:rPr>
          <w:rStyle w:val="EndnoteReference"/>
          <w:color w:val="000000"/>
        </w:rPr>
        <w:endnoteRef/>
      </w:r>
      <w:r w:rsidRPr="00675266">
        <w:t xml:space="preserve"> </w:t>
      </w:r>
      <w:r w:rsidR="009D2A1A" w:rsidRPr="00675266">
        <w:t xml:space="preserve">UBS. (2023). </w:t>
      </w:r>
      <w:r w:rsidRPr="00675266">
        <w:rPr>
          <w:i/>
          <w:iCs/>
        </w:rPr>
        <w:t>Global Wealth Report 2023</w:t>
      </w:r>
      <w:r w:rsidRPr="00675266">
        <w:t xml:space="preserve">. </w:t>
      </w:r>
      <w:r w:rsidR="009D2A1A" w:rsidRPr="00675266">
        <w:t>Op. cit.</w:t>
      </w:r>
    </w:p>
  </w:endnote>
  <w:endnote w:id="26">
    <w:p w14:paraId="5807FECE" w14:textId="536435D7" w:rsidR="00F941D9" w:rsidRPr="00675266" w:rsidRDefault="00F941D9" w:rsidP="00F543F2">
      <w:pPr>
        <w:pStyle w:val="EndnoteText"/>
      </w:pPr>
      <w:r w:rsidRPr="00675266">
        <w:rPr>
          <w:rStyle w:val="EndnoteReference"/>
          <w:color w:val="000000"/>
        </w:rPr>
        <w:endnoteRef/>
      </w:r>
      <w:r w:rsidRPr="00675266">
        <w:t xml:space="preserve"> International Monetary Fund. (</w:t>
      </w:r>
      <w:r w:rsidR="003C1191" w:rsidRPr="00675266">
        <w:t xml:space="preserve">October </w:t>
      </w:r>
      <w:r w:rsidRPr="00675266">
        <w:t>2023). World Economic Outlook</w:t>
      </w:r>
      <w:r w:rsidR="009D2A1A" w:rsidRPr="00675266">
        <w:t xml:space="preserve"> Database</w:t>
      </w:r>
      <w:r w:rsidRPr="00675266">
        <w:t xml:space="preserve">. </w:t>
      </w:r>
      <w:hyperlink r:id="rId20" w:history="1">
        <w:r w:rsidRPr="00675266">
          <w:rPr>
            <w:rStyle w:val="Hyperlink"/>
            <w:rFonts w:eastAsia="Calibri"/>
            <w:color w:val="000000"/>
          </w:rPr>
          <w:t>https://www.imf.org/en/Publications/WEO/weo-database/2023/October</w:t>
        </w:r>
      </w:hyperlink>
    </w:p>
  </w:endnote>
  <w:endnote w:id="27">
    <w:p w14:paraId="3FB2EA81" w14:textId="77777777" w:rsidR="00A3718A" w:rsidRPr="00675266" w:rsidRDefault="00A3718A" w:rsidP="00F543F2">
      <w:pPr>
        <w:pStyle w:val="EndnoteText"/>
        <w:rPr>
          <w:sz w:val="22"/>
          <w:szCs w:val="22"/>
        </w:rPr>
      </w:pPr>
      <w:r w:rsidRPr="00675266">
        <w:rPr>
          <w:rStyle w:val="EndnoteReference"/>
          <w:color w:val="000000"/>
        </w:rPr>
        <w:endnoteRef/>
      </w:r>
      <w:r w:rsidRPr="00675266">
        <w:rPr>
          <w:vertAlign w:val="superscript"/>
        </w:rPr>
        <w:t xml:space="preserve"> </w:t>
      </w:r>
      <w:r w:rsidRPr="00675266">
        <w:t xml:space="preserve">U.S. Bureau of Labor Statistics. </w:t>
      </w:r>
      <w:hyperlink r:id="rId21" w:history="1">
        <w:r w:rsidRPr="00675266">
          <w:rPr>
            <w:rStyle w:val="Hyperlink"/>
            <w:rFonts w:eastAsia="Calibri"/>
            <w:color w:val="000000"/>
          </w:rPr>
          <w:t>https://data.bls.gov/pdq/SurveyOutputServlet</w:t>
        </w:r>
      </w:hyperlink>
    </w:p>
  </w:endnote>
  <w:endnote w:id="28">
    <w:p w14:paraId="2F72C50F" w14:textId="0C936E1D" w:rsidR="00F941D9" w:rsidRPr="00675266" w:rsidRDefault="00F941D9" w:rsidP="00DD2307">
      <w:pPr>
        <w:pStyle w:val="EndnoteText"/>
      </w:pPr>
      <w:r w:rsidRPr="00675266">
        <w:rPr>
          <w:rStyle w:val="EndnoteReference"/>
          <w:color w:val="000000"/>
        </w:rPr>
        <w:endnoteRef/>
      </w:r>
      <w:r w:rsidRPr="00675266">
        <w:t xml:space="preserve"> </w:t>
      </w:r>
      <w:r w:rsidR="009D3345" w:rsidRPr="00675266">
        <w:t>N. Yonzan, D. Gerszon Mahler and C. Lakner.</w:t>
      </w:r>
      <w:r w:rsidRPr="00675266">
        <w:t xml:space="preserve"> (2023, October 3). </w:t>
      </w:r>
      <w:r w:rsidR="009D3345" w:rsidRPr="00675266">
        <w:rPr>
          <w:i/>
          <w:iCs/>
        </w:rPr>
        <w:t>Poverty is back to pre-COVID levels globally, but not for low-income countries</w:t>
      </w:r>
      <w:r w:rsidR="009D3345" w:rsidRPr="00675266">
        <w:t xml:space="preserve">. </w:t>
      </w:r>
      <w:r w:rsidRPr="00675266">
        <w:t xml:space="preserve">World Bank Blogs. </w:t>
      </w:r>
      <w:hyperlink r:id="rId22" w:history="1">
        <w:r w:rsidRPr="00675266">
          <w:rPr>
            <w:rStyle w:val="Hyperlink"/>
            <w:rFonts w:eastAsia="Calibri"/>
            <w:color w:val="000000"/>
          </w:rPr>
          <w:t>https://blogs.worldbank.org/opendata/poverty-back-pre-covid-levels-globally-not-low-income-countries</w:t>
        </w:r>
      </w:hyperlink>
    </w:p>
  </w:endnote>
  <w:endnote w:id="29">
    <w:p w14:paraId="42BF5D96" w14:textId="71C99A32" w:rsidR="00185FD6" w:rsidRPr="00675266" w:rsidRDefault="00185FD6" w:rsidP="00DD2307">
      <w:pPr>
        <w:pStyle w:val="EndnoteText"/>
      </w:pPr>
      <w:r w:rsidRPr="00675266">
        <w:rPr>
          <w:rStyle w:val="EndnoteReference"/>
          <w:color w:val="000000"/>
        </w:rPr>
        <w:endnoteRef/>
      </w:r>
      <w:r w:rsidRPr="00675266">
        <w:rPr>
          <w:vertAlign w:val="superscript"/>
        </w:rPr>
        <w:t xml:space="preserve"> </w:t>
      </w:r>
      <w:r w:rsidRPr="00675266">
        <w:t>UN Women. (</w:t>
      </w:r>
      <w:r w:rsidR="00DD2307" w:rsidRPr="00675266">
        <w:t xml:space="preserve">1 February </w:t>
      </w:r>
      <w:r w:rsidRPr="00675266">
        <w:t xml:space="preserve">2022). </w:t>
      </w:r>
      <w:r w:rsidRPr="00675266">
        <w:rPr>
          <w:i/>
          <w:iCs/>
        </w:rPr>
        <w:t>Poverty deepens for women and girls, according to latest projections</w:t>
      </w:r>
      <w:r w:rsidRPr="00675266">
        <w:t xml:space="preserve">. </w:t>
      </w:r>
      <w:hyperlink r:id="rId23" w:history="1">
        <w:r w:rsidR="003246E6" w:rsidRPr="00675266">
          <w:rPr>
            <w:rStyle w:val="Hyperlink"/>
            <w:color w:val="000000"/>
          </w:rPr>
          <w:t>https://data.unwomen.org/features/poverty-deepens-women-and-girls-according-latest-projections</w:t>
        </w:r>
      </w:hyperlink>
      <w:r w:rsidR="003246E6" w:rsidRPr="00675266">
        <w:t xml:space="preserve"> </w:t>
      </w:r>
    </w:p>
  </w:endnote>
  <w:endnote w:id="30">
    <w:p w14:paraId="682553BD" w14:textId="52E0B5F5" w:rsidR="00F941D9" w:rsidRPr="00675266" w:rsidRDefault="00F941D9" w:rsidP="00DD2307">
      <w:pPr>
        <w:pStyle w:val="EndnoteText"/>
      </w:pPr>
      <w:r w:rsidRPr="00675266">
        <w:rPr>
          <w:rStyle w:val="EndnoteReference"/>
          <w:color w:val="000000"/>
        </w:rPr>
        <w:endnoteRef/>
      </w:r>
      <w:r w:rsidRPr="00675266">
        <w:rPr>
          <w:vertAlign w:val="superscript"/>
        </w:rPr>
        <w:t xml:space="preserve"> </w:t>
      </w:r>
      <w:r w:rsidRPr="00675266">
        <w:t>Forbes. (</w:t>
      </w:r>
      <w:r w:rsidR="009D3345" w:rsidRPr="00675266">
        <w:t>2023</w:t>
      </w:r>
      <w:r w:rsidRPr="00675266">
        <w:t xml:space="preserve">). </w:t>
      </w:r>
      <w:r w:rsidRPr="00675266">
        <w:rPr>
          <w:i/>
          <w:iCs/>
        </w:rPr>
        <w:t>The World</w:t>
      </w:r>
      <w:r w:rsidR="003246E6" w:rsidRPr="00675266">
        <w:rPr>
          <w:i/>
          <w:iCs/>
        </w:rPr>
        <w:t>’</w:t>
      </w:r>
      <w:r w:rsidRPr="00675266">
        <w:rPr>
          <w:i/>
          <w:iCs/>
        </w:rPr>
        <w:t>s Real-Time Billionaires</w:t>
      </w:r>
      <w:r w:rsidRPr="00675266">
        <w:t xml:space="preserve">. </w:t>
      </w:r>
      <w:r w:rsidR="003246E6" w:rsidRPr="00675266">
        <w:t xml:space="preserve">Op. cit. </w:t>
      </w:r>
    </w:p>
  </w:endnote>
  <w:endnote w:id="31">
    <w:p w14:paraId="45C2DD2B" w14:textId="03497B23" w:rsidR="00F941D9" w:rsidRPr="00675266" w:rsidRDefault="00F941D9" w:rsidP="00DD2307">
      <w:pPr>
        <w:pStyle w:val="EndnoteText"/>
        <w:rPr>
          <w:szCs w:val="22"/>
        </w:rPr>
      </w:pPr>
      <w:r w:rsidRPr="00675266">
        <w:rPr>
          <w:rStyle w:val="EndnoteReference"/>
          <w:color w:val="000000"/>
        </w:rPr>
        <w:endnoteRef/>
      </w:r>
      <w:r w:rsidRPr="00675266">
        <w:t xml:space="preserve"> </w:t>
      </w:r>
      <w:hyperlink r:id="rId24" w:tgtFrame="_blank" w:history="1">
        <w:r w:rsidR="009D3345" w:rsidRPr="00675266">
          <w:t>A.</w:t>
        </w:r>
        <w:r w:rsidR="009D3345" w:rsidRPr="00675266">
          <w:rPr>
            <w:rFonts w:eastAsiaTheme="minorHAnsi"/>
          </w:rPr>
          <w:t xml:space="preserve"> Melin</w:t>
        </w:r>
      </w:hyperlink>
      <w:r w:rsidR="009D3345" w:rsidRPr="00675266">
        <w:rPr>
          <w:rFonts w:eastAsiaTheme="minorHAnsi"/>
        </w:rPr>
        <w:t xml:space="preserve"> </w:t>
      </w:r>
      <w:r w:rsidR="009D3345" w:rsidRPr="00675266">
        <w:t>(</w:t>
      </w:r>
      <w:r w:rsidR="003C1191" w:rsidRPr="00675266">
        <w:t xml:space="preserve">18 August </w:t>
      </w:r>
      <w:r w:rsidR="009D3345" w:rsidRPr="00675266">
        <w:t>2022).</w:t>
      </w:r>
      <w:r w:rsidR="009D3345" w:rsidRPr="00675266">
        <w:rPr>
          <w:rFonts w:eastAsiaTheme="minorHAnsi"/>
        </w:rPr>
        <w:t xml:space="preserve"> </w:t>
      </w:r>
      <w:r w:rsidR="009D3345" w:rsidRPr="00675266">
        <w:rPr>
          <w:rFonts w:eastAsiaTheme="minorHAnsi"/>
          <w:i/>
          <w:iCs/>
        </w:rPr>
        <w:t>Outrage at Hedge Fund Proves</w:t>
      </w:r>
      <w:r w:rsidR="009D3345" w:rsidRPr="00675266">
        <w:rPr>
          <w:i/>
          <w:iCs/>
        </w:rPr>
        <w:t xml:space="preserve"> </w:t>
      </w:r>
      <w:r w:rsidR="009D3345" w:rsidRPr="00675266">
        <w:rPr>
          <w:rFonts w:eastAsiaTheme="minorHAnsi"/>
          <w:i/>
          <w:iCs/>
        </w:rPr>
        <w:t>Futile as US CEOs Reap Record Pay</w:t>
      </w:r>
      <w:r w:rsidR="009D3345" w:rsidRPr="00675266">
        <w:t>.</w:t>
      </w:r>
      <w:r w:rsidR="009D3345" w:rsidRPr="00675266">
        <w:rPr>
          <w:rFonts w:eastAsiaTheme="minorHAnsi"/>
        </w:rPr>
        <w:t xml:space="preserve"> </w:t>
      </w:r>
      <w:r w:rsidRPr="00675266">
        <w:t>Blo</w:t>
      </w:r>
      <w:r w:rsidR="009773A2" w:rsidRPr="00675266">
        <w:t>o</w:t>
      </w:r>
      <w:r w:rsidRPr="00675266">
        <w:t>mberg</w:t>
      </w:r>
      <w:r w:rsidR="009D3345" w:rsidRPr="00675266">
        <w:t xml:space="preserve"> UK.</w:t>
      </w:r>
      <w:r w:rsidRPr="00675266">
        <w:t xml:space="preserve"> </w:t>
      </w:r>
      <w:hyperlink r:id="rId25" w:history="1">
        <w:r w:rsidR="009D3345" w:rsidRPr="00675266">
          <w:rPr>
            <w:rStyle w:val="Hyperlink"/>
            <w:color w:val="000000"/>
          </w:rPr>
          <w:t>https://www.bloomberg.com/graphics/2022-highest-paid-ceos/?leadSource=uverify%20wall</w:t>
        </w:r>
      </w:hyperlink>
      <w:r w:rsidR="009D3345" w:rsidRPr="00675266">
        <w:t xml:space="preserve"> [paywall]</w:t>
      </w:r>
    </w:p>
  </w:endnote>
  <w:endnote w:id="32">
    <w:p w14:paraId="0978DDBD" w14:textId="62A3C6FF" w:rsidR="00F941D9" w:rsidRPr="00675266" w:rsidRDefault="00F941D9" w:rsidP="002D7A38">
      <w:pPr>
        <w:pStyle w:val="EndnoteText"/>
      </w:pPr>
      <w:r w:rsidRPr="00675266">
        <w:rPr>
          <w:rStyle w:val="EndnoteReference"/>
          <w:color w:val="000000"/>
        </w:rPr>
        <w:endnoteRef/>
      </w:r>
      <w:r w:rsidRPr="00675266">
        <w:rPr>
          <w:vertAlign w:val="superscript"/>
        </w:rPr>
        <w:t xml:space="preserve"> </w:t>
      </w:r>
      <w:r w:rsidRPr="00675266">
        <w:t>ILOSTAT</w:t>
      </w:r>
      <w:r w:rsidR="00BC399F" w:rsidRPr="00675266">
        <w:t xml:space="preserve">. </w:t>
      </w:r>
      <w:hyperlink r:id="rId26" w:history="1">
        <w:r w:rsidR="00BC399F" w:rsidRPr="00675266">
          <w:rPr>
            <w:rStyle w:val="Hyperlink"/>
            <w:color w:val="000000"/>
          </w:rPr>
          <w:t>https://www.ilo.org/shinyapps/bulkexplorer26/?id=EAR_4MTH_SEX_ECO_CUR_NB_A&amp;sex=SEX_F&amp;classif1=ECO_ISIC4_Q+ECO_ISIC3_N&amp;classif2=CUR_TYPE_USD&amp;timefrom=2021&amp;latestyear=TRUE</w:t>
        </w:r>
      </w:hyperlink>
      <w:r w:rsidRPr="00675266">
        <w:t xml:space="preserve"> </w:t>
      </w:r>
    </w:p>
  </w:endnote>
  <w:endnote w:id="33">
    <w:p w14:paraId="489FD6C0" w14:textId="35FF456D" w:rsidR="00A86BB5" w:rsidRPr="00675266" w:rsidRDefault="00A86BB5" w:rsidP="002D7A38">
      <w:pPr>
        <w:pStyle w:val="EndnoteText"/>
      </w:pPr>
      <w:r w:rsidRPr="00675266">
        <w:rPr>
          <w:rStyle w:val="EndnoteReference"/>
          <w:color w:val="000000"/>
        </w:rPr>
        <w:endnoteRef/>
      </w:r>
      <w:r w:rsidRPr="00675266">
        <w:rPr>
          <w:vertAlign w:val="superscript"/>
        </w:rPr>
        <w:t xml:space="preserve"> </w:t>
      </w:r>
      <w:r w:rsidR="003246E6" w:rsidRPr="00675266">
        <w:t>Wealth</w:t>
      </w:r>
      <w:r w:rsidR="00B01E27" w:rsidRPr="00675266">
        <w:t>-</w:t>
      </w:r>
      <w:r w:rsidR="003246E6" w:rsidRPr="00675266">
        <w:t>X</w:t>
      </w:r>
      <w:r w:rsidR="009D3345" w:rsidRPr="00675266">
        <w:t>.</w:t>
      </w:r>
      <w:r w:rsidRPr="00675266">
        <w:t xml:space="preserve"> </w:t>
      </w:r>
      <w:hyperlink r:id="rId27" w:history="1">
        <w:r w:rsidR="003246E6" w:rsidRPr="00675266">
          <w:rPr>
            <w:rStyle w:val="Hyperlink"/>
            <w:color w:val="000000"/>
          </w:rPr>
          <w:t>https://altrata.com/products/wealth-x</w:t>
        </w:r>
      </w:hyperlink>
      <w:r w:rsidR="003246E6" w:rsidRPr="00675266">
        <w:t xml:space="preserve"> </w:t>
      </w:r>
    </w:p>
  </w:endnote>
  <w:endnote w:id="34">
    <w:p w14:paraId="32132AE4" w14:textId="3E04B18C" w:rsidR="00A37061" w:rsidRPr="00675266" w:rsidRDefault="00A37061" w:rsidP="002D7A38">
      <w:pPr>
        <w:pStyle w:val="EndnoteText"/>
      </w:pPr>
      <w:r w:rsidRPr="00675266">
        <w:rPr>
          <w:rStyle w:val="EndnoteReference"/>
          <w:color w:val="000000"/>
        </w:rPr>
        <w:endnoteRef/>
      </w:r>
      <w:r w:rsidRPr="00675266">
        <w:rPr>
          <w:vertAlign w:val="superscript"/>
        </w:rPr>
        <w:t xml:space="preserve"> </w:t>
      </w:r>
      <w:r w:rsidR="003246E6" w:rsidRPr="00675266">
        <w:t>Forbes. (</w:t>
      </w:r>
      <w:r w:rsidR="00BC399F" w:rsidRPr="00675266">
        <w:t>2023</w:t>
      </w:r>
      <w:r w:rsidR="003246E6" w:rsidRPr="00675266">
        <w:t xml:space="preserve">). </w:t>
      </w:r>
      <w:r w:rsidR="003246E6" w:rsidRPr="00675266">
        <w:rPr>
          <w:i/>
          <w:iCs/>
        </w:rPr>
        <w:t>The World’s Real-Time Billionaires</w:t>
      </w:r>
      <w:r w:rsidR="003246E6" w:rsidRPr="00675266">
        <w:t xml:space="preserve">. Op. cit. </w:t>
      </w:r>
    </w:p>
  </w:endnote>
  <w:endnote w:id="35">
    <w:p w14:paraId="4C681B91" w14:textId="51837E42" w:rsidR="00F941D9" w:rsidRPr="00675266" w:rsidRDefault="00F941D9" w:rsidP="002D7A38">
      <w:pPr>
        <w:pStyle w:val="EndnoteText"/>
        <w:rPr>
          <w:sz w:val="22"/>
          <w:szCs w:val="22"/>
        </w:rPr>
      </w:pPr>
      <w:r w:rsidRPr="00675266">
        <w:rPr>
          <w:rStyle w:val="EndnoteReference"/>
          <w:color w:val="000000"/>
        </w:rPr>
        <w:endnoteRef/>
      </w:r>
      <w:r w:rsidRPr="00675266">
        <w:t xml:space="preserve"> </w:t>
      </w:r>
      <w:r w:rsidR="00BC399F" w:rsidRPr="00675266">
        <w:t xml:space="preserve">Exerica. </w:t>
      </w:r>
      <w:hyperlink r:id="rId28" w:history="1">
        <w:r w:rsidR="00BC399F" w:rsidRPr="00675266">
          <w:rPr>
            <w:rStyle w:val="Hyperlink"/>
            <w:color w:val="000000"/>
          </w:rPr>
          <w:t>https://exerica.com/</w:t>
        </w:r>
      </w:hyperlink>
    </w:p>
  </w:endnote>
  <w:endnote w:id="36">
    <w:p w14:paraId="0EE53D0B" w14:textId="2D81E073" w:rsidR="00F941D9" w:rsidRPr="00675266" w:rsidRDefault="00F941D9" w:rsidP="004E76E7">
      <w:pPr>
        <w:pStyle w:val="EndnoteText"/>
        <w:rPr>
          <w:szCs w:val="22"/>
        </w:rPr>
      </w:pPr>
      <w:r w:rsidRPr="00675266">
        <w:rPr>
          <w:rStyle w:val="EndnoteReference"/>
          <w:szCs w:val="22"/>
        </w:rPr>
        <w:endnoteRef/>
      </w:r>
      <w:r w:rsidRPr="00675266">
        <w:rPr>
          <w:szCs w:val="22"/>
        </w:rPr>
        <w:t xml:space="preserve"> Council of the European Union. (</w:t>
      </w:r>
      <w:r w:rsidR="003C1191" w:rsidRPr="00675266">
        <w:rPr>
          <w:szCs w:val="22"/>
        </w:rPr>
        <w:t xml:space="preserve">4 October </w:t>
      </w:r>
      <w:r w:rsidRPr="00675266">
        <w:rPr>
          <w:szCs w:val="22"/>
        </w:rPr>
        <w:t>2022).</w:t>
      </w:r>
      <w:r w:rsidR="00BC399F" w:rsidRPr="00675266">
        <w:rPr>
          <w:szCs w:val="22"/>
        </w:rPr>
        <w:t xml:space="preserve"> </w:t>
      </w:r>
      <w:r w:rsidR="00BC399F" w:rsidRPr="00675266">
        <w:rPr>
          <w:i/>
          <w:iCs/>
        </w:rPr>
        <w:t>Council agrees on emergency measures to reduce energy prices</w:t>
      </w:r>
      <w:r w:rsidR="00BC399F" w:rsidRPr="00675266">
        <w:t xml:space="preserve">. </w:t>
      </w:r>
      <w:r w:rsidR="009773A2" w:rsidRPr="00675266">
        <w:t xml:space="preserve">Press release. </w:t>
      </w:r>
      <w:hyperlink r:id="rId29" w:history="1">
        <w:r w:rsidR="009773A2" w:rsidRPr="00675266">
          <w:rPr>
            <w:rStyle w:val="Hyperlink"/>
            <w:szCs w:val="22"/>
          </w:rPr>
          <w:t>https://www.consilium.europa.eu/en/press/press-releases/2022/09/30/council-agrees-on-emergency-measures-to-reduce-energy-prices/</w:t>
        </w:r>
      </w:hyperlink>
    </w:p>
  </w:endnote>
  <w:endnote w:id="37">
    <w:p w14:paraId="161D4139" w14:textId="1FC8F5FA" w:rsidR="00F941D9" w:rsidRPr="00675266" w:rsidRDefault="00F941D9" w:rsidP="004E76E7">
      <w:pPr>
        <w:pStyle w:val="EndnoteText"/>
        <w:rPr>
          <w:szCs w:val="22"/>
        </w:rPr>
      </w:pPr>
      <w:r w:rsidRPr="00675266">
        <w:rPr>
          <w:rStyle w:val="EndnoteReference"/>
          <w:szCs w:val="22"/>
        </w:rPr>
        <w:endnoteRef/>
      </w:r>
      <w:r w:rsidRPr="00675266">
        <w:rPr>
          <w:szCs w:val="22"/>
        </w:rPr>
        <w:t xml:space="preserve"> Oxfam International. (</w:t>
      </w:r>
      <w:r w:rsidR="003C1191" w:rsidRPr="00675266">
        <w:rPr>
          <w:szCs w:val="22"/>
        </w:rPr>
        <w:t xml:space="preserve">30 September </w:t>
      </w:r>
      <w:r w:rsidRPr="00675266">
        <w:rPr>
          <w:szCs w:val="22"/>
        </w:rPr>
        <w:t xml:space="preserve">2022). </w:t>
      </w:r>
      <w:r w:rsidR="00BC399F" w:rsidRPr="00675266">
        <w:rPr>
          <w:i/>
          <w:iCs/>
        </w:rPr>
        <w:t>EU Energy Windfall Tax: European countries must aim for 50 – 90 percent rate and not let other profiteering industries off the hook</w:t>
      </w:r>
      <w:r w:rsidR="00BC399F" w:rsidRPr="00675266">
        <w:t xml:space="preserve">. </w:t>
      </w:r>
      <w:r w:rsidRPr="00675266">
        <w:rPr>
          <w:szCs w:val="22"/>
        </w:rPr>
        <w:t xml:space="preserve">Press </w:t>
      </w:r>
      <w:r w:rsidR="009773A2" w:rsidRPr="00675266">
        <w:rPr>
          <w:szCs w:val="22"/>
        </w:rPr>
        <w:t>r</w:t>
      </w:r>
      <w:r w:rsidRPr="00675266">
        <w:rPr>
          <w:szCs w:val="22"/>
        </w:rPr>
        <w:t xml:space="preserve">elease. </w:t>
      </w:r>
      <w:hyperlink r:id="rId30" w:history="1">
        <w:r w:rsidRPr="00675266">
          <w:rPr>
            <w:rStyle w:val="Hyperlink"/>
            <w:szCs w:val="22"/>
          </w:rPr>
          <w:t>https://www.oxfam.org/en/press-releases/eu-energy-windfall-tax-european-countries-must-aim-50-90-percent-rate-and-not-let</w:t>
        </w:r>
      </w:hyperlink>
    </w:p>
  </w:endnote>
  <w:endnote w:id="38">
    <w:p w14:paraId="07F1447B" w14:textId="78011066" w:rsidR="00F941D9" w:rsidRPr="00675266" w:rsidRDefault="00F941D9" w:rsidP="0069262B">
      <w:pPr>
        <w:pStyle w:val="EndnoteText"/>
      </w:pPr>
      <w:r w:rsidRPr="00675266">
        <w:rPr>
          <w:rStyle w:val="EndnoteReference"/>
          <w:color w:val="000000"/>
        </w:rPr>
        <w:endnoteRef/>
      </w:r>
      <w:r w:rsidRPr="00675266">
        <w:t xml:space="preserve"> </w:t>
      </w:r>
      <w:r w:rsidR="00BC399F" w:rsidRPr="00675266">
        <w:t xml:space="preserve">Exerica. </w:t>
      </w:r>
      <w:hyperlink r:id="rId31" w:history="1">
        <w:r w:rsidR="00BC399F" w:rsidRPr="00675266">
          <w:rPr>
            <w:rStyle w:val="Hyperlink"/>
            <w:color w:val="000000"/>
          </w:rPr>
          <w:t>https://exerica.com/</w:t>
        </w:r>
      </w:hyperlink>
    </w:p>
  </w:endnote>
  <w:endnote w:id="39">
    <w:p w14:paraId="5BF9EDEC" w14:textId="50E93758" w:rsidR="00E26E8B" w:rsidRPr="00675266" w:rsidRDefault="00E26E8B" w:rsidP="0069262B">
      <w:pPr>
        <w:pStyle w:val="EndnoteText"/>
        <w:rPr>
          <w:u w:val="single"/>
        </w:rPr>
      </w:pPr>
      <w:r w:rsidRPr="00675266">
        <w:rPr>
          <w:rStyle w:val="EndnoteReference"/>
          <w:color w:val="000000"/>
        </w:rPr>
        <w:endnoteRef/>
      </w:r>
      <w:r w:rsidRPr="00675266">
        <w:rPr>
          <w:vertAlign w:val="superscript"/>
        </w:rPr>
        <w:t xml:space="preserve"> </w:t>
      </w:r>
      <w:r w:rsidR="003246E6" w:rsidRPr="00675266">
        <w:t>World Benchmarking Alliance. (</w:t>
      </w:r>
      <w:r w:rsidR="0069262B" w:rsidRPr="00675266">
        <w:t xml:space="preserve">15 July </w:t>
      </w:r>
      <w:r w:rsidR="003246E6" w:rsidRPr="00675266">
        <w:t xml:space="preserve">2019). Seven systems transformations for benchmarking companies on the SDGs. </w:t>
      </w:r>
      <w:hyperlink r:id="rId32" w:history="1">
        <w:r w:rsidR="003246E6" w:rsidRPr="00675266">
          <w:rPr>
            <w:rStyle w:val="Hyperlink"/>
            <w:color w:val="000000"/>
          </w:rPr>
          <w:t>https://www.worldbenchmarkingalliance.org/research/systems-transformations-report/</w:t>
        </w:r>
      </w:hyperlink>
      <w:r w:rsidR="003246E6" w:rsidRPr="00675266">
        <w:rPr>
          <w:u w:val="single"/>
        </w:rPr>
        <w:t xml:space="preserve"> </w:t>
      </w:r>
    </w:p>
  </w:endnote>
  <w:endnote w:id="40">
    <w:p w14:paraId="44E86D68" w14:textId="74EB810F" w:rsidR="00A36469" w:rsidRPr="00675266" w:rsidRDefault="00A36469" w:rsidP="0069262B">
      <w:pPr>
        <w:pStyle w:val="EndnoteText"/>
      </w:pPr>
      <w:r w:rsidRPr="00675266">
        <w:rPr>
          <w:rStyle w:val="EndnoteReference"/>
          <w:color w:val="000000"/>
        </w:rPr>
        <w:endnoteRef/>
      </w:r>
      <w:r w:rsidRPr="00675266">
        <w:rPr>
          <w:vertAlign w:val="superscript"/>
        </w:rPr>
        <w:t xml:space="preserve"> </w:t>
      </w:r>
      <w:r w:rsidR="00015A19" w:rsidRPr="00675266">
        <w:t>World Benchmarking Alliance. (</w:t>
      </w:r>
      <w:r w:rsidR="0069262B" w:rsidRPr="00675266">
        <w:t xml:space="preserve">27 November </w:t>
      </w:r>
      <w:r w:rsidR="00015A19" w:rsidRPr="00675266">
        <w:t xml:space="preserve">2023). </w:t>
      </w:r>
      <w:r w:rsidR="00015A19" w:rsidRPr="00675266">
        <w:rPr>
          <w:i/>
          <w:iCs/>
        </w:rPr>
        <w:t>Core social indicator assessments of 2,000 of the largest and most influential companies globally.</w:t>
      </w:r>
      <w:r w:rsidR="00015A19" w:rsidRPr="00675266">
        <w:t xml:space="preserve"> </w:t>
      </w:r>
      <w:hyperlink r:id="rId33" w:history="1">
        <w:r w:rsidR="003246E6" w:rsidRPr="00675266">
          <w:rPr>
            <w:rStyle w:val="Hyperlink"/>
            <w:color w:val="000000"/>
          </w:rPr>
          <w:t>https://www.worldbenchmarkingalliance.org/research/core-social-indicator-assessments-of-2000-of-the-largest-and-most-influential-companies-globally/</w:t>
        </w:r>
      </w:hyperlink>
    </w:p>
  </w:endnote>
  <w:endnote w:id="41">
    <w:p w14:paraId="51F87D68" w14:textId="14829A47" w:rsidR="00B5738F" w:rsidRPr="00675266" w:rsidRDefault="00B5738F">
      <w:pPr>
        <w:pStyle w:val="EndnoteText"/>
      </w:pPr>
      <w:r w:rsidRPr="00675266">
        <w:rPr>
          <w:rStyle w:val="EndnoteReference"/>
        </w:rPr>
        <w:endnoteRef/>
      </w:r>
      <w:r w:rsidRPr="00675266">
        <w:t xml:space="preserve"> </w:t>
      </w:r>
      <w:hyperlink r:id="rId34" w:history="1">
        <w:r w:rsidRPr="00675266">
          <w:rPr>
            <w:rStyle w:val="Hyperlink"/>
          </w:rPr>
          <w:t>https://www.worldbenchmarkingalliance.org/research/social-transformation-framework/</w:t>
        </w:r>
      </w:hyperlink>
    </w:p>
  </w:endnote>
  <w:endnote w:id="42">
    <w:p w14:paraId="68579BA0" w14:textId="4E619860" w:rsidR="00F941D9" w:rsidRPr="00675266" w:rsidRDefault="00F941D9" w:rsidP="0069262B">
      <w:pPr>
        <w:pStyle w:val="EndnoteText"/>
      </w:pPr>
      <w:r w:rsidRPr="00675266">
        <w:rPr>
          <w:rStyle w:val="EndnoteReference"/>
          <w:color w:val="000000"/>
        </w:rPr>
        <w:endnoteRef/>
      </w:r>
      <w:r w:rsidRPr="00675266">
        <w:t xml:space="preserve"> </w:t>
      </w:r>
      <w:r w:rsidR="00BC399F" w:rsidRPr="00675266">
        <w:t xml:space="preserve">Exerica. </w:t>
      </w:r>
      <w:hyperlink r:id="rId35" w:history="1">
        <w:r w:rsidR="003246E6" w:rsidRPr="00675266">
          <w:rPr>
            <w:rStyle w:val="Hyperlink"/>
            <w:color w:val="000000"/>
          </w:rPr>
          <w:t>https://exerica.com/</w:t>
        </w:r>
      </w:hyperlink>
    </w:p>
  </w:endnote>
  <w:endnote w:id="43">
    <w:p w14:paraId="7B57827C" w14:textId="09C3080D" w:rsidR="00F941D9" w:rsidRPr="00675266" w:rsidRDefault="00F941D9" w:rsidP="0069262B">
      <w:pPr>
        <w:pStyle w:val="EndnoteText"/>
        <w:rPr>
          <w:sz w:val="22"/>
          <w:szCs w:val="22"/>
        </w:rPr>
      </w:pPr>
      <w:r w:rsidRPr="00675266">
        <w:rPr>
          <w:rStyle w:val="EndnoteReference"/>
          <w:color w:val="000000"/>
        </w:rPr>
        <w:endnoteRef/>
      </w:r>
      <w:r w:rsidR="0069262B" w:rsidRPr="00675266">
        <w:rPr>
          <w:vertAlign w:val="superscript"/>
        </w:rPr>
        <w:t xml:space="preserve"> </w:t>
      </w:r>
      <w:r w:rsidRPr="00675266">
        <w:t xml:space="preserve">PETROBRAS. (2023). Unaudited Condensed </w:t>
      </w:r>
      <w:r w:rsidR="009773A2" w:rsidRPr="00675266">
        <w:t xml:space="preserve">Consolidated Interim </w:t>
      </w:r>
      <w:r w:rsidRPr="00675266">
        <w:t xml:space="preserve">Financial Statements. </w:t>
      </w:r>
      <w:hyperlink r:id="rId36" w:history="1">
        <w:r w:rsidR="003D1ED5" w:rsidRPr="00675266">
          <w:rPr>
            <w:rStyle w:val="Hyperlink"/>
            <w:color w:val="000000"/>
          </w:rPr>
          <w:t>https://api.mziq.com/mzfilemanager/v2/d/25fdf098-34f5-4608-b7fa-17d60b2de47d/42bdc7b7-a63d-2e64-1b41-cd835265871e?origin=1</w:t>
        </w:r>
      </w:hyperlink>
      <w:r w:rsidR="003D1ED5" w:rsidRPr="00675266">
        <w:rPr>
          <w:sz w:val="22"/>
          <w:szCs w:val="22"/>
        </w:rPr>
        <w:t xml:space="preserve"> </w:t>
      </w:r>
    </w:p>
  </w:endnote>
  <w:endnote w:id="44">
    <w:p w14:paraId="0AD2CC64" w14:textId="59DE017E" w:rsidR="00F941D9" w:rsidRPr="00675266" w:rsidRDefault="00F941D9" w:rsidP="005C56EB">
      <w:pPr>
        <w:pStyle w:val="EndnoteText"/>
      </w:pPr>
      <w:r w:rsidRPr="00675266">
        <w:rPr>
          <w:rStyle w:val="EndnoteReference"/>
          <w:color w:val="000000"/>
        </w:rPr>
        <w:endnoteRef/>
      </w:r>
      <w:r w:rsidRPr="00675266">
        <w:rPr>
          <w:vertAlign w:val="superscript"/>
        </w:rPr>
        <w:t xml:space="preserve"> </w:t>
      </w:r>
      <w:r w:rsidRPr="00675266">
        <w:t xml:space="preserve">Janus Henderson. (n.d.). </w:t>
      </w:r>
      <w:r w:rsidR="00BC399F" w:rsidRPr="00675266">
        <w:rPr>
          <w:i/>
          <w:iCs/>
        </w:rPr>
        <w:t>Global dividends broke new records in 2022 but growth is likely to slow in 2023</w:t>
      </w:r>
      <w:r w:rsidR="00BC399F" w:rsidRPr="00675266">
        <w:t xml:space="preserve">. </w:t>
      </w:r>
      <w:r w:rsidRPr="00675266">
        <w:t xml:space="preserve">Press </w:t>
      </w:r>
      <w:r w:rsidR="00BC399F" w:rsidRPr="00675266">
        <w:t>r</w:t>
      </w:r>
      <w:r w:rsidRPr="00675266">
        <w:t xml:space="preserve">elease. </w:t>
      </w:r>
      <w:hyperlink r:id="rId37" w:history="1">
        <w:r w:rsidRPr="00675266">
          <w:rPr>
            <w:rStyle w:val="Hyperlink"/>
            <w:color w:val="000000"/>
          </w:rPr>
          <w:t>https://www.janushenderson.com/en-no/advisor/press-releases/global-dividends-broke-new-records-in-2022-likely-to-slow-in-2023/</w:t>
        </w:r>
      </w:hyperlink>
    </w:p>
  </w:endnote>
  <w:endnote w:id="45">
    <w:p w14:paraId="53F7D7B7" w14:textId="4795B247" w:rsidR="00F941D9" w:rsidRPr="00675266" w:rsidRDefault="00F941D9" w:rsidP="005C56EB">
      <w:pPr>
        <w:pStyle w:val="EndnoteText"/>
      </w:pPr>
      <w:r w:rsidRPr="00675266">
        <w:rPr>
          <w:rStyle w:val="EndnoteReference"/>
          <w:color w:val="000000"/>
        </w:rPr>
        <w:endnoteRef/>
      </w:r>
      <w:r w:rsidRPr="00675266">
        <w:rPr>
          <w:vertAlign w:val="superscript"/>
        </w:rPr>
        <w:t xml:space="preserve"> </w:t>
      </w:r>
      <w:r w:rsidRPr="00675266">
        <w:t>Janus Henderson. (</w:t>
      </w:r>
      <w:r w:rsidR="005C56EB" w:rsidRPr="00675266">
        <w:t xml:space="preserve">April </w:t>
      </w:r>
      <w:r w:rsidRPr="00675266">
        <w:t xml:space="preserve">2023). </w:t>
      </w:r>
      <w:r w:rsidR="00BC399F" w:rsidRPr="00675266">
        <w:rPr>
          <w:i/>
          <w:iCs/>
        </w:rPr>
        <w:t>Global share buybacks surge to a record $1.31 trillion almost equalling dividends</w:t>
      </w:r>
      <w:r w:rsidR="00BC399F" w:rsidRPr="00675266">
        <w:t xml:space="preserve">. </w:t>
      </w:r>
      <w:hyperlink r:id="rId38" w:history="1">
        <w:r w:rsidRPr="00675266">
          <w:rPr>
            <w:rStyle w:val="Hyperlink"/>
            <w:color w:val="000000"/>
          </w:rPr>
          <w:t>https://www.janushenderson.com/en-us/advisor/press-releases/global-share-buybacks-surge-to-a-record-1-31-trillion-almost-equalling-dividends/</w:t>
        </w:r>
      </w:hyperlink>
    </w:p>
  </w:endnote>
  <w:endnote w:id="46">
    <w:p w14:paraId="661B7AF1" w14:textId="14E65BB3" w:rsidR="00F941D9" w:rsidRPr="00675266" w:rsidRDefault="00F941D9" w:rsidP="005C56EB">
      <w:pPr>
        <w:pStyle w:val="EndnoteText"/>
        <w:rPr>
          <w:sz w:val="22"/>
          <w:szCs w:val="22"/>
        </w:rPr>
      </w:pPr>
      <w:r w:rsidRPr="00675266">
        <w:rPr>
          <w:rStyle w:val="EndnoteReference"/>
          <w:color w:val="000000"/>
        </w:rPr>
        <w:endnoteRef/>
      </w:r>
      <w:r w:rsidRPr="00675266">
        <w:rPr>
          <w:vertAlign w:val="superscript"/>
        </w:rPr>
        <w:t xml:space="preserve"> </w:t>
      </w:r>
      <w:r w:rsidR="00015A19" w:rsidRPr="00675266">
        <w:t xml:space="preserve">G. </w:t>
      </w:r>
      <w:r w:rsidRPr="00675266">
        <w:t xml:space="preserve">Reuten. (2023). </w:t>
      </w:r>
      <w:r w:rsidRPr="00675266">
        <w:rPr>
          <w:i/>
          <w:iCs/>
        </w:rPr>
        <w:t>On the Distribution of Wealth and Capital Ownership; An Empirical Application to OECD Countries around 2019</w:t>
      </w:r>
      <w:r w:rsidRPr="00675266">
        <w:t xml:space="preserve">. Brill. </w:t>
      </w:r>
      <w:hyperlink r:id="rId39" w:history="1">
        <w:r w:rsidRPr="00675266">
          <w:rPr>
            <w:rStyle w:val="Hyperlink"/>
            <w:color w:val="000000"/>
          </w:rPr>
          <w:t>https://brill.com/view/journals/hima/aop/article-10.1163-1569206x-bja10005/article-10.1163-1569206x-bja10005.xml?language=en</w:t>
        </w:r>
      </w:hyperlink>
      <w:r w:rsidRPr="00675266">
        <w:rPr>
          <w:sz w:val="22"/>
          <w:szCs w:val="22"/>
        </w:rPr>
        <w:t xml:space="preserve"> </w:t>
      </w:r>
    </w:p>
  </w:endnote>
  <w:endnote w:id="47">
    <w:p w14:paraId="47486C3B" w14:textId="152674E4" w:rsidR="00F941D9" w:rsidRPr="00675266" w:rsidRDefault="00F941D9" w:rsidP="00686E82">
      <w:pPr>
        <w:pStyle w:val="EndnoteText"/>
      </w:pPr>
      <w:r w:rsidRPr="00675266">
        <w:rPr>
          <w:rStyle w:val="EndnoteReference"/>
          <w:color w:val="000000"/>
        </w:rPr>
        <w:endnoteRef/>
      </w:r>
      <w:r w:rsidRPr="00675266">
        <w:t xml:space="preserve"> World Inequality Database. </w:t>
      </w:r>
      <w:hyperlink r:id="rId40" w:history="1">
        <w:r w:rsidRPr="00675266">
          <w:rPr>
            <w:rStyle w:val="Hyperlink"/>
            <w:color w:val="000000"/>
          </w:rPr>
          <w:t>https://wid.world/data/</w:t>
        </w:r>
      </w:hyperlink>
    </w:p>
  </w:endnote>
  <w:endnote w:id="48">
    <w:p w14:paraId="406CF6DD" w14:textId="397CD612" w:rsidR="00F941D9" w:rsidRPr="00675266" w:rsidRDefault="00F941D9" w:rsidP="00686E82">
      <w:pPr>
        <w:pStyle w:val="EndnoteText"/>
        <w:rPr>
          <w:u w:val="single"/>
        </w:rPr>
      </w:pPr>
      <w:r w:rsidRPr="00675266">
        <w:rPr>
          <w:rStyle w:val="EndnoteReference"/>
          <w:color w:val="000000"/>
        </w:rPr>
        <w:endnoteRef/>
      </w:r>
      <w:r w:rsidRPr="00675266">
        <w:t xml:space="preserve"> </w:t>
      </w:r>
      <w:r w:rsidR="00BC399F" w:rsidRPr="00675266">
        <w:t xml:space="preserve">Our World in Data. </w:t>
      </w:r>
      <w:r w:rsidRPr="00675266">
        <w:rPr>
          <w:i/>
          <w:iCs/>
        </w:rPr>
        <w:t>Income inequality: Palma ratio (before tax), 1980 to 2021</w:t>
      </w:r>
      <w:r w:rsidRPr="00675266">
        <w:t xml:space="preserve">. </w:t>
      </w:r>
      <w:hyperlink r:id="rId41" w:history="1">
        <w:r w:rsidR="00BC399F" w:rsidRPr="00675266">
          <w:rPr>
            <w:rStyle w:val="Hyperlink"/>
            <w:color w:val="000000"/>
          </w:rPr>
          <w:t>https://ourworldindata.org/grapher/palma-ratio-s90s40-ratio?tab=table&amp;time=1980</w:t>
        </w:r>
      </w:hyperlink>
    </w:p>
  </w:endnote>
  <w:endnote w:id="49">
    <w:p w14:paraId="26F6AC3D" w14:textId="5A44F809" w:rsidR="00F941D9" w:rsidRPr="00675266" w:rsidRDefault="00F941D9" w:rsidP="00686E82">
      <w:pPr>
        <w:pStyle w:val="EndnoteText"/>
        <w:rPr>
          <w:u w:val="single"/>
        </w:rPr>
      </w:pPr>
      <w:r w:rsidRPr="00675266">
        <w:rPr>
          <w:rStyle w:val="EndnoteReference"/>
          <w:color w:val="000000"/>
        </w:rPr>
        <w:endnoteRef/>
      </w:r>
      <w:r w:rsidRPr="00675266">
        <w:t xml:space="preserve"> World Bank Poverty and Inequality Platform</w:t>
      </w:r>
      <w:r w:rsidR="00BC399F" w:rsidRPr="00675266">
        <w:t>. (2023).</w:t>
      </w:r>
      <w:r w:rsidRPr="00675266">
        <w:t xml:space="preserve"> </w:t>
      </w:r>
      <w:hyperlink r:id="rId42" w:history="1">
        <w:r w:rsidR="00787A65" w:rsidRPr="00675266">
          <w:rPr>
            <w:rStyle w:val="Hyperlink"/>
            <w:color w:val="000000"/>
          </w:rPr>
          <w:t>https://pip.worldbank.org/</w:t>
        </w:r>
      </w:hyperlink>
      <w:r w:rsidR="00787A65" w:rsidRPr="00675266">
        <w:rPr>
          <w:u w:val="single"/>
        </w:rPr>
        <w:t xml:space="preserve"> </w:t>
      </w:r>
      <w:r w:rsidRPr="00675266">
        <w:rPr>
          <w:u w:val="single"/>
        </w:rPr>
        <w:t>(version 20230919_2017_01_02_PROD)</w:t>
      </w:r>
    </w:p>
  </w:endnote>
  <w:endnote w:id="50">
    <w:p w14:paraId="0280BD81" w14:textId="403F6CE9" w:rsidR="00F941D9" w:rsidRPr="00675266" w:rsidRDefault="00F941D9">
      <w:pPr>
        <w:pStyle w:val="EndnoteText"/>
        <w:rPr>
          <w:sz w:val="22"/>
          <w:szCs w:val="22"/>
        </w:rPr>
      </w:pPr>
      <w:r w:rsidRPr="00675266">
        <w:rPr>
          <w:rStyle w:val="EndnoteReference"/>
          <w:sz w:val="22"/>
          <w:szCs w:val="22"/>
        </w:rPr>
        <w:endnoteRef/>
      </w:r>
      <w:r w:rsidRPr="00675266">
        <w:rPr>
          <w:sz w:val="22"/>
          <w:szCs w:val="22"/>
          <w:vertAlign w:val="superscript"/>
        </w:rPr>
        <w:t xml:space="preserve"> </w:t>
      </w:r>
      <w:r w:rsidRPr="00675266">
        <w:t xml:space="preserve">The Global Economy.com. </w:t>
      </w:r>
      <w:hyperlink r:id="rId43" w:history="1">
        <w:r w:rsidR="008030F1" w:rsidRPr="00675266">
          <w:rPr>
            <w:u w:val="single"/>
          </w:rPr>
          <w:t>https://www.theglobaleconomy.com/download-data.php</w:t>
        </w:r>
      </w:hyperlink>
      <w:r w:rsidR="008030F1" w:rsidRPr="00675266">
        <w:rPr>
          <w:sz w:val="22"/>
          <w:szCs w:val="22"/>
        </w:rPr>
        <w:t xml:space="preserve"> </w:t>
      </w:r>
    </w:p>
  </w:endnote>
  <w:endnote w:id="51">
    <w:p w14:paraId="6E63825C" w14:textId="1FA6DD33" w:rsidR="00993AF6" w:rsidRPr="00675266" w:rsidRDefault="00993AF6" w:rsidP="001417C5">
      <w:pPr>
        <w:pStyle w:val="EndnoteText"/>
      </w:pPr>
      <w:r w:rsidRPr="00675266">
        <w:rPr>
          <w:rStyle w:val="EndnoteReference"/>
          <w:color w:val="000000"/>
        </w:rPr>
        <w:endnoteRef/>
      </w:r>
      <w:r w:rsidRPr="00675266">
        <w:t xml:space="preserve"> Forbes (</w:t>
      </w:r>
      <w:r w:rsidR="00CB7B93" w:rsidRPr="00675266">
        <w:t xml:space="preserve">8 June </w:t>
      </w:r>
      <w:r w:rsidRPr="00675266">
        <w:t xml:space="preserve">2023). </w:t>
      </w:r>
      <w:r w:rsidRPr="00675266">
        <w:rPr>
          <w:i/>
          <w:iCs/>
        </w:rPr>
        <w:t>The Global 2000</w:t>
      </w:r>
      <w:r w:rsidRPr="00675266">
        <w:t xml:space="preserve">. </w:t>
      </w:r>
      <w:hyperlink r:id="rId44" w:history="1">
        <w:r w:rsidR="003A0731" w:rsidRPr="00675266">
          <w:rPr>
            <w:rStyle w:val="Hyperlink"/>
            <w:color w:val="000000"/>
          </w:rPr>
          <w:t>https://www.forbes.com/lists/global2000/?sh=3da986d5ac04</w:t>
        </w:r>
      </w:hyperlink>
    </w:p>
  </w:endnote>
  <w:endnote w:id="52">
    <w:p w14:paraId="15FBD969" w14:textId="71567F6B" w:rsidR="00727666" w:rsidRPr="00675266" w:rsidRDefault="00727666" w:rsidP="001417C5">
      <w:pPr>
        <w:pStyle w:val="EndnoteText"/>
      </w:pPr>
      <w:r w:rsidRPr="00675266">
        <w:rPr>
          <w:rStyle w:val="EndnoteReference"/>
          <w:color w:val="000000"/>
        </w:rPr>
        <w:endnoteRef/>
      </w:r>
      <w:r w:rsidRPr="00675266">
        <w:t xml:space="preserve"> Market capitali</w:t>
      </w:r>
      <w:r w:rsidR="00015A19" w:rsidRPr="00675266">
        <w:t>z</w:t>
      </w:r>
      <w:r w:rsidRPr="00675266">
        <w:t>ation is the total value of a company</w:t>
      </w:r>
      <w:r w:rsidR="00015A19" w:rsidRPr="00675266">
        <w:t>’</w:t>
      </w:r>
      <w:r w:rsidRPr="00675266">
        <w:t>s outstanding shares of stocks.</w:t>
      </w:r>
    </w:p>
  </w:endnote>
  <w:endnote w:id="53">
    <w:p w14:paraId="682399F4" w14:textId="322CEDD8" w:rsidR="00BF705A" w:rsidRPr="00675266" w:rsidRDefault="00BF705A" w:rsidP="001417C5">
      <w:pPr>
        <w:pStyle w:val="EndnoteText"/>
      </w:pPr>
      <w:r w:rsidRPr="00675266">
        <w:rPr>
          <w:rStyle w:val="EndnoteReference"/>
          <w:color w:val="000000"/>
        </w:rPr>
        <w:endnoteRef/>
      </w:r>
      <w:r w:rsidRPr="00675266">
        <w:rPr>
          <w:vertAlign w:val="superscript"/>
        </w:rPr>
        <w:t xml:space="preserve"> </w:t>
      </w:r>
      <w:r w:rsidRPr="00675266">
        <w:t>Forbes</w:t>
      </w:r>
      <w:r w:rsidR="00BC399F" w:rsidRPr="00675266">
        <w:t xml:space="preserve"> (</w:t>
      </w:r>
      <w:r w:rsidR="00CB7B93" w:rsidRPr="00675266">
        <w:t xml:space="preserve">8 June </w:t>
      </w:r>
      <w:r w:rsidR="00BC399F" w:rsidRPr="00675266">
        <w:t xml:space="preserve">2023). </w:t>
      </w:r>
      <w:r w:rsidR="00BC399F" w:rsidRPr="00675266">
        <w:rPr>
          <w:i/>
          <w:iCs/>
        </w:rPr>
        <w:t>The Global 2000</w:t>
      </w:r>
      <w:r w:rsidR="00BC399F" w:rsidRPr="00675266">
        <w:t>.</w:t>
      </w:r>
      <w:r w:rsidRPr="00675266">
        <w:t xml:space="preserve"> </w:t>
      </w:r>
      <w:r w:rsidR="00993AF6" w:rsidRPr="00675266">
        <w:t xml:space="preserve">Op. cit. </w:t>
      </w:r>
    </w:p>
  </w:endnote>
  <w:endnote w:id="54">
    <w:p w14:paraId="70627409" w14:textId="3A2E2841" w:rsidR="00F941D9" w:rsidRPr="00675266" w:rsidRDefault="00F941D9" w:rsidP="001417C5">
      <w:pPr>
        <w:pStyle w:val="EndnoteText"/>
      </w:pPr>
      <w:r w:rsidRPr="00675266">
        <w:rPr>
          <w:rStyle w:val="EndnoteReference"/>
          <w:color w:val="000000"/>
        </w:rPr>
        <w:endnoteRef/>
      </w:r>
      <w:r w:rsidRPr="00675266">
        <w:t xml:space="preserve"> </w:t>
      </w:r>
      <w:r w:rsidR="0074149A" w:rsidRPr="00675266">
        <w:t>International Monetary Fund. (2023, October). World Economic Outlook</w:t>
      </w:r>
      <w:r w:rsidR="009773A2" w:rsidRPr="00675266">
        <w:t xml:space="preserve"> Database</w:t>
      </w:r>
      <w:r w:rsidR="0074149A" w:rsidRPr="00675266">
        <w:t xml:space="preserve">. </w:t>
      </w:r>
      <w:hyperlink r:id="rId45" w:history="1">
        <w:r w:rsidR="00993AF6" w:rsidRPr="00675266">
          <w:rPr>
            <w:rStyle w:val="Hyperlink"/>
            <w:color w:val="000000"/>
          </w:rPr>
          <w:t>https://www.imf.org/en/Publications/WEO/weo-database/2023/October/select-country-group</w:t>
        </w:r>
      </w:hyperlink>
      <w:r w:rsidR="008030F1" w:rsidRPr="00675266">
        <w:rPr>
          <w:u w:val="single"/>
        </w:rPr>
        <w:t xml:space="preserve"> </w:t>
      </w:r>
    </w:p>
  </w:endnote>
  <w:endnote w:id="55">
    <w:p w14:paraId="1142E118" w14:textId="377AEB4C" w:rsidR="008778E4" w:rsidRPr="00675266" w:rsidRDefault="008778E4" w:rsidP="001417C5">
      <w:pPr>
        <w:pStyle w:val="EndnoteText"/>
        <w:rPr>
          <w:u w:val="single"/>
        </w:rPr>
      </w:pPr>
      <w:r w:rsidRPr="00675266">
        <w:rPr>
          <w:rStyle w:val="EndnoteReference"/>
          <w:color w:val="000000"/>
        </w:rPr>
        <w:endnoteRef/>
      </w:r>
      <w:r w:rsidRPr="00675266">
        <w:t xml:space="preserve"> </w:t>
      </w:r>
      <w:r w:rsidR="00015A19" w:rsidRPr="00675266">
        <w:t>Trading View</w:t>
      </w:r>
      <w:r w:rsidR="00BC399F" w:rsidRPr="00675266">
        <w:t xml:space="preserve">. </w:t>
      </w:r>
      <w:r w:rsidR="00015A19" w:rsidRPr="00675266">
        <w:t xml:space="preserve">World Stocks. </w:t>
      </w:r>
      <w:hyperlink r:id="rId46" w:history="1">
        <w:r w:rsidR="00015A19" w:rsidRPr="00675266">
          <w:rPr>
            <w:rStyle w:val="Hyperlink"/>
            <w:color w:val="000000"/>
          </w:rPr>
          <w:t>https://www.tradingview.com/markets/world-stocks/worlds-largest-companies/</w:t>
        </w:r>
      </w:hyperlink>
      <w:r w:rsidRPr="00675266">
        <w:rPr>
          <w:u w:val="single"/>
        </w:rPr>
        <w:t xml:space="preserve"> </w:t>
      </w:r>
    </w:p>
  </w:endnote>
  <w:endnote w:id="56">
    <w:p w14:paraId="4AB2E50C" w14:textId="5007A3FB" w:rsidR="00351F9E" w:rsidRPr="00675266" w:rsidRDefault="00351F9E">
      <w:pPr>
        <w:pStyle w:val="EndnoteText"/>
      </w:pPr>
      <w:r w:rsidRPr="00675266">
        <w:rPr>
          <w:rStyle w:val="EndnoteReference"/>
        </w:rPr>
        <w:endnoteRef/>
      </w:r>
      <w:r w:rsidRPr="00675266">
        <w:t xml:space="preserve"> </w:t>
      </w:r>
      <w:r w:rsidR="003C1191" w:rsidRPr="00675266">
        <w:t xml:space="preserve">MarketScreener. </w:t>
      </w:r>
      <w:r w:rsidRPr="00675266">
        <w:t>https://www.marketscreener.com/stock-exchange/shares/</w:t>
      </w:r>
    </w:p>
  </w:endnote>
  <w:endnote w:id="57">
    <w:p w14:paraId="4DC21B54" w14:textId="7BCF8624" w:rsidR="008778E4" w:rsidRPr="00675266" w:rsidRDefault="008778E4" w:rsidP="00503C88">
      <w:pPr>
        <w:pStyle w:val="EndnoteText"/>
        <w:rPr>
          <w:szCs w:val="22"/>
        </w:rPr>
      </w:pPr>
      <w:r w:rsidRPr="00675266">
        <w:rPr>
          <w:rStyle w:val="EndnoteReference"/>
          <w:szCs w:val="22"/>
        </w:rPr>
        <w:endnoteRef/>
      </w:r>
      <w:r w:rsidRPr="00675266">
        <w:rPr>
          <w:szCs w:val="22"/>
        </w:rPr>
        <w:t xml:space="preserve"> </w:t>
      </w:r>
      <w:r w:rsidR="00015A19" w:rsidRPr="00675266">
        <w:rPr>
          <w:szCs w:val="22"/>
        </w:rPr>
        <w:t>W. Kenton. (</w:t>
      </w:r>
      <w:r w:rsidR="00503C88" w:rsidRPr="00675266">
        <w:rPr>
          <w:szCs w:val="22"/>
        </w:rPr>
        <w:t xml:space="preserve">27 July </w:t>
      </w:r>
      <w:r w:rsidR="00015A19" w:rsidRPr="00675266">
        <w:rPr>
          <w:szCs w:val="22"/>
        </w:rPr>
        <w:t xml:space="preserve">2022). </w:t>
      </w:r>
      <w:r w:rsidR="006A29D9" w:rsidRPr="00675266">
        <w:rPr>
          <w:i/>
          <w:iCs/>
        </w:rPr>
        <w:t>Principal Shareholder: Meaning, Requirements, Primary Shareholder</w:t>
      </w:r>
      <w:r w:rsidR="006A29D9" w:rsidRPr="00675266">
        <w:t xml:space="preserve">. Investopedia: </w:t>
      </w:r>
      <w:hyperlink r:id="rId47" w:history="1">
        <w:r w:rsidR="00015A19" w:rsidRPr="00675266">
          <w:rPr>
            <w:rStyle w:val="Hyperlink"/>
            <w:szCs w:val="22"/>
          </w:rPr>
          <w:t>https://www.investopedia.com/terms/p/principal-shareholder.asp</w:t>
        </w:r>
      </w:hyperlink>
      <w:r w:rsidRPr="00675266">
        <w:rPr>
          <w:szCs w:val="22"/>
        </w:rPr>
        <w:t xml:space="preserve"> </w:t>
      </w:r>
    </w:p>
  </w:endnote>
  <w:endnote w:id="58">
    <w:p w14:paraId="2A9F358A" w14:textId="7C3B4F70" w:rsidR="008778E4" w:rsidRPr="00675266" w:rsidRDefault="008778E4" w:rsidP="00503C88">
      <w:pPr>
        <w:pStyle w:val="EndnoteText"/>
        <w:rPr>
          <w:szCs w:val="22"/>
        </w:rPr>
      </w:pPr>
      <w:r w:rsidRPr="00675266">
        <w:rPr>
          <w:rStyle w:val="EndnoteReference"/>
          <w:szCs w:val="22"/>
        </w:rPr>
        <w:endnoteRef/>
      </w:r>
      <w:r w:rsidRPr="00675266">
        <w:rPr>
          <w:szCs w:val="22"/>
        </w:rPr>
        <w:t xml:space="preserve"> </w:t>
      </w:r>
      <w:r w:rsidR="006A29D9" w:rsidRPr="00675266">
        <w:t>D. Pendleton. (</w:t>
      </w:r>
      <w:r w:rsidR="00503C88" w:rsidRPr="00675266">
        <w:t xml:space="preserve">28 October </w:t>
      </w:r>
      <w:r w:rsidR="006A29D9" w:rsidRPr="00675266">
        <w:t>2022).</w:t>
      </w:r>
      <w:r w:rsidR="006A29D9" w:rsidRPr="00675266">
        <w:rPr>
          <w:szCs w:val="22"/>
        </w:rPr>
        <w:t xml:space="preserve"> </w:t>
      </w:r>
      <w:r w:rsidR="006A29D9" w:rsidRPr="00675266">
        <w:rPr>
          <w:i/>
          <w:iCs/>
          <w:szCs w:val="22"/>
        </w:rPr>
        <w:t>These are the world’s richest families</w:t>
      </w:r>
      <w:r w:rsidR="006A29D9" w:rsidRPr="00675266">
        <w:rPr>
          <w:szCs w:val="22"/>
        </w:rPr>
        <w:t>. Bloomberg</w:t>
      </w:r>
      <w:r w:rsidR="00F03CE1" w:rsidRPr="00675266">
        <w:rPr>
          <w:szCs w:val="22"/>
        </w:rPr>
        <w:t xml:space="preserve"> UK</w:t>
      </w:r>
      <w:r w:rsidR="00BC399F" w:rsidRPr="00675266">
        <w:rPr>
          <w:szCs w:val="22"/>
        </w:rPr>
        <w:t>.</w:t>
      </w:r>
      <w:r w:rsidR="006A29D9" w:rsidRPr="00675266">
        <w:rPr>
          <w:szCs w:val="22"/>
        </w:rPr>
        <w:t xml:space="preserve"> </w:t>
      </w:r>
      <w:hyperlink r:id="rId48" w:history="1">
        <w:r w:rsidR="006A29D9" w:rsidRPr="00675266">
          <w:rPr>
            <w:rStyle w:val="Hyperlink"/>
            <w:szCs w:val="22"/>
          </w:rPr>
          <w:t>https://www.bloomberg.com/features/2022-worlds-richest-families/?leadSource=uverify%20wall</w:t>
        </w:r>
      </w:hyperlink>
      <w:r w:rsidRPr="00675266">
        <w:rPr>
          <w:szCs w:val="22"/>
        </w:rPr>
        <w:t xml:space="preserve"> </w:t>
      </w:r>
      <w:r w:rsidR="00BC399F" w:rsidRPr="00675266">
        <w:rPr>
          <w:szCs w:val="22"/>
        </w:rPr>
        <w:t>[paywall]</w:t>
      </w:r>
    </w:p>
  </w:endnote>
  <w:endnote w:id="59">
    <w:p w14:paraId="38D5C8AC" w14:textId="4BE6227E" w:rsidR="008778E4" w:rsidRPr="003246E6" w:rsidRDefault="008778E4" w:rsidP="00503C88">
      <w:pPr>
        <w:pStyle w:val="EndnoteText"/>
        <w:rPr>
          <w:szCs w:val="22"/>
        </w:rPr>
      </w:pPr>
      <w:r w:rsidRPr="00675266">
        <w:rPr>
          <w:rStyle w:val="EndnoteReference"/>
          <w:szCs w:val="22"/>
        </w:rPr>
        <w:endnoteRef/>
      </w:r>
      <w:r w:rsidRPr="00675266">
        <w:rPr>
          <w:szCs w:val="22"/>
        </w:rPr>
        <w:t xml:space="preserve"> </w:t>
      </w:r>
      <w:hyperlink r:id="rId49" w:history="1">
        <w:r w:rsidR="006A29D9" w:rsidRPr="00675266">
          <w:t>D.</w:t>
        </w:r>
        <w:r w:rsidR="006A29D9" w:rsidRPr="00675266">
          <w:rPr>
            <w:rFonts w:asciiTheme="minorHAnsi" w:hAnsiTheme="minorHAnsi"/>
            <w:kern w:val="2"/>
            <w:szCs w:val="22"/>
          </w:rPr>
          <w:t xml:space="preserve"> Pendleton</w:t>
        </w:r>
      </w:hyperlink>
      <w:r w:rsidR="006A29D9" w:rsidRPr="00675266">
        <w:rPr>
          <w:rFonts w:asciiTheme="minorHAnsi" w:hAnsiTheme="minorHAnsi"/>
          <w:kern w:val="2"/>
          <w:szCs w:val="22"/>
        </w:rPr>
        <w:t xml:space="preserve">, </w:t>
      </w:r>
      <w:hyperlink r:id="rId50" w:history="1">
        <w:r w:rsidR="006A29D9" w:rsidRPr="00675266">
          <w:t>B.</w:t>
        </w:r>
        <w:r w:rsidR="006A29D9" w:rsidRPr="00675266">
          <w:rPr>
            <w:rFonts w:asciiTheme="minorHAnsi" w:hAnsiTheme="minorHAnsi"/>
            <w:kern w:val="2"/>
            <w:szCs w:val="22"/>
          </w:rPr>
          <w:t xml:space="preserve"> Bartenstein</w:t>
        </w:r>
      </w:hyperlink>
      <w:r w:rsidR="006A29D9" w:rsidRPr="00675266">
        <w:rPr>
          <w:rFonts w:asciiTheme="minorHAnsi" w:hAnsiTheme="minorHAnsi"/>
          <w:kern w:val="2"/>
          <w:szCs w:val="22"/>
        </w:rPr>
        <w:t xml:space="preserve">, </w:t>
      </w:r>
      <w:hyperlink r:id="rId51" w:history="1">
        <w:r w:rsidR="006A29D9" w:rsidRPr="00675266">
          <w:t>F.</w:t>
        </w:r>
        <w:r w:rsidR="006A29D9" w:rsidRPr="00675266">
          <w:rPr>
            <w:rFonts w:asciiTheme="minorHAnsi" w:hAnsiTheme="minorHAnsi"/>
            <w:kern w:val="2"/>
            <w:szCs w:val="22"/>
          </w:rPr>
          <w:t xml:space="preserve"> Elbahrawy</w:t>
        </w:r>
      </w:hyperlink>
      <w:r w:rsidR="006A29D9" w:rsidRPr="00675266">
        <w:rPr>
          <w:rFonts w:asciiTheme="minorHAnsi" w:hAnsiTheme="minorHAnsi"/>
          <w:kern w:val="2"/>
          <w:szCs w:val="22"/>
        </w:rPr>
        <w:t xml:space="preserve"> and </w:t>
      </w:r>
      <w:hyperlink r:id="rId52" w:history="1">
        <w:r w:rsidR="006A29D9" w:rsidRPr="00675266">
          <w:t>N.</w:t>
        </w:r>
        <w:r w:rsidR="006A29D9" w:rsidRPr="00675266">
          <w:rPr>
            <w:rFonts w:asciiTheme="minorHAnsi" w:hAnsiTheme="minorHAnsi"/>
            <w:kern w:val="2"/>
            <w:szCs w:val="22"/>
          </w:rPr>
          <w:t xml:space="preserve"> Parasie</w:t>
        </w:r>
      </w:hyperlink>
      <w:r w:rsidR="006A29D9" w:rsidRPr="00675266">
        <w:t>. (</w:t>
      </w:r>
      <w:r w:rsidR="00503C88" w:rsidRPr="00675266">
        <w:t xml:space="preserve">6 December </w:t>
      </w:r>
      <w:r w:rsidR="006A29D9" w:rsidRPr="00675266">
        <w:t xml:space="preserve">2022). </w:t>
      </w:r>
      <w:r w:rsidR="006A29D9" w:rsidRPr="00675266">
        <w:rPr>
          <w:i/>
          <w:iCs/>
        </w:rPr>
        <w:t>Secretive Gulf Family’s $300 Billion Fortune Is About More Than Oil</w:t>
      </w:r>
      <w:r w:rsidR="006A29D9" w:rsidRPr="00675266">
        <w:t>. Bloomberg UK</w:t>
      </w:r>
      <w:r w:rsidR="00F03CE1" w:rsidRPr="00675266">
        <w:t>.</w:t>
      </w:r>
      <w:r w:rsidR="006A29D9" w:rsidRPr="00675266">
        <w:t xml:space="preserve"> </w:t>
      </w:r>
      <w:hyperlink r:id="rId53" w:history="1">
        <w:r w:rsidRPr="00675266">
          <w:rPr>
            <w:rStyle w:val="Hyperlink"/>
            <w:szCs w:val="22"/>
          </w:rPr>
          <w:t>https://www.bloomberg.com/features/2022-worlds-richest-family-abu-dhabi-royals-al-nahyans/</w:t>
        </w:r>
      </w:hyperlink>
      <w:r w:rsidRPr="00675266">
        <w:rPr>
          <w:szCs w:val="22"/>
        </w:rPr>
        <w:t xml:space="preserve"> </w:t>
      </w:r>
      <w:r w:rsidR="00BC399F" w:rsidRPr="00675266">
        <w:rPr>
          <w:szCs w:val="22"/>
        </w:rPr>
        <w:t>[paywall]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xfam TSTAR PRO">
    <w:panose1 w:val="02000806030000020004"/>
    <w:charset w:val="00"/>
    <w:family w:val="modern"/>
    <w:notTrueType/>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Oxfam TSTAR PRO Headline">
    <w:panose1 w:val="02000806030000020004"/>
    <w:charset w:val="00"/>
    <w:family w:val="modern"/>
    <w:notTrueType/>
    <w:pitch w:val="variable"/>
    <w:sig w:usb0="800002AF" w:usb1="50002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B0B0" w14:textId="77777777" w:rsidR="00990C6C" w:rsidRPr="0009666F" w:rsidRDefault="00990C6C" w:rsidP="00990C6C">
    <w:pPr>
      <w:pStyle w:val="Footer"/>
      <w:tabs>
        <w:tab w:val="clear" w:pos="4320"/>
        <w:tab w:val="clear" w:pos="8640"/>
        <w:tab w:val="right" w:pos="6860"/>
      </w:tabs>
    </w:pPr>
    <w:r w:rsidRPr="0009666F">
      <w:fldChar w:fldCharType="begin"/>
    </w:r>
    <w:r w:rsidRPr="0009666F">
      <w:instrText xml:space="preserve"> PAGE </w:instrText>
    </w:r>
    <w:r w:rsidRPr="0009666F">
      <w:fldChar w:fldCharType="separate"/>
    </w:r>
    <w:r w:rsidRPr="0009666F">
      <w:t>8</w:t>
    </w:r>
    <w:r w:rsidRPr="000966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3913" w14:textId="77777777" w:rsidR="00990C6C" w:rsidRPr="0009666F" w:rsidRDefault="00990C6C" w:rsidP="00990C6C">
    <w:pPr>
      <w:pStyle w:val="Footer"/>
      <w:tabs>
        <w:tab w:val="clear" w:pos="4320"/>
        <w:tab w:val="clear" w:pos="8640"/>
        <w:tab w:val="right" w:pos="9979"/>
      </w:tabs>
      <w:ind w:right="-2780"/>
    </w:pPr>
    <w:r w:rsidRPr="0009666F">
      <w:tab/>
    </w:r>
    <w:r w:rsidRPr="0009666F">
      <w:fldChar w:fldCharType="begin"/>
    </w:r>
    <w:r w:rsidRPr="0009666F">
      <w:instrText xml:space="preserve"> PAGE </w:instrText>
    </w:r>
    <w:r w:rsidRPr="0009666F">
      <w:fldChar w:fldCharType="separate"/>
    </w:r>
    <w:r w:rsidRPr="0009666F">
      <w:t>7</w:t>
    </w:r>
    <w:r w:rsidRPr="0009666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8D0A" w14:textId="77777777" w:rsidR="007D4F4A" w:rsidRPr="00990C6C" w:rsidRDefault="00990C6C" w:rsidP="00990C6C">
    <w:pPr>
      <w:pStyle w:val="Footer"/>
      <w:tabs>
        <w:tab w:val="clear" w:pos="4320"/>
        <w:tab w:val="clear" w:pos="8640"/>
        <w:tab w:val="right" w:pos="9979"/>
      </w:tabs>
      <w:spacing w:before="360"/>
      <w:ind w:right="-2355"/>
      <w:rPr>
        <w:b/>
        <w:bCs/>
        <w:color w:val="000000"/>
        <w:szCs w:val="36"/>
      </w:rPr>
    </w:pPr>
    <w:r w:rsidRPr="007A5311">
      <w:rPr>
        <w:color w:val="44841A"/>
        <w:sz w:val="36"/>
        <w:szCs w:val="36"/>
      </w:rPr>
      <w:t>www.oxfam.org</w:t>
    </w:r>
    <w:r w:rsidRPr="007A5311">
      <w:rPr>
        <w:color w:val="44841A"/>
        <w:sz w:val="36"/>
        <w:szCs w:val="36"/>
      </w:rPr>
      <w:tab/>
    </w:r>
    <w:r w:rsidRPr="007A5311">
      <w:rPr>
        <w:b/>
        <w:bCs/>
        <w:noProof/>
        <w:snapToGrid/>
        <w:color w:val="44841A"/>
        <w:szCs w:val="36"/>
        <w:lang w:eastAsia="en-GB"/>
      </w:rPr>
      <w:drawing>
        <wp:inline distT="0" distB="0" distL="0" distR="0" wp14:anchorId="36C2DC0B" wp14:editId="6C8071FA">
          <wp:extent cx="900000" cy="1002975"/>
          <wp:effectExtent l="0" t="0" r="0" b="6985"/>
          <wp:docPr id="5" name="Picture 5" descr="Logo Ox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Oxfam"/>
                  <pic:cNvPicPr/>
                </pic:nvPicPr>
                <pic:blipFill>
                  <a:blip r:embed="rId1">
                    <a:extLst>
                      <a:ext uri="{28A0092B-C50C-407E-A947-70E740481C1C}">
                        <a14:useLocalDpi xmlns:a14="http://schemas.microsoft.com/office/drawing/2010/main" val="0"/>
                      </a:ext>
                    </a:extLst>
                  </a:blip>
                  <a:stretch>
                    <a:fillRect/>
                  </a:stretch>
                </pic:blipFill>
                <pic:spPr>
                  <a:xfrm>
                    <a:off x="0" y="0"/>
                    <a:ext cx="900000" cy="100297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FD076" w14:textId="77777777" w:rsidR="00874C9E" w:rsidRDefault="00874C9E">
      <w:pPr>
        <w:pStyle w:val="Footer"/>
      </w:pPr>
    </w:p>
    <w:p w14:paraId="49FCEBE6" w14:textId="77777777" w:rsidR="00874C9E" w:rsidRDefault="00874C9E"/>
  </w:footnote>
  <w:footnote w:type="continuationSeparator" w:id="0">
    <w:p w14:paraId="285A395F" w14:textId="77777777" w:rsidR="00874C9E" w:rsidRDefault="00874C9E">
      <w:pPr>
        <w:pStyle w:val="Footer"/>
      </w:pPr>
    </w:p>
    <w:p w14:paraId="2857C5E2" w14:textId="77777777" w:rsidR="00874C9E" w:rsidRDefault="00874C9E"/>
  </w:footnote>
  <w:footnote w:type="continuationNotice" w:id="1">
    <w:p w14:paraId="5BF67685" w14:textId="77777777" w:rsidR="00874C9E" w:rsidRDefault="00874C9E">
      <w:pPr>
        <w:pStyle w:val="Footer"/>
      </w:pPr>
    </w:p>
    <w:p w14:paraId="192DA58F" w14:textId="77777777" w:rsidR="00874C9E" w:rsidRDefault="00874C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F90E" w14:textId="50C12E4E" w:rsidR="009B173A" w:rsidRPr="003F4A9A" w:rsidRDefault="009B173A" w:rsidP="005028B2">
    <w:pPr>
      <w:pStyle w:val="Coverpaper"/>
    </w:pPr>
    <w:r w:rsidRPr="003F4A9A">
      <w:t xml:space="preserve">Oxfam </w:t>
    </w:r>
    <w:r w:rsidR="00143F77">
      <w:t>Methodology</w:t>
    </w:r>
    <w:r w:rsidRPr="003F4A9A">
      <w:t xml:space="preserve"> </w:t>
    </w:r>
    <w:r w:rsidR="00143F77">
      <w:t>Note</w:t>
    </w:r>
    <w:r w:rsidRPr="003F4A9A">
      <w:tab/>
    </w:r>
    <w:r w:rsidR="00EA26FF">
      <w:t>JANUARY</w:t>
    </w:r>
    <w:r w:rsidRPr="003F4A9A">
      <w:t xml:space="preserve"> </w:t>
    </w:r>
    <w:r w:rsidR="00EA26FF">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BC55" w14:textId="77777777" w:rsidR="003C0979" w:rsidRPr="003C0979" w:rsidRDefault="003C0979" w:rsidP="003C09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0A9"/>
    <w:multiLevelType w:val="hybridMultilevel"/>
    <w:tmpl w:val="A4E6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035CD"/>
    <w:multiLevelType w:val="multilevel"/>
    <w:tmpl w:val="0F30E4C6"/>
    <w:lvl w:ilvl="0">
      <w:start w:val="1"/>
      <w:numFmt w:val="decimal"/>
      <w:lvlText w:val="%1"/>
      <w:lvlJc w:val="left"/>
      <w:pPr>
        <w:ind w:left="1080" w:hanging="72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637F00"/>
    <w:multiLevelType w:val="hybridMultilevel"/>
    <w:tmpl w:val="84181286"/>
    <w:lvl w:ilvl="0" w:tplc="561ABB26">
      <w:start w:val="1"/>
      <w:numFmt w:val="decimal"/>
      <w:pStyle w:val="Boxtextlistnumbered"/>
      <w:lvlText w:val="%1."/>
      <w:lvlJc w:val="left"/>
      <w:pPr>
        <w:tabs>
          <w:tab w:val="num" w:pos="397"/>
        </w:tabs>
        <w:ind w:left="397" w:hanging="284"/>
      </w:pPr>
      <w:rPr>
        <w:rFonts w:hint="default"/>
        <w:color w:val="auto"/>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1D5F3C"/>
    <w:multiLevelType w:val="multilevel"/>
    <w:tmpl w:val="12F235C8"/>
    <w:lvl w:ilvl="0">
      <w:start w:val="2"/>
      <w:numFmt w:val="decimal"/>
      <w:lvlText w:val="%1.0."/>
      <w:lvlJc w:val="left"/>
      <w:pPr>
        <w:ind w:left="720" w:hanging="720"/>
      </w:pPr>
      <w:rPr>
        <w:rFonts w:hint="default"/>
      </w:rPr>
    </w:lvl>
    <w:lvl w:ilvl="1">
      <w:numFmt w:val="decimal"/>
      <w:lvlText w:val="%1.%2."/>
      <w:lvlJc w:val="left"/>
      <w:pPr>
        <w:ind w:left="771" w:hanging="41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4A822D9"/>
    <w:multiLevelType w:val="multilevel"/>
    <w:tmpl w:val="4BA6B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852C20"/>
    <w:multiLevelType w:val="multilevel"/>
    <w:tmpl w:val="0C987BD4"/>
    <w:lvl w:ilvl="0">
      <w:start w:val="2"/>
      <w:numFmt w:val="decimal"/>
      <w:lvlText w:val="%1"/>
      <w:lvlJc w:val="left"/>
      <w:pPr>
        <w:ind w:left="400" w:hanging="400"/>
      </w:pPr>
      <w:rPr>
        <w:rFonts w:hint="default"/>
      </w:rPr>
    </w:lvl>
    <w:lvl w:ilvl="1">
      <w:start w:val="10"/>
      <w:numFmt w:val="decimal"/>
      <w:lvlText w:val="%1.%2"/>
      <w:lvlJc w:val="left"/>
      <w:pPr>
        <w:ind w:left="757" w:hanging="40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6" w15:restartNumberingAfterBreak="0">
    <w:nsid w:val="2820199F"/>
    <w:multiLevelType w:val="multilevel"/>
    <w:tmpl w:val="428209E0"/>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C2417D2"/>
    <w:multiLevelType w:val="multilevel"/>
    <w:tmpl w:val="1F58FC30"/>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2F297E91"/>
    <w:multiLevelType w:val="hybridMultilevel"/>
    <w:tmpl w:val="8F0C2D12"/>
    <w:lvl w:ilvl="0" w:tplc="33AA79B4">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1528E8"/>
    <w:multiLevelType w:val="hybridMultilevel"/>
    <w:tmpl w:val="9C74946C"/>
    <w:lvl w:ilvl="0" w:tplc="C53E8B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47468E"/>
    <w:multiLevelType w:val="multilevel"/>
    <w:tmpl w:val="CAD02902"/>
    <w:lvl w:ilvl="0">
      <w:start w:val="3"/>
      <w:numFmt w:val="decimal"/>
      <w:lvlText w:val="%1.0"/>
      <w:lvlJc w:val="left"/>
      <w:pPr>
        <w:ind w:left="717" w:hanging="360"/>
      </w:pPr>
      <w:rPr>
        <w:rFonts w:hint="default"/>
        <w:b w:val="0"/>
        <w:bCs/>
      </w:rPr>
    </w:lvl>
    <w:lvl w:ilvl="1">
      <w:start w:val="1"/>
      <w:numFmt w:val="decimal"/>
      <w:lvlText w:val="%1.%2"/>
      <w:lvlJc w:val="left"/>
      <w:pPr>
        <w:ind w:left="1437" w:hanging="513"/>
      </w:pPr>
      <w:rPr>
        <w:rFonts w:hint="default"/>
        <w:b/>
      </w:rPr>
    </w:lvl>
    <w:lvl w:ilvl="2">
      <w:start w:val="1"/>
      <w:numFmt w:val="decimal"/>
      <w:lvlText w:val="%1.%2.%3"/>
      <w:lvlJc w:val="left"/>
      <w:pPr>
        <w:ind w:left="2517" w:hanging="720"/>
      </w:pPr>
      <w:rPr>
        <w:rFonts w:hint="default"/>
        <w:b/>
      </w:rPr>
    </w:lvl>
    <w:lvl w:ilvl="3">
      <w:start w:val="1"/>
      <w:numFmt w:val="decimal"/>
      <w:lvlText w:val="%1.%2.%3.%4"/>
      <w:lvlJc w:val="left"/>
      <w:pPr>
        <w:ind w:left="3597" w:hanging="1080"/>
      </w:pPr>
      <w:rPr>
        <w:rFonts w:hint="default"/>
        <w:b/>
      </w:rPr>
    </w:lvl>
    <w:lvl w:ilvl="4">
      <w:start w:val="1"/>
      <w:numFmt w:val="decimal"/>
      <w:lvlText w:val="%1.%2.%3.%4.%5"/>
      <w:lvlJc w:val="left"/>
      <w:pPr>
        <w:ind w:left="4317" w:hanging="1080"/>
      </w:pPr>
      <w:rPr>
        <w:rFonts w:hint="default"/>
        <w:b/>
      </w:rPr>
    </w:lvl>
    <w:lvl w:ilvl="5">
      <w:start w:val="1"/>
      <w:numFmt w:val="decimal"/>
      <w:lvlText w:val="%1.%2.%3.%4.%5.%6"/>
      <w:lvlJc w:val="left"/>
      <w:pPr>
        <w:ind w:left="5397" w:hanging="1440"/>
      </w:pPr>
      <w:rPr>
        <w:rFonts w:hint="default"/>
        <w:b/>
      </w:rPr>
    </w:lvl>
    <w:lvl w:ilvl="6">
      <w:start w:val="1"/>
      <w:numFmt w:val="decimal"/>
      <w:lvlText w:val="%1.%2.%3.%4.%5.%6.%7"/>
      <w:lvlJc w:val="left"/>
      <w:pPr>
        <w:ind w:left="6117" w:hanging="1440"/>
      </w:pPr>
      <w:rPr>
        <w:rFonts w:hint="default"/>
        <w:b/>
      </w:rPr>
    </w:lvl>
    <w:lvl w:ilvl="7">
      <w:start w:val="1"/>
      <w:numFmt w:val="decimal"/>
      <w:lvlText w:val="%1.%2.%3.%4.%5.%6.%7.%8"/>
      <w:lvlJc w:val="left"/>
      <w:pPr>
        <w:ind w:left="7197" w:hanging="1800"/>
      </w:pPr>
      <w:rPr>
        <w:rFonts w:hint="default"/>
        <w:b/>
      </w:rPr>
    </w:lvl>
    <w:lvl w:ilvl="8">
      <w:start w:val="1"/>
      <w:numFmt w:val="decimal"/>
      <w:lvlText w:val="%1.%2.%3.%4.%5.%6.%7.%8.%9"/>
      <w:lvlJc w:val="left"/>
      <w:pPr>
        <w:ind w:left="7917" w:hanging="1800"/>
      </w:pPr>
      <w:rPr>
        <w:rFonts w:hint="default"/>
        <w:b/>
      </w:rPr>
    </w:lvl>
  </w:abstractNum>
  <w:abstractNum w:abstractNumId="11" w15:restartNumberingAfterBreak="0">
    <w:nsid w:val="40A8307E"/>
    <w:multiLevelType w:val="hybridMultilevel"/>
    <w:tmpl w:val="C27ED598"/>
    <w:lvl w:ilvl="0" w:tplc="5F442C6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1759AD"/>
    <w:multiLevelType w:val="multilevel"/>
    <w:tmpl w:val="2A00C344"/>
    <w:lvl w:ilvl="0">
      <w:start w:val="2"/>
      <w:numFmt w:val="decimal"/>
      <w:lvlText w:val="%1."/>
      <w:lvlJc w:val="left"/>
      <w:pPr>
        <w:ind w:left="460" w:hanging="46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A7E0B9A"/>
    <w:multiLevelType w:val="hybridMultilevel"/>
    <w:tmpl w:val="935844B4"/>
    <w:lvl w:ilvl="0" w:tplc="D9A04F30">
      <w:start w:val="1"/>
      <w:numFmt w:val="bullet"/>
      <w:pStyle w:val="Textlistbullet"/>
      <w:lvlText w:val="•"/>
      <w:lvlJc w:val="left"/>
      <w:pPr>
        <w:tabs>
          <w:tab w:val="num" w:pos="284"/>
        </w:tabs>
        <w:ind w:left="284" w:hanging="284"/>
      </w:pPr>
      <w:rPr>
        <w:rFonts w:ascii="Times New Roman" w:hAnsi="Times New Roman" w:hint="default"/>
        <w:color w:val="auto"/>
      </w:rPr>
    </w:lvl>
    <w:lvl w:ilvl="1" w:tplc="08107A4A">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14" w15:restartNumberingAfterBreak="0">
    <w:nsid w:val="4AFDD8C6"/>
    <w:multiLevelType w:val="hybridMultilevel"/>
    <w:tmpl w:val="F1C6F806"/>
    <w:lvl w:ilvl="0" w:tplc="A72CF1F0">
      <w:start w:val="1"/>
      <w:numFmt w:val="bullet"/>
      <w:lvlText w:val=""/>
      <w:lvlJc w:val="left"/>
      <w:pPr>
        <w:ind w:left="720" w:hanging="360"/>
      </w:pPr>
      <w:rPr>
        <w:rFonts w:ascii="Symbol" w:hAnsi="Symbol" w:hint="default"/>
      </w:rPr>
    </w:lvl>
    <w:lvl w:ilvl="1" w:tplc="2642FC36">
      <w:start w:val="1"/>
      <w:numFmt w:val="bullet"/>
      <w:lvlText w:val="o"/>
      <w:lvlJc w:val="left"/>
      <w:pPr>
        <w:ind w:left="1440" w:hanging="360"/>
      </w:pPr>
      <w:rPr>
        <w:rFonts w:ascii="Courier New" w:hAnsi="Courier New" w:hint="default"/>
      </w:rPr>
    </w:lvl>
    <w:lvl w:ilvl="2" w:tplc="28C0CC58">
      <w:start w:val="1"/>
      <w:numFmt w:val="bullet"/>
      <w:lvlText w:val=""/>
      <w:lvlJc w:val="left"/>
      <w:pPr>
        <w:ind w:left="2160" w:hanging="360"/>
      </w:pPr>
      <w:rPr>
        <w:rFonts w:ascii="Wingdings" w:hAnsi="Wingdings" w:hint="default"/>
      </w:rPr>
    </w:lvl>
    <w:lvl w:ilvl="3" w:tplc="F0766AD0">
      <w:start w:val="1"/>
      <w:numFmt w:val="bullet"/>
      <w:lvlText w:val=""/>
      <w:lvlJc w:val="left"/>
      <w:pPr>
        <w:ind w:left="2880" w:hanging="360"/>
      </w:pPr>
      <w:rPr>
        <w:rFonts w:ascii="Symbol" w:hAnsi="Symbol" w:hint="default"/>
      </w:rPr>
    </w:lvl>
    <w:lvl w:ilvl="4" w:tplc="097AFEF2">
      <w:start w:val="1"/>
      <w:numFmt w:val="bullet"/>
      <w:lvlText w:val="o"/>
      <w:lvlJc w:val="left"/>
      <w:pPr>
        <w:ind w:left="3600" w:hanging="360"/>
      </w:pPr>
      <w:rPr>
        <w:rFonts w:ascii="Courier New" w:hAnsi="Courier New" w:hint="default"/>
      </w:rPr>
    </w:lvl>
    <w:lvl w:ilvl="5" w:tplc="1C926D22">
      <w:start w:val="1"/>
      <w:numFmt w:val="bullet"/>
      <w:lvlText w:val=""/>
      <w:lvlJc w:val="left"/>
      <w:pPr>
        <w:ind w:left="4320" w:hanging="360"/>
      </w:pPr>
      <w:rPr>
        <w:rFonts w:ascii="Wingdings" w:hAnsi="Wingdings" w:hint="default"/>
      </w:rPr>
    </w:lvl>
    <w:lvl w:ilvl="6" w:tplc="4B54632A">
      <w:start w:val="1"/>
      <w:numFmt w:val="bullet"/>
      <w:lvlText w:val=""/>
      <w:lvlJc w:val="left"/>
      <w:pPr>
        <w:ind w:left="5040" w:hanging="360"/>
      </w:pPr>
      <w:rPr>
        <w:rFonts w:ascii="Symbol" w:hAnsi="Symbol" w:hint="default"/>
      </w:rPr>
    </w:lvl>
    <w:lvl w:ilvl="7" w:tplc="D0246F0A">
      <w:start w:val="1"/>
      <w:numFmt w:val="bullet"/>
      <w:lvlText w:val="o"/>
      <w:lvlJc w:val="left"/>
      <w:pPr>
        <w:ind w:left="5760" w:hanging="360"/>
      </w:pPr>
      <w:rPr>
        <w:rFonts w:ascii="Courier New" w:hAnsi="Courier New" w:hint="default"/>
      </w:rPr>
    </w:lvl>
    <w:lvl w:ilvl="8" w:tplc="6318190A">
      <w:start w:val="1"/>
      <w:numFmt w:val="bullet"/>
      <w:lvlText w:val=""/>
      <w:lvlJc w:val="left"/>
      <w:pPr>
        <w:ind w:left="6480" w:hanging="360"/>
      </w:pPr>
      <w:rPr>
        <w:rFonts w:ascii="Wingdings" w:hAnsi="Wingdings" w:hint="default"/>
      </w:rPr>
    </w:lvl>
  </w:abstractNum>
  <w:abstractNum w:abstractNumId="15" w15:restartNumberingAfterBreak="0">
    <w:nsid w:val="4D7D7D8C"/>
    <w:multiLevelType w:val="multilevel"/>
    <w:tmpl w:val="33C4440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8B25CB2"/>
    <w:multiLevelType w:val="hybridMultilevel"/>
    <w:tmpl w:val="2A36B500"/>
    <w:lvl w:ilvl="0" w:tplc="17E21398">
      <w:start w:val="1"/>
      <w:numFmt w:val="bullet"/>
      <w:lvlText w:val=""/>
      <w:lvlJc w:val="left"/>
      <w:pPr>
        <w:tabs>
          <w:tab w:val="num" w:pos="2835"/>
        </w:tabs>
        <w:ind w:left="2835" w:hanging="283"/>
      </w:pPr>
      <w:rPr>
        <w:rFonts w:ascii="Symbol" w:hAnsi="Symbol" w:hint="default"/>
        <w:color w:val="99CC00"/>
      </w:rPr>
    </w:lvl>
    <w:lvl w:ilvl="1" w:tplc="B1DCBD40">
      <w:start w:val="1"/>
      <w:numFmt w:val="decimal"/>
      <w:pStyle w:val="Textlistnumbered"/>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17" w15:restartNumberingAfterBreak="0">
    <w:nsid w:val="5E581E9D"/>
    <w:multiLevelType w:val="multilevel"/>
    <w:tmpl w:val="33C4440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94A062E"/>
    <w:multiLevelType w:val="hybridMultilevel"/>
    <w:tmpl w:val="27427A7A"/>
    <w:lvl w:ilvl="0" w:tplc="92984570">
      <w:start w:val="1"/>
      <w:numFmt w:val="bullet"/>
      <w:pStyle w:val="Tabletextlistbullet"/>
      <w:lvlText w:val="•"/>
      <w:lvlJc w:val="left"/>
      <w:pPr>
        <w:tabs>
          <w:tab w:val="num" w:pos="284"/>
        </w:tabs>
        <w:ind w:left="284" w:hanging="284"/>
      </w:pPr>
      <w:rPr>
        <w:rFonts w:ascii="Arial" w:hAnsi="Arial" w:hint="default"/>
        <w:color w:val="auto"/>
      </w:rPr>
    </w:lvl>
    <w:lvl w:ilvl="1" w:tplc="B46EE76C">
      <w:start w:val="1"/>
      <w:numFmt w:val="decimal"/>
      <w:pStyle w:val="Tabletextlistnumbered"/>
      <w:lvlText w:val="%2."/>
      <w:lvlJc w:val="left"/>
      <w:pPr>
        <w:tabs>
          <w:tab w:val="num" w:pos="284"/>
        </w:tabs>
        <w:ind w:left="284" w:hanging="284"/>
      </w:pPr>
      <w:rPr>
        <w:rFont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CD12BF"/>
    <w:multiLevelType w:val="hybridMultilevel"/>
    <w:tmpl w:val="F0A6B1B4"/>
    <w:lvl w:ilvl="0" w:tplc="FDDEFA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7E7EA9"/>
    <w:multiLevelType w:val="hybridMultilevel"/>
    <w:tmpl w:val="35E4F842"/>
    <w:lvl w:ilvl="0" w:tplc="53A8C1AA">
      <w:start w:val="1"/>
      <w:numFmt w:val="bullet"/>
      <w:pStyle w:val="Boxtextlistbullet"/>
      <w:lvlText w:val="•"/>
      <w:lvlJc w:val="left"/>
      <w:pPr>
        <w:tabs>
          <w:tab w:val="num" w:pos="511"/>
        </w:tabs>
        <w:ind w:left="511" w:hanging="284"/>
      </w:pPr>
      <w:rPr>
        <w:rFonts w:ascii="Times New Roman" w:hAnsi="Times New Roman" w:hint="default"/>
        <w:color w:val="auto"/>
      </w:rPr>
    </w:lvl>
    <w:lvl w:ilvl="1" w:tplc="00030409">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875D0D"/>
    <w:multiLevelType w:val="multilevel"/>
    <w:tmpl w:val="204EAB6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3BE229C"/>
    <w:multiLevelType w:val="hybridMultilevel"/>
    <w:tmpl w:val="E152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6E011E"/>
    <w:multiLevelType w:val="hybridMultilevel"/>
    <w:tmpl w:val="D272F5CA"/>
    <w:lvl w:ilvl="0" w:tplc="7B8656A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233ABD"/>
    <w:multiLevelType w:val="hybridMultilevel"/>
    <w:tmpl w:val="3314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95C23"/>
    <w:multiLevelType w:val="multilevel"/>
    <w:tmpl w:val="1090AAC0"/>
    <w:lvl w:ilvl="0">
      <w:start w:val="2"/>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50626282">
    <w:abstractNumId w:val="16"/>
  </w:num>
  <w:num w:numId="2" w16cid:durableId="1501891519">
    <w:abstractNumId w:val="20"/>
  </w:num>
  <w:num w:numId="3" w16cid:durableId="715855557">
    <w:abstractNumId w:val="2"/>
  </w:num>
  <w:num w:numId="4" w16cid:durableId="992757662">
    <w:abstractNumId w:val="13"/>
  </w:num>
  <w:num w:numId="5" w16cid:durableId="967975444">
    <w:abstractNumId w:val="18"/>
  </w:num>
  <w:num w:numId="6" w16cid:durableId="1343553857">
    <w:abstractNumId w:val="1"/>
  </w:num>
  <w:num w:numId="7" w16cid:durableId="1606569326">
    <w:abstractNumId w:val="14"/>
  </w:num>
  <w:num w:numId="8" w16cid:durableId="1406033125">
    <w:abstractNumId w:val="24"/>
  </w:num>
  <w:num w:numId="9" w16cid:durableId="845902838">
    <w:abstractNumId w:val="0"/>
  </w:num>
  <w:num w:numId="10" w16cid:durableId="1207067073">
    <w:abstractNumId w:val="3"/>
  </w:num>
  <w:num w:numId="11" w16cid:durableId="450782821">
    <w:abstractNumId w:val="22"/>
  </w:num>
  <w:num w:numId="12" w16cid:durableId="154956471">
    <w:abstractNumId w:val="5"/>
  </w:num>
  <w:num w:numId="13" w16cid:durableId="1019500674">
    <w:abstractNumId w:val="10"/>
  </w:num>
  <w:num w:numId="14" w16cid:durableId="1809083100">
    <w:abstractNumId w:val="7"/>
  </w:num>
  <w:num w:numId="15" w16cid:durableId="1196431190">
    <w:abstractNumId w:val="6"/>
  </w:num>
  <w:num w:numId="16" w16cid:durableId="2031564740">
    <w:abstractNumId w:val="8"/>
  </w:num>
  <w:num w:numId="17" w16cid:durableId="265306365">
    <w:abstractNumId w:val="15"/>
  </w:num>
  <w:num w:numId="18" w16cid:durableId="149567793">
    <w:abstractNumId w:val="4"/>
  </w:num>
  <w:num w:numId="19" w16cid:durableId="1209999502">
    <w:abstractNumId w:val="25"/>
  </w:num>
  <w:num w:numId="20" w16cid:durableId="302932557">
    <w:abstractNumId w:val="21"/>
  </w:num>
  <w:num w:numId="21" w16cid:durableId="876939774">
    <w:abstractNumId w:val="17"/>
  </w:num>
  <w:num w:numId="22" w16cid:durableId="1356494205">
    <w:abstractNumId w:val="12"/>
  </w:num>
  <w:num w:numId="23" w16cid:durableId="1044791324">
    <w:abstractNumId w:val="23"/>
  </w:num>
  <w:num w:numId="24" w16cid:durableId="383334501">
    <w:abstractNumId w:val="11"/>
  </w:num>
  <w:num w:numId="25" w16cid:durableId="1907915080">
    <w:abstractNumId w:val="19"/>
  </w:num>
  <w:num w:numId="26" w16cid:durableId="25325116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Theme/>
  <w:styleLockQFSet/>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pos w:val="sectEnd"/>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2NzcyNjY2szAyt7RU0lEKTi0uzszPAykwrAUACOPeNiwAAAA="/>
  </w:docVars>
  <w:rsids>
    <w:rsidRoot w:val="00721F3D"/>
    <w:rsid w:val="00000AB2"/>
    <w:rsid w:val="00001B74"/>
    <w:rsid w:val="00003484"/>
    <w:rsid w:val="00003FB9"/>
    <w:rsid w:val="0000403D"/>
    <w:rsid w:val="00004079"/>
    <w:rsid w:val="000049A1"/>
    <w:rsid w:val="00004D2F"/>
    <w:rsid w:val="00004F8A"/>
    <w:rsid w:val="000069B5"/>
    <w:rsid w:val="000110C5"/>
    <w:rsid w:val="00011501"/>
    <w:rsid w:val="00012667"/>
    <w:rsid w:val="00015A19"/>
    <w:rsid w:val="00017EF5"/>
    <w:rsid w:val="00020FA6"/>
    <w:rsid w:val="00022184"/>
    <w:rsid w:val="00023063"/>
    <w:rsid w:val="000250D9"/>
    <w:rsid w:val="000261EB"/>
    <w:rsid w:val="00026270"/>
    <w:rsid w:val="00026FFD"/>
    <w:rsid w:val="00030758"/>
    <w:rsid w:val="00031D64"/>
    <w:rsid w:val="00032DAB"/>
    <w:rsid w:val="00034D6F"/>
    <w:rsid w:val="00034E2B"/>
    <w:rsid w:val="00035649"/>
    <w:rsid w:val="00041296"/>
    <w:rsid w:val="000438C9"/>
    <w:rsid w:val="00046649"/>
    <w:rsid w:val="0004712A"/>
    <w:rsid w:val="000474CE"/>
    <w:rsid w:val="00047A04"/>
    <w:rsid w:val="000509BE"/>
    <w:rsid w:val="0005172F"/>
    <w:rsid w:val="000528DE"/>
    <w:rsid w:val="000531B3"/>
    <w:rsid w:val="00054D6D"/>
    <w:rsid w:val="00054FBD"/>
    <w:rsid w:val="00055F88"/>
    <w:rsid w:val="00056078"/>
    <w:rsid w:val="00056307"/>
    <w:rsid w:val="00056485"/>
    <w:rsid w:val="00057558"/>
    <w:rsid w:val="00057EAA"/>
    <w:rsid w:val="00060FF8"/>
    <w:rsid w:val="00061125"/>
    <w:rsid w:val="00063A20"/>
    <w:rsid w:val="000647AB"/>
    <w:rsid w:val="00065339"/>
    <w:rsid w:val="00070C05"/>
    <w:rsid w:val="00070C3E"/>
    <w:rsid w:val="000723B2"/>
    <w:rsid w:val="00073D98"/>
    <w:rsid w:val="0007757D"/>
    <w:rsid w:val="000775D1"/>
    <w:rsid w:val="0008014E"/>
    <w:rsid w:val="000813AC"/>
    <w:rsid w:val="000827BE"/>
    <w:rsid w:val="000837B0"/>
    <w:rsid w:val="00086254"/>
    <w:rsid w:val="00086B80"/>
    <w:rsid w:val="00086C41"/>
    <w:rsid w:val="00086D97"/>
    <w:rsid w:val="00087207"/>
    <w:rsid w:val="000873A9"/>
    <w:rsid w:val="000879F7"/>
    <w:rsid w:val="00090CD6"/>
    <w:rsid w:val="00091FCE"/>
    <w:rsid w:val="000924E4"/>
    <w:rsid w:val="000927C6"/>
    <w:rsid w:val="00092987"/>
    <w:rsid w:val="00092B05"/>
    <w:rsid w:val="00093ACD"/>
    <w:rsid w:val="00095068"/>
    <w:rsid w:val="00096306"/>
    <w:rsid w:val="0009666F"/>
    <w:rsid w:val="00097605"/>
    <w:rsid w:val="00097838"/>
    <w:rsid w:val="00097955"/>
    <w:rsid w:val="00097EB5"/>
    <w:rsid w:val="000A0D3E"/>
    <w:rsid w:val="000A17AB"/>
    <w:rsid w:val="000A1B82"/>
    <w:rsid w:val="000A2506"/>
    <w:rsid w:val="000A2AC8"/>
    <w:rsid w:val="000A34E5"/>
    <w:rsid w:val="000A4220"/>
    <w:rsid w:val="000A4223"/>
    <w:rsid w:val="000A4D13"/>
    <w:rsid w:val="000A556B"/>
    <w:rsid w:val="000A5EE7"/>
    <w:rsid w:val="000A7003"/>
    <w:rsid w:val="000B0406"/>
    <w:rsid w:val="000B0640"/>
    <w:rsid w:val="000B0BB5"/>
    <w:rsid w:val="000B2095"/>
    <w:rsid w:val="000B2DB2"/>
    <w:rsid w:val="000B38DE"/>
    <w:rsid w:val="000B418F"/>
    <w:rsid w:val="000B4331"/>
    <w:rsid w:val="000B4597"/>
    <w:rsid w:val="000B4C3D"/>
    <w:rsid w:val="000B4D31"/>
    <w:rsid w:val="000B4D84"/>
    <w:rsid w:val="000B512A"/>
    <w:rsid w:val="000B54C5"/>
    <w:rsid w:val="000B6995"/>
    <w:rsid w:val="000C023D"/>
    <w:rsid w:val="000C06E6"/>
    <w:rsid w:val="000C1C91"/>
    <w:rsid w:val="000C200F"/>
    <w:rsid w:val="000C2B09"/>
    <w:rsid w:val="000C3508"/>
    <w:rsid w:val="000C4206"/>
    <w:rsid w:val="000C58BB"/>
    <w:rsid w:val="000C6733"/>
    <w:rsid w:val="000C6D66"/>
    <w:rsid w:val="000D1195"/>
    <w:rsid w:val="000D166F"/>
    <w:rsid w:val="000D229F"/>
    <w:rsid w:val="000D26CE"/>
    <w:rsid w:val="000D5079"/>
    <w:rsid w:val="000D6957"/>
    <w:rsid w:val="000D7426"/>
    <w:rsid w:val="000E013E"/>
    <w:rsid w:val="000E0283"/>
    <w:rsid w:val="000E0BAB"/>
    <w:rsid w:val="000E1618"/>
    <w:rsid w:val="000E273C"/>
    <w:rsid w:val="000E292A"/>
    <w:rsid w:val="000E2EFF"/>
    <w:rsid w:val="000E374C"/>
    <w:rsid w:val="000E3D24"/>
    <w:rsid w:val="000E4AD5"/>
    <w:rsid w:val="000E531C"/>
    <w:rsid w:val="000E5AF8"/>
    <w:rsid w:val="000E7112"/>
    <w:rsid w:val="000E7A04"/>
    <w:rsid w:val="000F0C4C"/>
    <w:rsid w:val="000F0FD8"/>
    <w:rsid w:val="000F4264"/>
    <w:rsid w:val="000F5BA3"/>
    <w:rsid w:val="000F5C17"/>
    <w:rsid w:val="000F660E"/>
    <w:rsid w:val="000F6CB8"/>
    <w:rsid w:val="000F6CF4"/>
    <w:rsid w:val="001004AC"/>
    <w:rsid w:val="001007E0"/>
    <w:rsid w:val="00101337"/>
    <w:rsid w:val="00101E7E"/>
    <w:rsid w:val="00102100"/>
    <w:rsid w:val="00102545"/>
    <w:rsid w:val="0010344D"/>
    <w:rsid w:val="00103B7F"/>
    <w:rsid w:val="001044B2"/>
    <w:rsid w:val="0010533A"/>
    <w:rsid w:val="001055CE"/>
    <w:rsid w:val="00106D80"/>
    <w:rsid w:val="00107B4D"/>
    <w:rsid w:val="00107BB7"/>
    <w:rsid w:val="00107F85"/>
    <w:rsid w:val="001118B8"/>
    <w:rsid w:val="00111CFF"/>
    <w:rsid w:val="001132CF"/>
    <w:rsid w:val="001137E7"/>
    <w:rsid w:val="001143B2"/>
    <w:rsid w:val="001148D2"/>
    <w:rsid w:val="00115C6E"/>
    <w:rsid w:val="00116C53"/>
    <w:rsid w:val="00117AF6"/>
    <w:rsid w:val="001215A1"/>
    <w:rsid w:val="00122017"/>
    <w:rsid w:val="00124F9D"/>
    <w:rsid w:val="001267BB"/>
    <w:rsid w:val="00126C49"/>
    <w:rsid w:val="0012737C"/>
    <w:rsid w:val="00130109"/>
    <w:rsid w:val="001310D2"/>
    <w:rsid w:val="001321A8"/>
    <w:rsid w:val="00133498"/>
    <w:rsid w:val="0013389B"/>
    <w:rsid w:val="00133ACE"/>
    <w:rsid w:val="00133B9A"/>
    <w:rsid w:val="001343BC"/>
    <w:rsid w:val="0013563F"/>
    <w:rsid w:val="00136772"/>
    <w:rsid w:val="0014035D"/>
    <w:rsid w:val="0014114D"/>
    <w:rsid w:val="00141322"/>
    <w:rsid w:val="0014147E"/>
    <w:rsid w:val="001417C5"/>
    <w:rsid w:val="00143F77"/>
    <w:rsid w:val="00144C41"/>
    <w:rsid w:val="001451C9"/>
    <w:rsid w:val="001464FF"/>
    <w:rsid w:val="00146799"/>
    <w:rsid w:val="001468D7"/>
    <w:rsid w:val="00147574"/>
    <w:rsid w:val="00151675"/>
    <w:rsid w:val="0015218E"/>
    <w:rsid w:val="00152D65"/>
    <w:rsid w:val="00152DB2"/>
    <w:rsid w:val="0015324A"/>
    <w:rsid w:val="00153A37"/>
    <w:rsid w:val="00154181"/>
    <w:rsid w:val="00154226"/>
    <w:rsid w:val="001545DB"/>
    <w:rsid w:val="001555A5"/>
    <w:rsid w:val="00156435"/>
    <w:rsid w:val="001564B2"/>
    <w:rsid w:val="00156834"/>
    <w:rsid w:val="001573B1"/>
    <w:rsid w:val="001600D3"/>
    <w:rsid w:val="00160BCA"/>
    <w:rsid w:val="00161054"/>
    <w:rsid w:val="001612E8"/>
    <w:rsid w:val="00161747"/>
    <w:rsid w:val="00161763"/>
    <w:rsid w:val="00162DCB"/>
    <w:rsid w:val="00162ECD"/>
    <w:rsid w:val="001635A5"/>
    <w:rsid w:val="001637E8"/>
    <w:rsid w:val="00163B41"/>
    <w:rsid w:val="001644C9"/>
    <w:rsid w:val="00165E0C"/>
    <w:rsid w:val="00166096"/>
    <w:rsid w:val="0016611E"/>
    <w:rsid w:val="00166234"/>
    <w:rsid w:val="00167789"/>
    <w:rsid w:val="001677A9"/>
    <w:rsid w:val="001678A2"/>
    <w:rsid w:val="001714E0"/>
    <w:rsid w:val="0017155C"/>
    <w:rsid w:val="001724C8"/>
    <w:rsid w:val="0017301F"/>
    <w:rsid w:val="0017359F"/>
    <w:rsid w:val="00173833"/>
    <w:rsid w:val="001738BF"/>
    <w:rsid w:val="00174AF0"/>
    <w:rsid w:val="00175046"/>
    <w:rsid w:val="00175067"/>
    <w:rsid w:val="00176081"/>
    <w:rsid w:val="00176D47"/>
    <w:rsid w:val="0017772A"/>
    <w:rsid w:val="001801EB"/>
    <w:rsid w:val="00183D91"/>
    <w:rsid w:val="00184B8C"/>
    <w:rsid w:val="00184ED6"/>
    <w:rsid w:val="00185BBF"/>
    <w:rsid w:val="00185FD6"/>
    <w:rsid w:val="0018764C"/>
    <w:rsid w:val="001904B2"/>
    <w:rsid w:val="00190D4E"/>
    <w:rsid w:val="00191AFB"/>
    <w:rsid w:val="001925D5"/>
    <w:rsid w:val="0019404E"/>
    <w:rsid w:val="00195520"/>
    <w:rsid w:val="00195580"/>
    <w:rsid w:val="001959A0"/>
    <w:rsid w:val="00195D43"/>
    <w:rsid w:val="001964AA"/>
    <w:rsid w:val="0019733D"/>
    <w:rsid w:val="001A0921"/>
    <w:rsid w:val="001A0CF4"/>
    <w:rsid w:val="001A0E30"/>
    <w:rsid w:val="001A0FC0"/>
    <w:rsid w:val="001A2A46"/>
    <w:rsid w:val="001A2F54"/>
    <w:rsid w:val="001A52AC"/>
    <w:rsid w:val="001A56DF"/>
    <w:rsid w:val="001A5BCE"/>
    <w:rsid w:val="001A5C5B"/>
    <w:rsid w:val="001B12EA"/>
    <w:rsid w:val="001B2413"/>
    <w:rsid w:val="001B3A2B"/>
    <w:rsid w:val="001B469F"/>
    <w:rsid w:val="001B48FA"/>
    <w:rsid w:val="001B59F2"/>
    <w:rsid w:val="001B5C03"/>
    <w:rsid w:val="001B643B"/>
    <w:rsid w:val="001B6A05"/>
    <w:rsid w:val="001B6B46"/>
    <w:rsid w:val="001B6DA4"/>
    <w:rsid w:val="001B7892"/>
    <w:rsid w:val="001B79EE"/>
    <w:rsid w:val="001C0819"/>
    <w:rsid w:val="001C0C9F"/>
    <w:rsid w:val="001C0CC7"/>
    <w:rsid w:val="001C0CFA"/>
    <w:rsid w:val="001C3073"/>
    <w:rsid w:val="001C39A1"/>
    <w:rsid w:val="001C498B"/>
    <w:rsid w:val="001C4BF4"/>
    <w:rsid w:val="001C6255"/>
    <w:rsid w:val="001D0DD1"/>
    <w:rsid w:val="001D12FD"/>
    <w:rsid w:val="001D1E7F"/>
    <w:rsid w:val="001D30CA"/>
    <w:rsid w:val="001D40EF"/>
    <w:rsid w:val="001D693E"/>
    <w:rsid w:val="001D6BB2"/>
    <w:rsid w:val="001D6FE7"/>
    <w:rsid w:val="001D7EA7"/>
    <w:rsid w:val="001E0100"/>
    <w:rsid w:val="001E035B"/>
    <w:rsid w:val="001E0E05"/>
    <w:rsid w:val="001E1883"/>
    <w:rsid w:val="001E1CD7"/>
    <w:rsid w:val="001E316E"/>
    <w:rsid w:val="001E401D"/>
    <w:rsid w:val="001E608B"/>
    <w:rsid w:val="001E6DBB"/>
    <w:rsid w:val="001E6F71"/>
    <w:rsid w:val="001F054E"/>
    <w:rsid w:val="001F08B3"/>
    <w:rsid w:val="001F2269"/>
    <w:rsid w:val="001F2EFD"/>
    <w:rsid w:val="001F5439"/>
    <w:rsid w:val="001F54D9"/>
    <w:rsid w:val="001F7C0A"/>
    <w:rsid w:val="002005EC"/>
    <w:rsid w:val="002017A7"/>
    <w:rsid w:val="00201967"/>
    <w:rsid w:val="00202050"/>
    <w:rsid w:val="00203EED"/>
    <w:rsid w:val="00204041"/>
    <w:rsid w:val="0020475A"/>
    <w:rsid w:val="0020492F"/>
    <w:rsid w:val="00205D81"/>
    <w:rsid w:val="002078A5"/>
    <w:rsid w:val="0021031C"/>
    <w:rsid w:val="0021125A"/>
    <w:rsid w:val="002121C1"/>
    <w:rsid w:val="0021221A"/>
    <w:rsid w:val="00213380"/>
    <w:rsid w:val="00213551"/>
    <w:rsid w:val="0021368E"/>
    <w:rsid w:val="00214C4A"/>
    <w:rsid w:val="002155C3"/>
    <w:rsid w:val="00215C7F"/>
    <w:rsid w:val="002161C9"/>
    <w:rsid w:val="00221FD0"/>
    <w:rsid w:val="0022283F"/>
    <w:rsid w:val="00222FDC"/>
    <w:rsid w:val="0022309E"/>
    <w:rsid w:val="00223312"/>
    <w:rsid w:val="00226DDD"/>
    <w:rsid w:val="0022759C"/>
    <w:rsid w:val="002278CB"/>
    <w:rsid w:val="00230E1E"/>
    <w:rsid w:val="002317D5"/>
    <w:rsid w:val="00232059"/>
    <w:rsid w:val="00232108"/>
    <w:rsid w:val="0023223F"/>
    <w:rsid w:val="00232EC9"/>
    <w:rsid w:val="0023300E"/>
    <w:rsid w:val="00233872"/>
    <w:rsid w:val="0023409F"/>
    <w:rsid w:val="002342A5"/>
    <w:rsid w:val="002355BD"/>
    <w:rsid w:val="0023618C"/>
    <w:rsid w:val="00236BE6"/>
    <w:rsid w:val="00236D05"/>
    <w:rsid w:val="0023730E"/>
    <w:rsid w:val="002375E4"/>
    <w:rsid w:val="002409F5"/>
    <w:rsid w:val="002412C2"/>
    <w:rsid w:val="002423A3"/>
    <w:rsid w:val="002424D7"/>
    <w:rsid w:val="00242F7F"/>
    <w:rsid w:val="00244313"/>
    <w:rsid w:val="00244E5E"/>
    <w:rsid w:val="002451C0"/>
    <w:rsid w:val="00245A32"/>
    <w:rsid w:val="00246485"/>
    <w:rsid w:val="00246569"/>
    <w:rsid w:val="00247194"/>
    <w:rsid w:val="00250C88"/>
    <w:rsid w:val="0025142F"/>
    <w:rsid w:val="00253257"/>
    <w:rsid w:val="002537AF"/>
    <w:rsid w:val="0025617F"/>
    <w:rsid w:val="002566FE"/>
    <w:rsid w:val="002569C0"/>
    <w:rsid w:val="00257059"/>
    <w:rsid w:val="002602F2"/>
    <w:rsid w:val="0026035A"/>
    <w:rsid w:val="002612D7"/>
    <w:rsid w:val="00261AF0"/>
    <w:rsid w:val="00261F2F"/>
    <w:rsid w:val="0026780A"/>
    <w:rsid w:val="00270449"/>
    <w:rsid w:val="0027076B"/>
    <w:rsid w:val="002709EB"/>
    <w:rsid w:val="00272378"/>
    <w:rsid w:val="00273A11"/>
    <w:rsid w:val="00273F98"/>
    <w:rsid w:val="002746CF"/>
    <w:rsid w:val="0027788D"/>
    <w:rsid w:val="00277F50"/>
    <w:rsid w:val="0028125D"/>
    <w:rsid w:val="00282697"/>
    <w:rsid w:val="00282D66"/>
    <w:rsid w:val="00282FF9"/>
    <w:rsid w:val="0028532E"/>
    <w:rsid w:val="00285B23"/>
    <w:rsid w:val="00285E05"/>
    <w:rsid w:val="002870DE"/>
    <w:rsid w:val="00287512"/>
    <w:rsid w:val="00287D57"/>
    <w:rsid w:val="00290C06"/>
    <w:rsid w:val="002921D6"/>
    <w:rsid w:val="00292285"/>
    <w:rsid w:val="0029257A"/>
    <w:rsid w:val="002925C5"/>
    <w:rsid w:val="002932C2"/>
    <w:rsid w:val="0029434A"/>
    <w:rsid w:val="0029502C"/>
    <w:rsid w:val="002953EE"/>
    <w:rsid w:val="00297706"/>
    <w:rsid w:val="0029783B"/>
    <w:rsid w:val="002A3511"/>
    <w:rsid w:val="002A360F"/>
    <w:rsid w:val="002A363C"/>
    <w:rsid w:val="002A3B59"/>
    <w:rsid w:val="002A512B"/>
    <w:rsid w:val="002A6037"/>
    <w:rsid w:val="002A618A"/>
    <w:rsid w:val="002A6BBE"/>
    <w:rsid w:val="002A76F0"/>
    <w:rsid w:val="002A7E11"/>
    <w:rsid w:val="002B0193"/>
    <w:rsid w:val="002B09D2"/>
    <w:rsid w:val="002B2320"/>
    <w:rsid w:val="002B253D"/>
    <w:rsid w:val="002B39CD"/>
    <w:rsid w:val="002B4BDD"/>
    <w:rsid w:val="002B59C2"/>
    <w:rsid w:val="002B72B9"/>
    <w:rsid w:val="002C5832"/>
    <w:rsid w:val="002C70E5"/>
    <w:rsid w:val="002D079B"/>
    <w:rsid w:val="002D1C52"/>
    <w:rsid w:val="002D1C89"/>
    <w:rsid w:val="002D2B3A"/>
    <w:rsid w:val="002D32CD"/>
    <w:rsid w:val="002D3AFB"/>
    <w:rsid w:val="002D3DDF"/>
    <w:rsid w:val="002D5F80"/>
    <w:rsid w:val="002D69A3"/>
    <w:rsid w:val="002D7A38"/>
    <w:rsid w:val="002E0588"/>
    <w:rsid w:val="002E0AE8"/>
    <w:rsid w:val="002E1B75"/>
    <w:rsid w:val="002E1EBF"/>
    <w:rsid w:val="002E2511"/>
    <w:rsid w:val="002E259B"/>
    <w:rsid w:val="002E2A61"/>
    <w:rsid w:val="002E2AAE"/>
    <w:rsid w:val="002E37D5"/>
    <w:rsid w:val="002E3E41"/>
    <w:rsid w:val="002E403E"/>
    <w:rsid w:val="002E4E57"/>
    <w:rsid w:val="002E553B"/>
    <w:rsid w:val="002E60FC"/>
    <w:rsid w:val="002E6291"/>
    <w:rsid w:val="002E6601"/>
    <w:rsid w:val="002F0583"/>
    <w:rsid w:val="002F189D"/>
    <w:rsid w:val="002F2045"/>
    <w:rsid w:val="002F339C"/>
    <w:rsid w:val="002F3B2B"/>
    <w:rsid w:val="002F3F18"/>
    <w:rsid w:val="002F41D8"/>
    <w:rsid w:val="002F52CA"/>
    <w:rsid w:val="002F641A"/>
    <w:rsid w:val="002F6E08"/>
    <w:rsid w:val="0030090A"/>
    <w:rsid w:val="00305293"/>
    <w:rsid w:val="0030544A"/>
    <w:rsid w:val="00306AE7"/>
    <w:rsid w:val="00307BB7"/>
    <w:rsid w:val="003100CA"/>
    <w:rsid w:val="00310E68"/>
    <w:rsid w:val="003114D6"/>
    <w:rsid w:val="00312307"/>
    <w:rsid w:val="00312C99"/>
    <w:rsid w:val="00313B5F"/>
    <w:rsid w:val="00314B1D"/>
    <w:rsid w:val="003152CD"/>
    <w:rsid w:val="00315B19"/>
    <w:rsid w:val="0031657F"/>
    <w:rsid w:val="00316B48"/>
    <w:rsid w:val="003172C9"/>
    <w:rsid w:val="003172F6"/>
    <w:rsid w:val="00317F10"/>
    <w:rsid w:val="003200AB"/>
    <w:rsid w:val="00320B1A"/>
    <w:rsid w:val="00321CDE"/>
    <w:rsid w:val="00321EA4"/>
    <w:rsid w:val="00322FEB"/>
    <w:rsid w:val="003246E6"/>
    <w:rsid w:val="003253D0"/>
    <w:rsid w:val="00325F1F"/>
    <w:rsid w:val="00326D00"/>
    <w:rsid w:val="003307E0"/>
    <w:rsid w:val="00333217"/>
    <w:rsid w:val="00334B94"/>
    <w:rsid w:val="003355BE"/>
    <w:rsid w:val="0033576F"/>
    <w:rsid w:val="00336070"/>
    <w:rsid w:val="00337A64"/>
    <w:rsid w:val="00337BAB"/>
    <w:rsid w:val="00337D90"/>
    <w:rsid w:val="00341193"/>
    <w:rsid w:val="0034761F"/>
    <w:rsid w:val="00347AEA"/>
    <w:rsid w:val="00350BF5"/>
    <w:rsid w:val="00351F0F"/>
    <w:rsid w:val="00351F9E"/>
    <w:rsid w:val="003543A3"/>
    <w:rsid w:val="0035496A"/>
    <w:rsid w:val="0035517E"/>
    <w:rsid w:val="00355578"/>
    <w:rsid w:val="00355F42"/>
    <w:rsid w:val="00357638"/>
    <w:rsid w:val="00357B63"/>
    <w:rsid w:val="00357ED0"/>
    <w:rsid w:val="00360898"/>
    <w:rsid w:val="0036114C"/>
    <w:rsid w:val="00362314"/>
    <w:rsid w:val="00362DA8"/>
    <w:rsid w:val="00362F8E"/>
    <w:rsid w:val="0036318C"/>
    <w:rsid w:val="00363AA9"/>
    <w:rsid w:val="0036420B"/>
    <w:rsid w:val="003643E0"/>
    <w:rsid w:val="003644A7"/>
    <w:rsid w:val="00364857"/>
    <w:rsid w:val="003648F8"/>
    <w:rsid w:val="00364997"/>
    <w:rsid w:val="00364C80"/>
    <w:rsid w:val="00364EBC"/>
    <w:rsid w:val="003656A1"/>
    <w:rsid w:val="00365A4D"/>
    <w:rsid w:val="00365B9F"/>
    <w:rsid w:val="00367258"/>
    <w:rsid w:val="0036778C"/>
    <w:rsid w:val="00370023"/>
    <w:rsid w:val="003709CC"/>
    <w:rsid w:val="00371201"/>
    <w:rsid w:val="00371C81"/>
    <w:rsid w:val="0037394C"/>
    <w:rsid w:val="00373DEB"/>
    <w:rsid w:val="00374E02"/>
    <w:rsid w:val="00374FCB"/>
    <w:rsid w:val="0037527E"/>
    <w:rsid w:val="0037650F"/>
    <w:rsid w:val="003767E1"/>
    <w:rsid w:val="00376ECC"/>
    <w:rsid w:val="00376EDE"/>
    <w:rsid w:val="00377F31"/>
    <w:rsid w:val="00382225"/>
    <w:rsid w:val="003825BD"/>
    <w:rsid w:val="00383281"/>
    <w:rsid w:val="00383610"/>
    <w:rsid w:val="003843CB"/>
    <w:rsid w:val="00385310"/>
    <w:rsid w:val="0038603B"/>
    <w:rsid w:val="00386659"/>
    <w:rsid w:val="00387712"/>
    <w:rsid w:val="0039083D"/>
    <w:rsid w:val="00390BC0"/>
    <w:rsid w:val="00391B43"/>
    <w:rsid w:val="00391DC0"/>
    <w:rsid w:val="00391F1D"/>
    <w:rsid w:val="0039287D"/>
    <w:rsid w:val="003943E2"/>
    <w:rsid w:val="00394D1A"/>
    <w:rsid w:val="003955EF"/>
    <w:rsid w:val="00396B39"/>
    <w:rsid w:val="003A0731"/>
    <w:rsid w:val="003A0C7F"/>
    <w:rsid w:val="003A15BA"/>
    <w:rsid w:val="003A20E5"/>
    <w:rsid w:val="003A34E3"/>
    <w:rsid w:val="003A515F"/>
    <w:rsid w:val="003A55EE"/>
    <w:rsid w:val="003A5D62"/>
    <w:rsid w:val="003A76CF"/>
    <w:rsid w:val="003A7881"/>
    <w:rsid w:val="003A7913"/>
    <w:rsid w:val="003A791A"/>
    <w:rsid w:val="003A7F78"/>
    <w:rsid w:val="003B0D93"/>
    <w:rsid w:val="003B1A9A"/>
    <w:rsid w:val="003B68DA"/>
    <w:rsid w:val="003C0979"/>
    <w:rsid w:val="003C105E"/>
    <w:rsid w:val="003C1191"/>
    <w:rsid w:val="003C13CC"/>
    <w:rsid w:val="003C3526"/>
    <w:rsid w:val="003C3874"/>
    <w:rsid w:val="003C3DF3"/>
    <w:rsid w:val="003C415C"/>
    <w:rsid w:val="003C485B"/>
    <w:rsid w:val="003C51D3"/>
    <w:rsid w:val="003C61B4"/>
    <w:rsid w:val="003C7FDC"/>
    <w:rsid w:val="003D0CB4"/>
    <w:rsid w:val="003D10AE"/>
    <w:rsid w:val="003D1ED5"/>
    <w:rsid w:val="003D2204"/>
    <w:rsid w:val="003D2A45"/>
    <w:rsid w:val="003D49F8"/>
    <w:rsid w:val="003D6BAD"/>
    <w:rsid w:val="003D772B"/>
    <w:rsid w:val="003E14E6"/>
    <w:rsid w:val="003E1D34"/>
    <w:rsid w:val="003E233B"/>
    <w:rsid w:val="003E2C4D"/>
    <w:rsid w:val="003E32B9"/>
    <w:rsid w:val="003E4276"/>
    <w:rsid w:val="003E4AA7"/>
    <w:rsid w:val="003E56F6"/>
    <w:rsid w:val="003E644B"/>
    <w:rsid w:val="003E6BBD"/>
    <w:rsid w:val="003E6DFD"/>
    <w:rsid w:val="003E7DEA"/>
    <w:rsid w:val="003F02BA"/>
    <w:rsid w:val="003F0C7E"/>
    <w:rsid w:val="003F18BC"/>
    <w:rsid w:val="003F26E5"/>
    <w:rsid w:val="003F2FA3"/>
    <w:rsid w:val="003F3BA2"/>
    <w:rsid w:val="003F4469"/>
    <w:rsid w:val="003F4A9A"/>
    <w:rsid w:val="003F5566"/>
    <w:rsid w:val="003F74DC"/>
    <w:rsid w:val="003F7F46"/>
    <w:rsid w:val="00400EA3"/>
    <w:rsid w:val="004010F9"/>
    <w:rsid w:val="00401DAC"/>
    <w:rsid w:val="00402254"/>
    <w:rsid w:val="004028BC"/>
    <w:rsid w:val="00403A96"/>
    <w:rsid w:val="00405665"/>
    <w:rsid w:val="00405691"/>
    <w:rsid w:val="00405881"/>
    <w:rsid w:val="00406A0D"/>
    <w:rsid w:val="004077AC"/>
    <w:rsid w:val="004108EC"/>
    <w:rsid w:val="004112D3"/>
    <w:rsid w:val="004116E4"/>
    <w:rsid w:val="00411A35"/>
    <w:rsid w:val="00411DEE"/>
    <w:rsid w:val="004128D1"/>
    <w:rsid w:val="004128D3"/>
    <w:rsid w:val="004139C2"/>
    <w:rsid w:val="00414AC8"/>
    <w:rsid w:val="00415985"/>
    <w:rsid w:val="00415E5B"/>
    <w:rsid w:val="0041753D"/>
    <w:rsid w:val="00420774"/>
    <w:rsid w:val="00420C6B"/>
    <w:rsid w:val="00420D0C"/>
    <w:rsid w:val="00421014"/>
    <w:rsid w:val="004221D9"/>
    <w:rsid w:val="004247C0"/>
    <w:rsid w:val="00424A2C"/>
    <w:rsid w:val="00427068"/>
    <w:rsid w:val="00430C9F"/>
    <w:rsid w:val="00431607"/>
    <w:rsid w:val="004317A0"/>
    <w:rsid w:val="0043268D"/>
    <w:rsid w:val="00432BA6"/>
    <w:rsid w:val="00432DEB"/>
    <w:rsid w:val="00433668"/>
    <w:rsid w:val="00434D30"/>
    <w:rsid w:val="00434EC9"/>
    <w:rsid w:val="004351B2"/>
    <w:rsid w:val="0043593A"/>
    <w:rsid w:val="00436116"/>
    <w:rsid w:val="0044017D"/>
    <w:rsid w:val="004401A1"/>
    <w:rsid w:val="00440282"/>
    <w:rsid w:val="004409EB"/>
    <w:rsid w:val="004410F2"/>
    <w:rsid w:val="00441647"/>
    <w:rsid w:val="00441EE1"/>
    <w:rsid w:val="00442A12"/>
    <w:rsid w:val="00443B91"/>
    <w:rsid w:val="004449E2"/>
    <w:rsid w:val="00447F26"/>
    <w:rsid w:val="00451230"/>
    <w:rsid w:val="00451CEF"/>
    <w:rsid w:val="004521E3"/>
    <w:rsid w:val="00452555"/>
    <w:rsid w:val="00452751"/>
    <w:rsid w:val="00452F4F"/>
    <w:rsid w:val="00453449"/>
    <w:rsid w:val="004536ED"/>
    <w:rsid w:val="0045374D"/>
    <w:rsid w:val="00454FB1"/>
    <w:rsid w:val="00455112"/>
    <w:rsid w:val="004553F4"/>
    <w:rsid w:val="00455C1F"/>
    <w:rsid w:val="00455E4D"/>
    <w:rsid w:val="00456480"/>
    <w:rsid w:val="00456C1F"/>
    <w:rsid w:val="0045740C"/>
    <w:rsid w:val="00457951"/>
    <w:rsid w:val="004611BC"/>
    <w:rsid w:val="00461E36"/>
    <w:rsid w:val="0046391E"/>
    <w:rsid w:val="00463FBF"/>
    <w:rsid w:val="00463FF5"/>
    <w:rsid w:val="00464A76"/>
    <w:rsid w:val="0046556B"/>
    <w:rsid w:val="0046626F"/>
    <w:rsid w:val="004676EB"/>
    <w:rsid w:val="004679D3"/>
    <w:rsid w:val="004718A6"/>
    <w:rsid w:val="00474544"/>
    <w:rsid w:val="00474651"/>
    <w:rsid w:val="00475392"/>
    <w:rsid w:val="00476B20"/>
    <w:rsid w:val="00477790"/>
    <w:rsid w:val="0048140A"/>
    <w:rsid w:val="0048190F"/>
    <w:rsid w:val="004819E0"/>
    <w:rsid w:val="004825CF"/>
    <w:rsid w:val="00483B8D"/>
    <w:rsid w:val="0048569B"/>
    <w:rsid w:val="004864FB"/>
    <w:rsid w:val="00486923"/>
    <w:rsid w:val="00486CB6"/>
    <w:rsid w:val="00491ACF"/>
    <w:rsid w:val="00492BF9"/>
    <w:rsid w:val="00493846"/>
    <w:rsid w:val="00495BF8"/>
    <w:rsid w:val="0049648C"/>
    <w:rsid w:val="00496D3B"/>
    <w:rsid w:val="004A1C31"/>
    <w:rsid w:val="004A2048"/>
    <w:rsid w:val="004A2564"/>
    <w:rsid w:val="004A377F"/>
    <w:rsid w:val="004A3F12"/>
    <w:rsid w:val="004A46C3"/>
    <w:rsid w:val="004A4B1A"/>
    <w:rsid w:val="004A4F77"/>
    <w:rsid w:val="004B153F"/>
    <w:rsid w:val="004B1C01"/>
    <w:rsid w:val="004B2BEF"/>
    <w:rsid w:val="004B3077"/>
    <w:rsid w:val="004B342C"/>
    <w:rsid w:val="004B356F"/>
    <w:rsid w:val="004B3A3F"/>
    <w:rsid w:val="004B3CF7"/>
    <w:rsid w:val="004B3D5F"/>
    <w:rsid w:val="004B43D7"/>
    <w:rsid w:val="004B5218"/>
    <w:rsid w:val="004B7208"/>
    <w:rsid w:val="004C0E8B"/>
    <w:rsid w:val="004C1087"/>
    <w:rsid w:val="004C2D36"/>
    <w:rsid w:val="004C3092"/>
    <w:rsid w:val="004C30A7"/>
    <w:rsid w:val="004C3452"/>
    <w:rsid w:val="004C3A21"/>
    <w:rsid w:val="004C4164"/>
    <w:rsid w:val="004C53CF"/>
    <w:rsid w:val="004C569E"/>
    <w:rsid w:val="004C688D"/>
    <w:rsid w:val="004C6AD6"/>
    <w:rsid w:val="004C6D5E"/>
    <w:rsid w:val="004D121B"/>
    <w:rsid w:val="004D1245"/>
    <w:rsid w:val="004D333E"/>
    <w:rsid w:val="004D3A2F"/>
    <w:rsid w:val="004D4510"/>
    <w:rsid w:val="004D4570"/>
    <w:rsid w:val="004D5231"/>
    <w:rsid w:val="004D5ABF"/>
    <w:rsid w:val="004D5CDB"/>
    <w:rsid w:val="004D5DDE"/>
    <w:rsid w:val="004D5F40"/>
    <w:rsid w:val="004D6469"/>
    <w:rsid w:val="004D6618"/>
    <w:rsid w:val="004D68B5"/>
    <w:rsid w:val="004D71F1"/>
    <w:rsid w:val="004D7D11"/>
    <w:rsid w:val="004E1115"/>
    <w:rsid w:val="004E1BAF"/>
    <w:rsid w:val="004E2AA6"/>
    <w:rsid w:val="004E3712"/>
    <w:rsid w:val="004E6BC4"/>
    <w:rsid w:val="004E76E7"/>
    <w:rsid w:val="004E78EE"/>
    <w:rsid w:val="004E7DC0"/>
    <w:rsid w:val="004F1C70"/>
    <w:rsid w:val="004F26D8"/>
    <w:rsid w:val="004F299C"/>
    <w:rsid w:val="004F3517"/>
    <w:rsid w:val="004F426E"/>
    <w:rsid w:val="004F56F4"/>
    <w:rsid w:val="004F652A"/>
    <w:rsid w:val="004F79F8"/>
    <w:rsid w:val="004F7F23"/>
    <w:rsid w:val="0050063A"/>
    <w:rsid w:val="00500F35"/>
    <w:rsid w:val="005015A4"/>
    <w:rsid w:val="005021A4"/>
    <w:rsid w:val="005021C3"/>
    <w:rsid w:val="005023DC"/>
    <w:rsid w:val="005028B2"/>
    <w:rsid w:val="00502C98"/>
    <w:rsid w:val="0050349C"/>
    <w:rsid w:val="00503789"/>
    <w:rsid w:val="00503864"/>
    <w:rsid w:val="00503C88"/>
    <w:rsid w:val="00504451"/>
    <w:rsid w:val="00510D6E"/>
    <w:rsid w:val="005125D0"/>
    <w:rsid w:val="005127AC"/>
    <w:rsid w:val="005132F2"/>
    <w:rsid w:val="00514099"/>
    <w:rsid w:val="00514E7C"/>
    <w:rsid w:val="00515D2D"/>
    <w:rsid w:val="00521B4A"/>
    <w:rsid w:val="00524FD5"/>
    <w:rsid w:val="00525787"/>
    <w:rsid w:val="00533EC4"/>
    <w:rsid w:val="005343D5"/>
    <w:rsid w:val="00534454"/>
    <w:rsid w:val="00534545"/>
    <w:rsid w:val="00534A14"/>
    <w:rsid w:val="00534C51"/>
    <w:rsid w:val="00534D34"/>
    <w:rsid w:val="00535107"/>
    <w:rsid w:val="00535431"/>
    <w:rsid w:val="005358D2"/>
    <w:rsid w:val="0053637F"/>
    <w:rsid w:val="005372DA"/>
    <w:rsid w:val="00540411"/>
    <w:rsid w:val="0054109C"/>
    <w:rsid w:val="00541292"/>
    <w:rsid w:val="0054171C"/>
    <w:rsid w:val="005421A3"/>
    <w:rsid w:val="00542EF5"/>
    <w:rsid w:val="005436B2"/>
    <w:rsid w:val="00544200"/>
    <w:rsid w:val="005443DB"/>
    <w:rsid w:val="00544920"/>
    <w:rsid w:val="005462D0"/>
    <w:rsid w:val="00546357"/>
    <w:rsid w:val="0054771B"/>
    <w:rsid w:val="00547863"/>
    <w:rsid w:val="0055129F"/>
    <w:rsid w:val="00551E2D"/>
    <w:rsid w:val="00552219"/>
    <w:rsid w:val="005535D6"/>
    <w:rsid w:val="005536D7"/>
    <w:rsid w:val="00554340"/>
    <w:rsid w:val="00554BCA"/>
    <w:rsid w:val="00554C71"/>
    <w:rsid w:val="005558B1"/>
    <w:rsid w:val="00555B27"/>
    <w:rsid w:val="00555C0D"/>
    <w:rsid w:val="00556909"/>
    <w:rsid w:val="00557399"/>
    <w:rsid w:val="0056093F"/>
    <w:rsid w:val="00561D0A"/>
    <w:rsid w:val="005623E2"/>
    <w:rsid w:val="00562800"/>
    <w:rsid w:val="00562C6A"/>
    <w:rsid w:val="00564636"/>
    <w:rsid w:val="00564966"/>
    <w:rsid w:val="00565EBC"/>
    <w:rsid w:val="005678A3"/>
    <w:rsid w:val="00567CA4"/>
    <w:rsid w:val="00570D96"/>
    <w:rsid w:val="00570DAB"/>
    <w:rsid w:val="00572CF5"/>
    <w:rsid w:val="00572F55"/>
    <w:rsid w:val="005731AC"/>
    <w:rsid w:val="0057321A"/>
    <w:rsid w:val="005737D0"/>
    <w:rsid w:val="00574846"/>
    <w:rsid w:val="00575E32"/>
    <w:rsid w:val="00575EE0"/>
    <w:rsid w:val="00575F67"/>
    <w:rsid w:val="005769F9"/>
    <w:rsid w:val="00577B4F"/>
    <w:rsid w:val="00580812"/>
    <w:rsid w:val="00580F12"/>
    <w:rsid w:val="005812D3"/>
    <w:rsid w:val="00582760"/>
    <w:rsid w:val="00582777"/>
    <w:rsid w:val="00582826"/>
    <w:rsid w:val="00586454"/>
    <w:rsid w:val="005866A1"/>
    <w:rsid w:val="005872AA"/>
    <w:rsid w:val="00590808"/>
    <w:rsid w:val="00591657"/>
    <w:rsid w:val="00591D63"/>
    <w:rsid w:val="00594A21"/>
    <w:rsid w:val="00595156"/>
    <w:rsid w:val="005953A3"/>
    <w:rsid w:val="00595FAD"/>
    <w:rsid w:val="00596089"/>
    <w:rsid w:val="00597473"/>
    <w:rsid w:val="005A0202"/>
    <w:rsid w:val="005A13EA"/>
    <w:rsid w:val="005A22EB"/>
    <w:rsid w:val="005A278B"/>
    <w:rsid w:val="005A2B2B"/>
    <w:rsid w:val="005A494C"/>
    <w:rsid w:val="005A5BD9"/>
    <w:rsid w:val="005A67D3"/>
    <w:rsid w:val="005A6CBE"/>
    <w:rsid w:val="005A798A"/>
    <w:rsid w:val="005A7BEB"/>
    <w:rsid w:val="005A7C92"/>
    <w:rsid w:val="005B0A36"/>
    <w:rsid w:val="005B1604"/>
    <w:rsid w:val="005B1B1C"/>
    <w:rsid w:val="005B209C"/>
    <w:rsid w:val="005B2A62"/>
    <w:rsid w:val="005B4100"/>
    <w:rsid w:val="005B41A6"/>
    <w:rsid w:val="005B4C27"/>
    <w:rsid w:val="005B52AD"/>
    <w:rsid w:val="005B5C1E"/>
    <w:rsid w:val="005B5F18"/>
    <w:rsid w:val="005B7AB2"/>
    <w:rsid w:val="005B7ACF"/>
    <w:rsid w:val="005B7B55"/>
    <w:rsid w:val="005B7BC2"/>
    <w:rsid w:val="005C030C"/>
    <w:rsid w:val="005C0ED6"/>
    <w:rsid w:val="005C13EE"/>
    <w:rsid w:val="005C2687"/>
    <w:rsid w:val="005C26AE"/>
    <w:rsid w:val="005C2894"/>
    <w:rsid w:val="005C30F7"/>
    <w:rsid w:val="005C4431"/>
    <w:rsid w:val="005C56EB"/>
    <w:rsid w:val="005C78C6"/>
    <w:rsid w:val="005C7D55"/>
    <w:rsid w:val="005D0492"/>
    <w:rsid w:val="005D1812"/>
    <w:rsid w:val="005D421F"/>
    <w:rsid w:val="005D4936"/>
    <w:rsid w:val="005D4986"/>
    <w:rsid w:val="005D586D"/>
    <w:rsid w:val="005D5FF0"/>
    <w:rsid w:val="005D637E"/>
    <w:rsid w:val="005E0889"/>
    <w:rsid w:val="005E0D29"/>
    <w:rsid w:val="005E0EC2"/>
    <w:rsid w:val="005E1296"/>
    <w:rsid w:val="005E1455"/>
    <w:rsid w:val="005E1840"/>
    <w:rsid w:val="005E2638"/>
    <w:rsid w:val="005E2672"/>
    <w:rsid w:val="005E3D6E"/>
    <w:rsid w:val="005E5640"/>
    <w:rsid w:val="005E5916"/>
    <w:rsid w:val="005E592E"/>
    <w:rsid w:val="005F1D4F"/>
    <w:rsid w:val="005F2868"/>
    <w:rsid w:val="005F2CE9"/>
    <w:rsid w:val="005F2DD7"/>
    <w:rsid w:val="005F3A91"/>
    <w:rsid w:val="005F4522"/>
    <w:rsid w:val="005F4623"/>
    <w:rsid w:val="005F4E46"/>
    <w:rsid w:val="005F510D"/>
    <w:rsid w:val="005F5131"/>
    <w:rsid w:val="005F5239"/>
    <w:rsid w:val="005F5678"/>
    <w:rsid w:val="005F6B07"/>
    <w:rsid w:val="00600FC7"/>
    <w:rsid w:val="006016CA"/>
    <w:rsid w:val="00602711"/>
    <w:rsid w:val="00603B4A"/>
    <w:rsid w:val="00604720"/>
    <w:rsid w:val="00604809"/>
    <w:rsid w:val="006049E2"/>
    <w:rsid w:val="006052EC"/>
    <w:rsid w:val="00605507"/>
    <w:rsid w:val="00605981"/>
    <w:rsid w:val="00606B2B"/>
    <w:rsid w:val="006079CF"/>
    <w:rsid w:val="00607D79"/>
    <w:rsid w:val="006100B5"/>
    <w:rsid w:val="00610C39"/>
    <w:rsid w:val="00611419"/>
    <w:rsid w:val="006116DB"/>
    <w:rsid w:val="00612A8D"/>
    <w:rsid w:val="00613449"/>
    <w:rsid w:val="00613E1D"/>
    <w:rsid w:val="006162A4"/>
    <w:rsid w:val="00616347"/>
    <w:rsid w:val="00616CFC"/>
    <w:rsid w:val="00623B46"/>
    <w:rsid w:val="00624539"/>
    <w:rsid w:val="00624F7D"/>
    <w:rsid w:val="006256DE"/>
    <w:rsid w:val="006266A4"/>
    <w:rsid w:val="00626E9B"/>
    <w:rsid w:val="00626FA7"/>
    <w:rsid w:val="006275FA"/>
    <w:rsid w:val="00630696"/>
    <w:rsid w:val="006310F1"/>
    <w:rsid w:val="006313CB"/>
    <w:rsid w:val="006323DA"/>
    <w:rsid w:val="006337F3"/>
    <w:rsid w:val="0063478F"/>
    <w:rsid w:val="00634CB2"/>
    <w:rsid w:val="00634E7A"/>
    <w:rsid w:val="00635167"/>
    <w:rsid w:val="00635CF7"/>
    <w:rsid w:val="00635EF4"/>
    <w:rsid w:val="0063678B"/>
    <w:rsid w:val="00636D64"/>
    <w:rsid w:val="006374A3"/>
    <w:rsid w:val="006418F9"/>
    <w:rsid w:val="00641F4D"/>
    <w:rsid w:val="00642578"/>
    <w:rsid w:val="006430C7"/>
    <w:rsid w:val="0064314B"/>
    <w:rsid w:val="00643CD5"/>
    <w:rsid w:val="0064428F"/>
    <w:rsid w:val="00644A1E"/>
    <w:rsid w:val="00644C85"/>
    <w:rsid w:val="00646176"/>
    <w:rsid w:val="00646AB3"/>
    <w:rsid w:val="00646B02"/>
    <w:rsid w:val="00646C41"/>
    <w:rsid w:val="00646FB8"/>
    <w:rsid w:val="0064716A"/>
    <w:rsid w:val="00650A4C"/>
    <w:rsid w:val="00651E48"/>
    <w:rsid w:val="006520E9"/>
    <w:rsid w:val="006521F1"/>
    <w:rsid w:val="00652F25"/>
    <w:rsid w:val="006533E6"/>
    <w:rsid w:val="0065441F"/>
    <w:rsid w:val="006544FA"/>
    <w:rsid w:val="006552F2"/>
    <w:rsid w:val="00655B97"/>
    <w:rsid w:val="006560E8"/>
    <w:rsid w:val="00656741"/>
    <w:rsid w:val="006573BA"/>
    <w:rsid w:val="0065751B"/>
    <w:rsid w:val="00657863"/>
    <w:rsid w:val="006619F4"/>
    <w:rsid w:val="00662A00"/>
    <w:rsid w:val="00662C97"/>
    <w:rsid w:val="00664FAB"/>
    <w:rsid w:val="0066507C"/>
    <w:rsid w:val="0066542D"/>
    <w:rsid w:val="00665595"/>
    <w:rsid w:val="00665E3D"/>
    <w:rsid w:val="00667087"/>
    <w:rsid w:val="006672C4"/>
    <w:rsid w:val="0066770C"/>
    <w:rsid w:val="00667862"/>
    <w:rsid w:val="006710A7"/>
    <w:rsid w:val="006711C2"/>
    <w:rsid w:val="00672782"/>
    <w:rsid w:val="00672C8B"/>
    <w:rsid w:val="006748C7"/>
    <w:rsid w:val="00675266"/>
    <w:rsid w:val="00675BD1"/>
    <w:rsid w:val="00676C78"/>
    <w:rsid w:val="006779C9"/>
    <w:rsid w:val="006805B4"/>
    <w:rsid w:val="00680E14"/>
    <w:rsid w:val="0068112D"/>
    <w:rsid w:val="0068115E"/>
    <w:rsid w:val="0068162D"/>
    <w:rsid w:val="00681F55"/>
    <w:rsid w:val="00683CAA"/>
    <w:rsid w:val="00684A48"/>
    <w:rsid w:val="00684DAF"/>
    <w:rsid w:val="00685D85"/>
    <w:rsid w:val="00686891"/>
    <w:rsid w:val="00686E82"/>
    <w:rsid w:val="00687012"/>
    <w:rsid w:val="006909C7"/>
    <w:rsid w:val="0069105F"/>
    <w:rsid w:val="00691696"/>
    <w:rsid w:val="006918FB"/>
    <w:rsid w:val="00691ADD"/>
    <w:rsid w:val="0069262B"/>
    <w:rsid w:val="00693D68"/>
    <w:rsid w:val="00694011"/>
    <w:rsid w:val="00696433"/>
    <w:rsid w:val="00697851"/>
    <w:rsid w:val="006A06DD"/>
    <w:rsid w:val="006A1811"/>
    <w:rsid w:val="006A1CCC"/>
    <w:rsid w:val="006A297A"/>
    <w:rsid w:val="006A29D9"/>
    <w:rsid w:val="006A2A54"/>
    <w:rsid w:val="006A591C"/>
    <w:rsid w:val="006A6395"/>
    <w:rsid w:val="006A739D"/>
    <w:rsid w:val="006A780D"/>
    <w:rsid w:val="006B0570"/>
    <w:rsid w:val="006B0B82"/>
    <w:rsid w:val="006B1D8E"/>
    <w:rsid w:val="006B3A02"/>
    <w:rsid w:val="006B4766"/>
    <w:rsid w:val="006B5BED"/>
    <w:rsid w:val="006B60B2"/>
    <w:rsid w:val="006B6F5A"/>
    <w:rsid w:val="006B77F9"/>
    <w:rsid w:val="006C0BB9"/>
    <w:rsid w:val="006C1408"/>
    <w:rsid w:val="006C162E"/>
    <w:rsid w:val="006C16FC"/>
    <w:rsid w:val="006C1BD7"/>
    <w:rsid w:val="006C2F1A"/>
    <w:rsid w:val="006C309E"/>
    <w:rsid w:val="006C341F"/>
    <w:rsid w:val="006C3BE7"/>
    <w:rsid w:val="006C42E1"/>
    <w:rsid w:val="006C4A2C"/>
    <w:rsid w:val="006C613D"/>
    <w:rsid w:val="006C66EB"/>
    <w:rsid w:val="006C695F"/>
    <w:rsid w:val="006C7244"/>
    <w:rsid w:val="006C78AA"/>
    <w:rsid w:val="006C7FB4"/>
    <w:rsid w:val="006D014B"/>
    <w:rsid w:val="006D0381"/>
    <w:rsid w:val="006D2438"/>
    <w:rsid w:val="006D2F91"/>
    <w:rsid w:val="006D7603"/>
    <w:rsid w:val="006D77D7"/>
    <w:rsid w:val="006D7E52"/>
    <w:rsid w:val="006E1765"/>
    <w:rsid w:val="006E2480"/>
    <w:rsid w:val="006E28CD"/>
    <w:rsid w:val="006E3852"/>
    <w:rsid w:val="006E385F"/>
    <w:rsid w:val="006E3BF3"/>
    <w:rsid w:val="006E4026"/>
    <w:rsid w:val="006E4725"/>
    <w:rsid w:val="006E4AAD"/>
    <w:rsid w:val="006E66D9"/>
    <w:rsid w:val="006E748C"/>
    <w:rsid w:val="006E74A0"/>
    <w:rsid w:val="006E7751"/>
    <w:rsid w:val="006E7808"/>
    <w:rsid w:val="006F00DE"/>
    <w:rsid w:val="006F02E1"/>
    <w:rsid w:val="006F1558"/>
    <w:rsid w:val="006F34DA"/>
    <w:rsid w:val="006F35A8"/>
    <w:rsid w:val="006F3744"/>
    <w:rsid w:val="006F571D"/>
    <w:rsid w:val="006F6636"/>
    <w:rsid w:val="006F6683"/>
    <w:rsid w:val="006F7855"/>
    <w:rsid w:val="00700822"/>
    <w:rsid w:val="00701006"/>
    <w:rsid w:val="00701C58"/>
    <w:rsid w:val="00701F1B"/>
    <w:rsid w:val="00703E6A"/>
    <w:rsid w:val="0070430D"/>
    <w:rsid w:val="00704FC2"/>
    <w:rsid w:val="00706C5D"/>
    <w:rsid w:val="0070743C"/>
    <w:rsid w:val="00711ABF"/>
    <w:rsid w:val="00712102"/>
    <w:rsid w:val="0071229F"/>
    <w:rsid w:val="00712371"/>
    <w:rsid w:val="007123D7"/>
    <w:rsid w:val="007125EC"/>
    <w:rsid w:val="00714482"/>
    <w:rsid w:val="00715F6C"/>
    <w:rsid w:val="00716A1D"/>
    <w:rsid w:val="00716C1B"/>
    <w:rsid w:val="00717C41"/>
    <w:rsid w:val="00720149"/>
    <w:rsid w:val="00720EFD"/>
    <w:rsid w:val="00721EA2"/>
    <w:rsid w:val="00721F3D"/>
    <w:rsid w:val="0072332E"/>
    <w:rsid w:val="00723799"/>
    <w:rsid w:val="00724CEE"/>
    <w:rsid w:val="007268C4"/>
    <w:rsid w:val="00726CF1"/>
    <w:rsid w:val="007271B7"/>
    <w:rsid w:val="007274A1"/>
    <w:rsid w:val="00727666"/>
    <w:rsid w:val="0073029A"/>
    <w:rsid w:val="0073087A"/>
    <w:rsid w:val="00730F03"/>
    <w:rsid w:val="00732BBA"/>
    <w:rsid w:val="00735E8E"/>
    <w:rsid w:val="007370D3"/>
    <w:rsid w:val="00737887"/>
    <w:rsid w:val="00737F13"/>
    <w:rsid w:val="007409D5"/>
    <w:rsid w:val="00741201"/>
    <w:rsid w:val="0074149A"/>
    <w:rsid w:val="007418DD"/>
    <w:rsid w:val="00742107"/>
    <w:rsid w:val="00743C72"/>
    <w:rsid w:val="00745152"/>
    <w:rsid w:val="007452F9"/>
    <w:rsid w:val="007458DE"/>
    <w:rsid w:val="0074695E"/>
    <w:rsid w:val="00747E94"/>
    <w:rsid w:val="00751305"/>
    <w:rsid w:val="0075271F"/>
    <w:rsid w:val="00752763"/>
    <w:rsid w:val="007529FA"/>
    <w:rsid w:val="007530F3"/>
    <w:rsid w:val="00753945"/>
    <w:rsid w:val="00753BF2"/>
    <w:rsid w:val="0075451C"/>
    <w:rsid w:val="0075471A"/>
    <w:rsid w:val="0075493D"/>
    <w:rsid w:val="00756C69"/>
    <w:rsid w:val="0075730B"/>
    <w:rsid w:val="00757E3D"/>
    <w:rsid w:val="007621A0"/>
    <w:rsid w:val="007622D3"/>
    <w:rsid w:val="007630A2"/>
    <w:rsid w:val="00763179"/>
    <w:rsid w:val="00763620"/>
    <w:rsid w:val="00763629"/>
    <w:rsid w:val="007651B4"/>
    <w:rsid w:val="00765FF0"/>
    <w:rsid w:val="00766CBD"/>
    <w:rsid w:val="0076714F"/>
    <w:rsid w:val="0076724D"/>
    <w:rsid w:val="007713F3"/>
    <w:rsid w:val="007717CF"/>
    <w:rsid w:val="007718C2"/>
    <w:rsid w:val="007721F9"/>
    <w:rsid w:val="007726BB"/>
    <w:rsid w:val="00773E90"/>
    <w:rsid w:val="00774E72"/>
    <w:rsid w:val="00774EE1"/>
    <w:rsid w:val="00775406"/>
    <w:rsid w:val="00776116"/>
    <w:rsid w:val="0077640A"/>
    <w:rsid w:val="00777D2A"/>
    <w:rsid w:val="007808E8"/>
    <w:rsid w:val="0078191A"/>
    <w:rsid w:val="007831E3"/>
    <w:rsid w:val="0078757E"/>
    <w:rsid w:val="00787A65"/>
    <w:rsid w:val="00790063"/>
    <w:rsid w:val="0079011E"/>
    <w:rsid w:val="00790329"/>
    <w:rsid w:val="00790A29"/>
    <w:rsid w:val="00791983"/>
    <w:rsid w:val="00791CC3"/>
    <w:rsid w:val="0079224E"/>
    <w:rsid w:val="00793D9F"/>
    <w:rsid w:val="00793E8F"/>
    <w:rsid w:val="007A106B"/>
    <w:rsid w:val="007A295F"/>
    <w:rsid w:val="007A29F2"/>
    <w:rsid w:val="007A32B1"/>
    <w:rsid w:val="007A4176"/>
    <w:rsid w:val="007A46EA"/>
    <w:rsid w:val="007A515B"/>
    <w:rsid w:val="007A5311"/>
    <w:rsid w:val="007A56CD"/>
    <w:rsid w:val="007A5E7E"/>
    <w:rsid w:val="007A624F"/>
    <w:rsid w:val="007A6B12"/>
    <w:rsid w:val="007B03C2"/>
    <w:rsid w:val="007B1A00"/>
    <w:rsid w:val="007B3311"/>
    <w:rsid w:val="007B34D4"/>
    <w:rsid w:val="007B35BE"/>
    <w:rsid w:val="007B4030"/>
    <w:rsid w:val="007B506C"/>
    <w:rsid w:val="007B64A0"/>
    <w:rsid w:val="007B6582"/>
    <w:rsid w:val="007B66A7"/>
    <w:rsid w:val="007B6AF9"/>
    <w:rsid w:val="007C01C3"/>
    <w:rsid w:val="007C0254"/>
    <w:rsid w:val="007C0300"/>
    <w:rsid w:val="007C20F4"/>
    <w:rsid w:val="007C2573"/>
    <w:rsid w:val="007C4942"/>
    <w:rsid w:val="007C4BC2"/>
    <w:rsid w:val="007C4F6A"/>
    <w:rsid w:val="007C50FC"/>
    <w:rsid w:val="007C52D5"/>
    <w:rsid w:val="007C65A7"/>
    <w:rsid w:val="007C69A1"/>
    <w:rsid w:val="007C7259"/>
    <w:rsid w:val="007D0D62"/>
    <w:rsid w:val="007D3540"/>
    <w:rsid w:val="007D3F7A"/>
    <w:rsid w:val="007D455F"/>
    <w:rsid w:val="007D4A3A"/>
    <w:rsid w:val="007D4F4A"/>
    <w:rsid w:val="007D5168"/>
    <w:rsid w:val="007D77BC"/>
    <w:rsid w:val="007D78C2"/>
    <w:rsid w:val="007E14F3"/>
    <w:rsid w:val="007E2708"/>
    <w:rsid w:val="007E3DA4"/>
    <w:rsid w:val="007E4B7F"/>
    <w:rsid w:val="007E53E7"/>
    <w:rsid w:val="007E53EB"/>
    <w:rsid w:val="007E5713"/>
    <w:rsid w:val="007E73E7"/>
    <w:rsid w:val="007E7AAB"/>
    <w:rsid w:val="007F0895"/>
    <w:rsid w:val="007F0AE3"/>
    <w:rsid w:val="007F0B53"/>
    <w:rsid w:val="007F0C6F"/>
    <w:rsid w:val="007F1D38"/>
    <w:rsid w:val="007F20CD"/>
    <w:rsid w:val="007F2DA8"/>
    <w:rsid w:val="007F4A6B"/>
    <w:rsid w:val="007F5D08"/>
    <w:rsid w:val="007F5EC9"/>
    <w:rsid w:val="007F78E0"/>
    <w:rsid w:val="008011A6"/>
    <w:rsid w:val="008030F1"/>
    <w:rsid w:val="008032C8"/>
    <w:rsid w:val="00804323"/>
    <w:rsid w:val="00804C0B"/>
    <w:rsid w:val="00805878"/>
    <w:rsid w:val="008063EE"/>
    <w:rsid w:val="008102FF"/>
    <w:rsid w:val="008109D5"/>
    <w:rsid w:val="00810CBB"/>
    <w:rsid w:val="00814B25"/>
    <w:rsid w:val="00814C98"/>
    <w:rsid w:val="00815F90"/>
    <w:rsid w:val="00816F8D"/>
    <w:rsid w:val="0081774D"/>
    <w:rsid w:val="008208CD"/>
    <w:rsid w:val="00823E5E"/>
    <w:rsid w:val="00825126"/>
    <w:rsid w:val="0082539A"/>
    <w:rsid w:val="00825431"/>
    <w:rsid w:val="008259BD"/>
    <w:rsid w:val="00825C6D"/>
    <w:rsid w:val="00826EB5"/>
    <w:rsid w:val="008307DC"/>
    <w:rsid w:val="0083081D"/>
    <w:rsid w:val="00832A5A"/>
    <w:rsid w:val="00832EAB"/>
    <w:rsid w:val="00834D85"/>
    <w:rsid w:val="00835894"/>
    <w:rsid w:val="008360C5"/>
    <w:rsid w:val="00841714"/>
    <w:rsid w:val="00841857"/>
    <w:rsid w:val="008418A6"/>
    <w:rsid w:val="00841918"/>
    <w:rsid w:val="00841C42"/>
    <w:rsid w:val="00841F68"/>
    <w:rsid w:val="008422B5"/>
    <w:rsid w:val="008428E6"/>
    <w:rsid w:val="00842909"/>
    <w:rsid w:val="00842CA7"/>
    <w:rsid w:val="00844EBA"/>
    <w:rsid w:val="008457D6"/>
    <w:rsid w:val="00845D2A"/>
    <w:rsid w:val="0084739F"/>
    <w:rsid w:val="008508D9"/>
    <w:rsid w:val="00850BCD"/>
    <w:rsid w:val="00851909"/>
    <w:rsid w:val="008526BC"/>
    <w:rsid w:val="008548DE"/>
    <w:rsid w:val="00854FC3"/>
    <w:rsid w:val="00855B5D"/>
    <w:rsid w:val="0085615A"/>
    <w:rsid w:val="0085618F"/>
    <w:rsid w:val="00856764"/>
    <w:rsid w:val="00857D5C"/>
    <w:rsid w:val="008604BC"/>
    <w:rsid w:val="00860541"/>
    <w:rsid w:val="008609F1"/>
    <w:rsid w:val="00860FF1"/>
    <w:rsid w:val="00862200"/>
    <w:rsid w:val="0086282D"/>
    <w:rsid w:val="008633B6"/>
    <w:rsid w:val="00864127"/>
    <w:rsid w:val="00864AF6"/>
    <w:rsid w:val="00866754"/>
    <w:rsid w:val="008673DE"/>
    <w:rsid w:val="00867600"/>
    <w:rsid w:val="008679C9"/>
    <w:rsid w:val="00867A37"/>
    <w:rsid w:val="00870108"/>
    <w:rsid w:val="00870222"/>
    <w:rsid w:val="008705E4"/>
    <w:rsid w:val="00874C9E"/>
    <w:rsid w:val="0087645B"/>
    <w:rsid w:val="00877263"/>
    <w:rsid w:val="00877560"/>
    <w:rsid w:val="008778E4"/>
    <w:rsid w:val="008779EC"/>
    <w:rsid w:val="0088009F"/>
    <w:rsid w:val="008808E0"/>
    <w:rsid w:val="00880CAB"/>
    <w:rsid w:val="00880FF3"/>
    <w:rsid w:val="00882374"/>
    <w:rsid w:val="008828AF"/>
    <w:rsid w:val="00882DB3"/>
    <w:rsid w:val="008830D1"/>
    <w:rsid w:val="008840E8"/>
    <w:rsid w:val="008847BB"/>
    <w:rsid w:val="00885185"/>
    <w:rsid w:val="0088646C"/>
    <w:rsid w:val="00886573"/>
    <w:rsid w:val="00886CBA"/>
    <w:rsid w:val="00886FF7"/>
    <w:rsid w:val="00887981"/>
    <w:rsid w:val="00887E53"/>
    <w:rsid w:val="008914DB"/>
    <w:rsid w:val="00891AE8"/>
    <w:rsid w:val="00892F26"/>
    <w:rsid w:val="00893CE0"/>
    <w:rsid w:val="00893D58"/>
    <w:rsid w:val="00893EC7"/>
    <w:rsid w:val="0089473E"/>
    <w:rsid w:val="00895066"/>
    <w:rsid w:val="008953C0"/>
    <w:rsid w:val="00895B4B"/>
    <w:rsid w:val="00895EFB"/>
    <w:rsid w:val="008961F0"/>
    <w:rsid w:val="008963A1"/>
    <w:rsid w:val="008968AE"/>
    <w:rsid w:val="008968F5"/>
    <w:rsid w:val="00896D33"/>
    <w:rsid w:val="008A04DF"/>
    <w:rsid w:val="008A0857"/>
    <w:rsid w:val="008A1490"/>
    <w:rsid w:val="008A1CDA"/>
    <w:rsid w:val="008A2164"/>
    <w:rsid w:val="008A32AF"/>
    <w:rsid w:val="008A3F20"/>
    <w:rsid w:val="008A4216"/>
    <w:rsid w:val="008A6313"/>
    <w:rsid w:val="008A6374"/>
    <w:rsid w:val="008A6977"/>
    <w:rsid w:val="008B06BB"/>
    <w:rsid w:val="008B20F5"/>
    <w:rsid w:val="008B2864"/>
    <w:rsid w:val="008B3587"/>
    <w:rsid w:val="008B38BB"/>
    <w:rsid w:val="008B4CF1"/>
    <w:rsid w:val="008B51B1"/>
    <w:rsid w:val="008B621F"/>
    <w:rsid w:val="008C1369"/>
    <w:rsid w:val="008C1EED"/>
    <w:rsid w:val="008C4021"/>
    <w:rsid w:val="008C44CA"/>
    <w:rsid w:val="008C7678"/>
    <w:rsid w:val="008D0897"/>
    <w:rsid w:val="008D0A16"/>
    <w:rsid w:val="008D1182"/>
    <w:rsid w:val="008D1CFE"/>
    <w:rsid w:val="008D2396"/>
    <w:rsid w:val="008D2C9D"/>
    <w:rsid w:val="008D381C"/>
    <w:rsid w:val="008D39B3"/>
    <w:rsid w:val="008D3F01"/>
    <w:rsid w:val="008D4A84"/>
    <w:rsid w:val="008D4A89"/>
    <w:rsid w:val="008D5CB0"/>
    <w:rsid w:val="008D5D78"/>
    <w:rsid w:val="008E0CAE"/>
    <w:rsid w:val="008E0ED9"/>
    <w:rsid w:val="008E11A9"/>
    <w:rsid w:val="008E2145"/>
    <w:rsid w:val="008E3860"/>
    <w:rsid w:val="008E486E"/>
    <w:rsid w:val="008E4BCB"/>
    <w:rsid w:val="008E5B04"/>
    <w:rsid w:val="008E62CD"/>
    <w:rsid w:val="008E6FB3"/>
    <w:rsid w:val="008E700D"/>
    <w:rsid w:val="008F00EB"/>
    <w:rsid w:val="008F0381"/>
    <w:rsid w:val="008F08B0"/>
    <w:rsid w:val="008F16A5"/>
    <w:rsid w:val="008F3A79"/>
    <w:rsid w:val="008F4656"/>
    <w:rsid w:val="008F4A63"/>
    <w:rsid w:val="008F4DCF"/>
    <w:rsid w:val="008F5737"/>
    <w:rsid w:val="008F5CC6"/>
    <w:rsid w:val="008F7690"/>
    <w:rsid w:val="008F7A64"/>
    <w:rsid w:val="0090144C"/>
    <w:rsid w:val="00901640"/>
    <w:rsid w:val="00901962"/>
    <w:rsid w:val="009019DE"/>
    <w:rsid w:val="00903A2F"/>
    <w:rsid w:val="009049B6"/>
    <w:rsid w:val="00904FD2"/>
    <w:rsid w:val="009057C1"/>
    <w:rsid w:val="00906249"/>
    <w:rsid w:val="00906941"/>
    <w:rsid w:val="00907030"/>
    <w:rsid w:val="009070D9"/>
    <w:rsid w:val="00907854"/>
    <w:rsid w:val="00907C4C"/>
    <w:rsid w:val="00907FE2"/>
    <w:rsid w:val="0091086E"/>
    <w:rsid w:val="0091219A"/>
    <w:rsid w:val="00913DE0"/>
    <w:rsid w:val="00914AC7"/>
    <w:rsid w:val="009151B1"/>
    <w:rsid w:val="00915F99"/>
    <w:rsid w:val="00916CDA"/>
    <w:rsid w:val="00920AD0"/>
    <w:rsid w:val="00920B72"/>
    <w:rsid w:val="009210EB"/>
    <w:rsid w:val="009219BE"/>
    <w:rsid w:val="00921A7B"/>
    <w:rsid w:val="00922103"/>
    <w:rsid w:val="00922515"/>
    <w:rsid w:val="009232A2"/>
    <w:rsid w:val="00923B6F"/>
    <w:rsid w:val="00923BB8"/>
    <w:rsid w:val="009242B8"/>
    <w:rsid w:val="00925402"/>
    <w:rsid w:val="009258C3"/>
    <w:rsid w:val="0092668A"/>
    <w:rsid w:val="009267D9"/>
    <w:rsid w:val="009273F8"/>
    <w:rsid w:val="0092752F"/>
    <w:rsid w:val="00927612"/>
    <w:rsid w:val="00930187"/>
    <w:rsid w:val="009314E1"/>
    <w:rsid w:val="00931569"/>
    <w:rsid w:val="00931AAD"/>
    <w:rsid w:val="00931BAA"/>
    <w:rsid w:val="00932E4B"/>
    <w:rsid w:val="00935251"/>
    <w:rsid w:val="00935445"/>
    <w:rsid w:val="00935A0C"/>
    <w:rsid w:val="00936BDB"/>
    <w:rsid w:val="00936E77"/>
    <w:rsid w:val="00937B80"/>
    <w:rsid w:val="00937C6F"/>
    <w:rsid w:val="00937E9F"/>
    <w:rsid w:val="00941420"/>
    <w:rsid w:val="00941F22"/>
    <w:rsid w:val="00946408"/>
    <w:rsid w:val="00946BC9"/>
    <w:rsid w:val="00947115"/>
    <w:rsid w:val="00950B33"/>
    <w:rsid w:val="009518A6"/>
    <w:rsid w:val="00952D6F"/>
    <w:rsid w:val="00953FA0"/>
    <w:rsid w:val="00954030"/>
    <w:rsid w:val="009565A4"/>
    <w:rsid w:val="00956673"/>
    <w:rsid w:val="00964BB9"/>
    <w:rsid w:val="00964E9D"/>
    <w:rsid w:val="00965480"/>
    <w:rsid w:val="00970428"/>
    <w:rsid w:val="00970E36"/>
    <w:rsid w:val="00971497"/>
    <w:rsid w:val="009719B1"/>
    <w:rsid w:val="00971D53"/>
    <w:rsid w:val="00972690"/>
    <w:rsid w:val="00976B78"/>
    <w:rsid w:val="00976C61"/>
    <w:rsid w:val="009773A2"/>
    <w:rsid w:val="009776FB"/>
    <w:rsid w:val="0098019F"/>
    <w:rsid w:val="0098026F"/>
    <w:rsid w:val="009805ED"/>
    <w:rsid w:val="0098073A"/>
    <w:rsid w:val="00980956"/>
    <w:rsid w:val="00982DA9"/>
    <w:rsid w:val="009831E0"/>
    <w:rsid w:val="009834F1"/>
    <w:rsid w:val="009839AD"/>
    <w:rsid w:val="00984F29"/>
    <w:rsid w:val="00985ED9"/>
    <w:rsid w:val="00990C6C"/>
    <w:rsid w:val="009922E5"/>
    <w:rsid w:val="00993AF6"/>
    <w:rsid w:val="0099448D"/>
    <w:rsid w:val="00994575"/>
    <w:rsid w:val="00994653"/>
    <w:rsid w:val="0099571B"/>
    <w:rsid w:val="00995787"/>
    <w:rsid w:val="009969CA"/>
    <w:rsid w:val="00996F5C"/>
    <w:rsid w:val="0099732B"/>
    <w:rsid w:val="009A062C"/>
    <w:rsid w:val="009A067D"/>
    <w:rsid w:val="009A1C95"/>
    <w:rsid w:val="009A1F3E"/>
    <w:rsid w:val="009A42DF"/>
    <w:rsid w:val="009A496A"/>
    <w:rsid w:val="009A543F"/>
    <w:rsid w:val="009A5B1E"/>
    <w:rsid w:val="009A6F54"/>
    <w:rsid w:val="009A7985"/>
    <w:rsid w:val="009A7D53"/>
    <w:rsid w:val="009B0445"/>
    <w:rsid w:val="009B173A"/>
    <w:rsid w:val="009B493F"/>
    <w:rsid w:val="009B70B5"/>
    <w:rsid w:val="009B7522"/>
    <w:rsid w:val="009C0921"/>
    <w:rsid w:val="009C1101"/>
    <w:rsid w:val="009C261E"/>
    <w:rsid w:val="009C289F"/>
    <w:rsid w:val="009C290F"/>
    <w:rsid w:val="009C2B0A"/>
    <w:rsid w:val="009C2F25"/>
    <w:rsid w:val="009C4BDC"/>
    <w:rsid w:val="009C6193"/>
    <w:rsid w:val="009C7581"/>
    <w:rsid w:val="009C795B"/>
    <w:rsid w:val="009D102D"/>
    <w:rsid w:val="009D2555"/>
    <w:rsid w:val="009D2A1A"/>
    <w:rsid w:val="009D30E9"/>
    <w:rsid w:val="009D3345"/>
    <w:rsid w:val="009D33F6"/>
    <w:rsid w:val="009D3B60"/>
    <w:rsid w:val="009D4412"/>
    <w:rsid w:val="009D4626"/>
    <w:rsid w:val="009D4FDE"/>
    <w:rsid w:val="009D6BD3"/>
    <w:rsid w:val="009E06A0"/>
    <w:rsid w:val="009E10EC"/>
    <w:rsid w:val="009E2088"/>
    <w:rsid w:val="009E20A4"/>
    <w:rsid w:val="009E2917"/>
    <w:rsid w:val="009E2EF6"/>
    <w:rsid w:val="009E31EF"/>
    <w:rsid w:val="009E3587"/>
    <w:rsid w:val="009E3606"/>
    <w:rsid w:val="009E3ACB"/>
    <w:rsid w:val="009E47A4"/>
    <w:rsid w:val="009E6B80"/>
    <w:rsid w:val="009E74E9"/>
    <w:rsid w:val="009F0B4F"/>
    <w:rsid w:val="009F1A42"/>
    <w:rsid w:val="009F3702"/>
    <w:rsid w:val="009F44CE"/>
    <w:rsid w:val="009F45F9"/>
    <w:rsid w:val="009F498A"/>
    <w:rsid w:val="009F4BAC"/>
    <w:rsid w:val="009F5E67"/>
    <w:rsid w:val="009F639B"/>
    <w:rsid w:val="009F7E74"/>
    <w:rsid w:val="009F7EDA"/>
    <w:rsid w:val="00A00922"/>
    <w:rsid w:val="00A00FCE"/>
    <w:rsid w:val="00A01530"/>
    <w:rsid w:val="00A02498"/>
    <w:rsid w:val="00A02C30"/>
    <w:rsid w:val="00A03254"/>
    <w:rsid w:val="00A04154"/>
    <w:rsid w:val="00A05A69"/>
    <w:rsid w:val="00A0674C"/>
    <w:rsid w:val="00A07A73"/>
    <w:rsid w:val="00A07CE2"/>
    <w:rsid w:val="00A10752"/>
    <w:rsid w:val="00A11B9C"/>
    <w:rsid w:val="00A11F10"/>
    <w:rsid w:val="00A12080"/>
    <w:rsid w:val="00A13131"/>
    <w:rsid w:val="00A14F4D"/>
    <w:rsid w:val="00A1577A"/>
    <w:rsid w:val="00A17474"/>
    <w:rsid w:val="00A2079F"/>
    <w:rsid w:val="00A20B25"/>
    <w:rsid w:val="00A20FB6"/>
    <w:rsid w:val="00A22102"/>
    <w:rsid w:val="00A2397A"/>
    <w:rsid w:val="00A2404C"/>
    <w:rsid w:val="00A25501"/>
    <w:rsid w:val="00A25755"/>
    <w:rsid w:val="00A258BF"/>
    <w:rsid w:val="00A264B6"/>
    <w:rsid w:val="00A26937"/>
    <w:rsid w:val="00A26DF1"/>
    <w:rsid w:val="00A2789B"/>
    <w:rsid w:val="00A303EE"/>
    <w:rsid w:val="00A30D39"/>
    <w:rsid w:val="00A322C2"/>
    <w:rsid w:val="00A32789"/>
    <w:rsid w:val="00A3295A"/>
    <w:rsid w:val="00A335D2"/>
    <w:rsid w:val="00A3380D"/>
    <w:rsid w:val="00A34463"/>
    <w:rsid w:val="00A34A32"/>
    <w:rsid w:val="00A34EBB"/>
    <w:rsid w:val="00A357CB"/>
    <w:rsid w:val="00A359DB"/>
    <w:rsid w:val="00A36469"/>
    <w:rsid w:val="00A36A3E"/>
    <w:rsid w:val="00A36ABF"/>
    <w:rsid w:val="00A37061"/>
    <w:rsid w:val="00A3718A"/>
    <w:rsid w:val="00A3766F"/>
    <w:rsid w:val="00A37C5F"/>
    <w:rsid w:val="00A37F09"/>
    <w:rsid w:val="00A37F4D"/>
    <w:rsid w:val="00A4011C"/>
    <w:rsid w:val="00A4055E"/>
    <w:rsid w:val="00A424AA"/>
    <w:rsid w:val="00A4298D"/>
    <w:rsid w:val="00A42E86"/>
    <w:rsid w:val="00A4416A"/>
    <w:rsid w:val="00A44E28"/>
    <w:rsid w:val="00A458AB"/>
    <w:rsid w:val="00A4642A"/>
    <w:rsid w:val="00A470A0"/>
    <w:rsid w:val="00A47566"/>
    <w:rsid w:val="00A47789"/>
    <w:rsid w:val="00A508FC"/>
    <w:rsid w:val="00A51BFF"/>
    <w:rsid w:val="00A52A4E"/>
    <w:rsid w:val="00A52BED"/>
    <w:rsid w:val="00A5440D"/>
    <w:rsid w:val="00A55267"/>
    <w:rsid w:val="00A571E3"/>
    <w:rsid w:val="00A602DD"/>
    <w:rsid w:val="00A60F16"/>
    <w:rsid w:val="00A61B7B"/>
    <w:rsid w:val="00A62F48"/>
    <w:rsid w:val="00A63364"/>
    <w:rsid w:val="00A63DE6"/>
    <w:rsid w:val="00A63FF8"/>
    <w:rsid w:val="00A646D2"/>
    <w:rsid w:val="00A6493E"/>
    <w:rsid w:val="00A65950"/>
    <w:rsid w:val="00A65BE8"/>
    <w:rsid w:val="00A67609"/>
    <w:rsid w:val="00A678FB"/>
    <w:rsid w:val="00A706A4"/>
    <w:rsid w:val="00A70D94"/>
    <w:rsid w:val="00A71194"/>
    <w:rsid w:val="00A71B3F"/>
    <w:rsid w:val="00A7326B"/>
    <w:rsid w:val="00A733E6"/>
    <w:rsid w:val="00A735DD"/>
    <w:rsid w:val="00A73AA0"/>
    <w:rsid w:val="00A73D8E"/>
    <w:rsid w:val="00A7441A"/>
    <w:rsid w:val="00A7468A"/>
    <w:rsid w:val="00A747C9"/>
    <w:rsid w:val="00A752CF"/>
    <w:rsid w:val="00A76F88"/>
    <w:rsid w:val="00A802A7"/>
    <w:rsid w:val="00A80BA7"/>
    <w:rsid w:val="00A80C43"/>
    <w:rsid w:val="00A80F18"/>
    <w:rsid w:val="00A813D3"/>
    <w:rsid w:val="00A817A9"/>
    <w:rsid w:val="00A81AD5"/>
    <w:rsid w:val="00A81B9D"/>
    <w:rsid w:val="00A82DBD"/>
    <w:rsid w:val="00A83E87"/>
    <w:rsid w:val="00A848C2"/>
    <w:rsid w:val="00A85B7B"/>
    <w:rsid w:val="00A85E08"/>
    <w:rsid w:val="00A865E9"/>
    <w:rsid w:val="00A86602"/>
    <w:rsid w:val="00A86997"/>
    <w:rsid w:val="00A86BB5"/>
    <w:rsid w:val="00A87384"/>
    <w:rsid w:val="00A90092"/>
    <w:rsid w:val="00A90219"/>
    <w:rsid w:val="00A90751"/>
    <w:rsid w:val="00A92A87"/>
    <w:rsid w:val="00A95F40"/>
    <w:rsid w:val="00A97AE1"/>
    <w:rsid w:val="00A97EC4"/>
    <w:rsid w:val="00AA1348"/>
    <w:rsid w:val="00AA14EA"/>
    <w:rsid w:val="00AA1F7D"/>
    <w:rsid w:val="00AA38A9"/>
    <w:rsid w:val="00AA3D98"/>
    <w:rsid w:val="00AA600E"/>
    <w:rsid w:val="00AA69B5"/>
    <w:rsid w:val="00AA7F10"/>
    <w:rsid w:val="00AB06B2"/>
    <w:rsid w:val="00AB1AF3"/>
    <w:rsid w:val="00AB1D71"/>
    <w:rsid w:val="00AB2ADF"/>
    <w:rsid w:val="00AB3060"/>
    <w:rsid w:val="00AB36C3"/>
    <w:rsid w:val="00AB5C6F"/>
    <w:rsid w:val="00AB70B4"/>
    <w:rsid w:val="00AC00D0"/>
    <w:rsid w:val="00AC0ADF"/>
    <w:rsid w:val="00AC389A"/>
    <w:rsid w:val="00AC3DB6"/>
    <w:rsid w:val="00AC6B27"/>
    <w:rsid w:val="00AC6C7E"/>
    <w:rsid w:val="00AC7392"/>
    <w:rsid w:val="00AC77BA"/>
    <w:rsid w:val="00AC7AF2"/>
    <w:rsid w:val="00AC7C81"/>
    <w:rsid w:val="00AC7CB8"/>
    <w:rsid w:val="00AD0003"/>
    <w:rsid w:val="00AD0194"/>
    <w:rsid w:val="00AD15DB"/>
    <w:rsid w:val="00AD17E1"/>
    <w:rsid w:val="00AD1998"/>
    <w:rsid w:val="00AD1CD9"/>
    <w:rsid w:val="00AD2311"/>
    <w:rsid w:val="00AD241A"/>
    <w:rsid w:val="00AD3412"/>
    <w:rsid w:val="00AD3998"/>
    <w:rsid w:val="00AD3BF3"/>
    <w:rsid w:val="00AD3EE2"/>
    <w:rsid w:val="00AD45A7"/>
    <w:rsid w:val="00AD52AF"/>
    <w:rsid w:val="00AD5ACC"/>
    <w:rsid w:val="00AD69BE"/>
    <w:rsid w:val="00AD7831"/>
    <w:rsid w:val="00AD7C88"/>
    <w:rsid w:val="00AE007C"/>
    <w:rsid w:val="00AE02E5"/>
    <w:rsid w:val="00AE08B8"/>
    <w:rsid w:val="00AE2218"/>
    <w:rsid w:val="00AE3CA7"/>
    <w:rsid w:val="00AE4471"/>
    <w:rsid w:val="00AE5A67"/>
    <w:rsid w:val="00AE75A6"/>
    <w:rsid w:val="00AE7E82"/>
    <w:rsid w:val="00AF06FA"/>
    <w:rsid w:val="00AF0EDF"/>
    <w:rsid w:val="00AF12D5"/>
    <w:rsid w:val="00AF1E99"/>
    <w:rsid w:val="00AF1F49"/>
    <w:rsid w:val="00AF1F4F"/>
    <w:rsid w:val="00AF2260"/>
    <w:rsid w:val="00AF3E57"/>
    <w:rsid w:val="00AF4C2E"/>
    <w:rsid w:val="00AF5226"/>
    <w:rsid w:val="00AF526A"/>
    <w:rsid w:val="00AF6070"/>
    <w:rsid w:val="00B0006C"/>
    <w:rsid w:val="00B00A13"/>
    <w:rsid w:val="00B01E27"/>
    <w:rsid w:val="00B03A9E"/>
    <w:rsid w:val="00B03BD4"/>
    <w:rsid w:val="00B04D04"/>
    <w:rsid w:val="00B054F0"/>
    <w:rsid w:val="00B06056"/>
    <w:rsid w:val="00B0633C"/>
    <w:rsid w:val="00B07241"/>
    <w:rsid w:val="00B075A1"/>
    <w:rsid w:val="00B10033"/>
    <w:rsid w:val="00B116C8"/>
    <w:rsid w:val="00B140DC"/>
    <w:rsid w:val="00B15A27"/>
    <w:rsid w:val="00B15A4D"/>
    <w:rsid w:val="00B16649"/>
    <w:rsid w:val="00B16679"/>
    <w:rsid w:val="00B1724B"/>
    <w:rsid w:val="00B2003D"/>
    <w:rsid w:val="00B21A0B"/>
    <w:rsid w:val="00B22D68"/>
    <w:rsid w:val="00B23845"/>
    <w:rsid w:val="00B24049"/>
    <w:rsid w:val="00B2442A"/>
    <w:rsid w:val="00B25500"/>
    <w:rsid w:val="00B26CEE"/>
    <w:rsid w:val="00B26E1C"/>
    <w:rsid w:val="00B271D1"/>
    <w:rsid w:val="00B30B4C"/>
    <w:rsid w:val="00B31643"/>
    <w:rsid w:val="00B31A46"/>
    <w:rsid w:val="00B31DD7"/>
    <w:rsid w:val="00B326DD"/>
    <w:rsid w:val="00B341FA"/>
    <w:rsid w:val="00B34265"/>
    <w:rsid w:val="00B3448F"/>
    <w:rsid w:val="00B35B50"/>
    <w:rsid w:val="00B362BD"/>
    <w:rsid w:val="00B364A6"/>
    <w:rsid w:val="00B36EA3"/>
    <w:rsid w:val="00B376A8"/>
    <w:rsid w:val="00B37B27"/>
    <w:rsid w:val="00B37C67"/>
    <w:rsid w:val="00B4060F"/>
    <w:rsid w:val="00B4099C"/>
    <w:rsid w:val="00B40A4A"/>
    <w:rsid w:val="00B4111C"/>
    <w:rsid w:val="00B418E0"/>
    <w:rsid w:val="00B42AC5"/>
    <w:rsid w:val="00B431A8"/>
    <w:rsid w:val="00B43FCA"/>
    <w:rsid w:val="00B44781"/>
    <w:rsid w:val="00B44FD0"/>
    <w:rsid w:val="00B45424"/>
    <w:rsid w:val="00B45B64"/>
    <w:rsid w:val="00B45D5D"/>
    <w:rsid w:val="00B46C4D"/>
    <w:rsid w:val="00B4720C"/>
    <w:rsid w:val="00B47768"/>
    <w:rsid w:val="00B50AFF"/>
    <w:rsid w:val="00B51C6F"/>
    <w:rsid w:val="00B52304"/>
    <w:rsid w:val="00B54E7E"/>
    <w:rsid w:val="00B560E8"/>
    <w:rsid w:val="00B56B5D"/>
    <w:rsid w:val="00B571EB"/>
    <w:rsid w:val="00B5738F"/>
    <w:rsid w:val="00B607C8"/>
    <w:rsid w:val="00B61D20"/>
    <w:rsid w:val="00B622DC"/>
    <w:rsid w:val="00B62A72"/>
    <w:rsid w:val="00B63E3C"/>
    <w:rsid w:val="00B646CD"/>
    <w:rsid w:val="00B658B2"/>
    <w:rsid w:val="00B65D4C"/>
    <w:rsid w:val="00B66159"/>
    <w:rsid w:val="00B663C6"/>
    <w:rsid w:val="00B66431"/>
    <w:rsid w:val="00B705FC"/>
    <w:rsid w:val="00B71145"/>
    <w:rsid w:val="00B719EA"/>
    <w:rsid w:val="00B71A67"/>
    <w:rsid w:val="00B7459F"/>
    <w:rsid w:val="00B753FC"/>
    <w:rsid w:val="00B75885"/>
    <w:rsid w:val="00B7593B"/>
    <w:rsid w:val="00B75A1C"/>
    <w:rsid w:val="00B760E9"/>
    <w:rsid w:val="00B766CC"/>
    <w:rsid w:val="00B76CCD"/>
    <w:rsid w:val="00B7715F"/>
    <w:rsid w:val="00B77820"/>
    <w:rsid w:val="00B831ED"/>
    <w:rsid w:val="00B835D9"/>
    <w:rsid w:val="00B836EB"/>
    <w:rsid w:val="00B85959"/>
    <w:rsid w:val="00B86975"/>
    <w:rsid w:val="00B8705D"/>
    <w:rsid w:val="00B87862"/>
    <w:rsid w:val="00B9068E"/>
    <w:rsid w:val="00B90794"/>
    <w:rsid w:val="00B91108"/>
    <w:rsid w:val="00B9127A"/>
    <w:rsid w:val="00B91B16"/>
    <w:rsid w:val="00B92B04"/>
    <w:rsid w:val="00B934DB"/>
    <w:rsid w:val="00B9414A"/>
    <w:rsid w:val="00B94369"/>
    <w:rsid w:val="00B94C12"/>
    <w:rsid w:val="00B95014"/>
    <w:rsid w:val="00B95552"/>
    <w:rsid w:val="00B9579E"/>
    <w:rsid w:val="00B95A18"/>
    <w:rsid w:val="00B95F1E"/>
    <w:rsid w:val="00BA008E"/>
    <w:rsid w:val="00BA0A68"/>
    <w:rsid w:val="00BA1BB6"/>
    <w:rsid w:val="00BA1CAA"/>
    <w:rsid w:val="00BA2971"/>
    <w:rsid w:val="00BA2A16"/>
    <w:rsid w:val="00BA3AF1"/>
    <w:rsid w:val="00BA45E0"/>
    <w:rsid w:val="00BA49D2"/>
    <w:rsid w:val="00BA4D0A"/>
    <w:rsid w:val="00BA5106"/>
    <w:rsid w:val="00BA54B1"/>
    <w:rsid w:val="00BA5732"/>
    <w:rsid w:val="00BA5A49"/>
    <w:rsid w:val="00BA5E71"/>
    <w:rsid w:val="00BA63EC"/>
    <w:rsid w:val="00BA67EA"/>
    <w:rsid w:val="00BA771D"/>
    <w:rsid w:val="00BA7802"/>
    <w:rsid w:val="00BB06A0"/>
    <w:rsid w:val="00BB0701"/>
    <w:rsid w:val="00BB0D4A"/>
    <w:rsid w:val="00BB1C2B"/>
    <w:rsid w:val="00BB2A57"/>
    <w:rsid w:val="00BB3324"/>
    <w:rsid w:val="00BB5064"/>
    <w:rsid w:val="00BB557B"/>
    <w:rsid w:val="00BB66AA"/>
    <w:rsid w:val="00BB6A6F"/>
    <w:rsid w:val="00BB6CDD"/>
    <w:rsid w:val="00BC0018"/>
    <w:rsid w:val="00BC02C8"/>
    <w:rsid w:val="00BC13A4"/>
    <w:rsid w:val="00BC1FDF"/>
    <w:rsid w:val="00BC215B"/>
    <w:rsid w:val="00BC29D8"/>
    <w:rsid w:val="00BC3237"/>
    <w:rsid w:val="00BC399F"/>
    <w:rsid w:val="00BC4A9C"/>
    <w:rsid w:val="00BC57F3"/>
    <w:rsid w:val="00BC59D9"/>
    <w:rsid w:val="00BC5E35"/>
    <w:rsid w:val="00BC6986"/>
    <w:rsid w:val="00BD099D"/>
    <w:rsid w:val="00BD0DE0"/>
    <w:rsid w:val="00BD0E3B"/>
    <w:rsid w:val="00BD14D0"/>
    <w:rsid w:val="00BD213A"/>
    <w:rsid w:val="00BD2A55"/>
    <w:rsid w:val="00BD2CEC"/>
    <w:rsid w:val="00BD3745"/>
    <w:rsid w:val="00BD3D0C"/>
    <w:rsid w:val="00BD3D3D"/>
    <w:rsid w:val="00BD4FED"/>
    <w:rsid w:val="00BD6930"/>
    <w:rsid w:val="00BD6940"/>
    <w:rsid w:val="00BD6E70"/>
    <w:rsid w:val="00BE0284"/>
    <w:rsid w:val="00BE0D8C"/>
    <w:rsid w:val="00BE224F"/>
    <w:rsid w:val="00BE2D15"/>
    <w:rsid w:val="00BE2D90"/>
    <w:rsid w:val="00BE453E"/>
    <w:rsid w:val="00BE4606"/>
    <w:rsid w:val="00BE545D"/>
    <w:rsid w:val="00BE6564"/>
    <w:rsid w:val="00BF1428"/>
    <w:rsid w:val="00BF1A9E"/>
    <w:rsid w:val="00BF50D1"/>
    <w:rsid w:val="00BF58B3"/>
    <w:rsid w:val="00BF60BB"/>
    <w:rsid w:val="00BF6342"/>
    <w:rsid w:val="00BF705A"/>
    <w:rsid w:val="00C009C3"/>
    <w:rsid w:val="00C00EC4"/>
    <w:rsid w:val="00C027DE"/>
    <w:rsid w:val="00C05E53"/>
    <w:rsid w:val="00C05FB7"/>
    <w:rsid w:val="00C06702"/>
    <w:rsid w:val="00C06CB3"/>
    <w:rsid w:val="00C07BA2"/>
    <w:rsid w:val="00C10378"/>
    <w:rsid w:val="00C10CBE"/>
    <w:rsid w:val="00C1196D"/>
    <w:rsid w:val="00C13162"/>
    <w:rsid w:val="00C15FEA"/>
    <w:rsid w:val="00C166BF"/>
    <w:rsid w:val="00C16FD0"/>
    <w:rsid w:val="00C170E4"/>
    <w:rsid w:val="00C1729D"/>
    <w:rsid w:val="00C20595"/>
    <w:rsid w:val="00C20852"/>
    <w:rsid w:val="00C22A1D"/>
    <w:rsid w:val="00C23A2F"/>
    <w:rsid w:val="00C23C96"/>
    <w:rsid w:val="00C258A3"/>
    <w:rsid w:val="00C275C4"/>
    <w:rsid w:val="00C30A26"/>
    <w:rsid w:val="00C30CDF"/>
    <w:rsid w:val="00C3253E"/>
    <w:rsid w:val="00C32E16"/>
    <w:rsid w:val="00C3460B"/>
    <w:rsid w:val="00C34E4C"/>
    <w:rsid w:val="00C35D7F"/>
    <w:rsid w:val="00C3776E"/>
    <w:rsid w:val="00C37942"/>
    <w:rsid w:val="00C41EF2"/>
    <w:rsid w:val="00C4277C"/>
    <w:rsid w:val="00C4286C"/>
    <w:rsid w:val="00C43014"/>
    <w:rsid w:val="00C43084"/>
    <w:rsid w:val="00C4344E"/>
    <w:rsid w:val="00C44265"/>
    <w:rsid w:val="00C44A7C"/>
    <w:rsid w:val="00C44E7B"/>
    <w:rsid w:val="00C45A01"/>
    <w:rsid w:val="00C45AFE"/>
    <w:rsid w:val="00C46416"/>
    <w:rsid w:val="00C46567"/>
    <w:rsid w:val="00C470FC"/>
    <w:rsid w:val="00C47C1F"/>
    <w:rsid w:val="00C508D2"/>
    <w:rsid w:val="00C50914"/>
    <w:rsid w:val="00C50AC5"/>
    <w:rsid w:val="00C5111A"/>
    <w:rsid w:val="00C51740"/>
    <w:rsid w:val="00C51AC5"/>
    <w:rsid w:val="00C524E3"/>
    <w:rsid w:val="00C52894"/>
    <w:rsid w:val="00C52FF7"/>
    <w:rsid w:val="00C54DF4"/>
    <w:rsid w:val="00C5559F"/>
    <w:rsid w:val="00C559C6"/>
    <w:rsid w:val="00C55AC5"/>
    <w:rsid w:val="00C55E84"/>
    <w:rsid w:val="00C55FD4"/>
    <w:rsid w:val="00C55FF4"/>
    <w:rsid w:val="00C562AB"/>
    <w:rsid w:val="00C56AC0"/>
    <w:rsid w:val="00C57A97"/>
    <w:rsid w:val="00C57D81"/>
    <w:rsid w:val="00C60F6F"/>
    <w:rsid w:val="00C62E5D"/>
    <w:rsid w:val="00C63292"/>
    <w:rsid w:val="00C6378C"/>
    <w:rsid w:val="00C64733"/>
    <w:rsid w:val="00C647AD"/>
    <w:rsid w:val="00C64D3B"/>
    <w:rsid w:val="00C66EFF"/>
    <w:rsid w:val="00C715E9"/>
    <w:rsid w:val="00C7249C"/>
    <w:rsid w:val="00C732BA"/>
    <w:rsid w:val="00C748E1"/>
    <w:rsid w:val="00C74FED"/>
    <w:rsid w:val="00C75131"/>
    <w:rsid w:val="00C7634C"/>
    <w:rsid w:val="00C76AF6"/>
    <w:rsid w:val="00C76B17"/>
    <w:rsid w:val="00C76CCC"/>
    <w:rsid w:val="00C77BCB"/>
    <w:rsid w:val="00C8036C"/>
    <w:rsid w:val="00C80FBC"/>
    <w:rsid w:val="00C81277"/>
    <w:rsid w:val="00C819FD"/>
    <w:rsid w:val="00C81AA7"/>
    <w:rsid w:val="00C81B79"/>
    <w:rsid w:val="00C82349"/>
    <w:rsid w:val="00C828BE"/>
    <w:rsid w:val="00C82B30"/>
    <w:rsid w:val="00C8375C"/>
    <w:rsid w:val="00C83987"/>
    <w:rsid w:val="00C8452B"/>
    <w:rsid w:val="00C84A18"/>
    <w:rsid w:val="00C84BC7"/>
    <w:rsid w:val="00C86600"/>
    <w:rsid w:val="00C876B6"/>
    <w:rsid w:val="00C8786C"/>
    <w:rsid w:val="00C87880"/>
    <w:rsid w:val="00C90FF1"/>
    <w:rsid w:val="00C910A3"/>
    <w:rsid w:val="00C91B39"/>
    <w:rsid w:val="00C91E81"/>
    <w:rsid w:val="00C93381"/>
    <w:rsid w:val="00C93B71"/>
    <w:rsid w:val="00C974B4"/>
    <w:rsid w:val="00CA06BE"/>
    <w:rsid w:val="00CA1880"/>
    <w:rsid w:val="00CA2455"/>
    <w:rsid w:val="00CA48C5"/>
    <w:rsid w:val="00CA5C25"/>
    <w:rsid w:val="00CA63B9"/>
    <w:rsid w:val="00CA656C"/>
    <w:rsid w:val="00CA6BA6"/>
    <w:rsid w:val="00CA70DF"/>
    <w:rsid w:val="00CA7D8A"/>
    <w:rsid w:val="00CA7E55"/>
    <w:rsid w:val="00CB02CE"/>
    <w:rsid w:val="00CB0481"/>
    <w:rsid w:val="00CB08D2"/>
    <w:rsid w:val="00CB1D3E"/>
    <w:rsid w:val="00CB1D97"/>
    <w:rsid w:val="00CB2F39"/>
    <w:rsid w:val="00CB3979"/>
    <w:rsid w:val="00CB3D3D"/>
    <w:rsid w:val="00CB3E6D"/>
    <w:rsid w:val="00CB5A3B"/>
    <w:rsid w:val="00CB5CD2"/>
    <w:rsid w:val="00CB60C4"/>
    <w:rsid w:val="00CB7B93"/>
    <w:rsid w:val="00CB7DCA"/>
    <w:rsid w:val="00CC0208"/>
    <w:rsid w:val="00CC12B5"/>
    <w:rsid w:val="00CC1767"/>
    <w:rsid w:val="00CC24E0"/>
    <w:rsid w:val="00CC2C28"/>
    <w:rsid w:val="00CC33DD"/>
    <w:rsid w:val="00CC5ED8"/>
    <w:rsid w:val="00CC5EE8"/>
    <w:rsid w:val="00CC6493"/>
    <w:rsid w:val="00CC7964"/>
    <w:rsid w:val="00CD008C"/>
    <w:rsid w:val="00CD00BC"/>
    <w:rsid w:val="00CD0AE5"/>
    <w:rsid w:val="00CD0B1F"/>
    <w:rsid w:val="00CD388A"/>
    <w:rsid w:val="00CD5984"/>
    <w:rsid w:val="00CD5F6F"/>
    <w:rsid w:val="00CD613E"/>
    <w:rsid w:val="00CD617B"/>
    <w:rsid w:val="00CD63FD"/>
    <w:rsid w:val="00CE082B"/>
    <w:rsid w:val="00CE2213"/>
    <w:rsid w:val="00CE36E7"/>
    <w:rsid w:val="00CE3958"/>
    <w:rsid w:val="00CE5760"/>
    <w:rsid w:val="00CE5844"/>
    <w:rsid w:val="00CE5F34"/>
    <w:rsid w:val="00CF10B8"/>
    <w:rsid w:val="00CF2412"/>
    <w:rsid w:val="00CF2ADB"/>
    <w:rsid w:val="00CF4DA9"/>
    <w:rsid w:val="00CF6247"/>
    <w:rsid w:val="00CF6566"/>
    <w:rsid w:val="00CF702A"/>
    <w:rsid w:val="00CF7D8C"/>
    <w:rsid w:val="00CF7DC4"/>
    <w:rsid w:val="00D00819"/>
    <w:rsid w:val="00D037DE"/>
    <w:rsid w:val="00D0397A"/>
    <w:rsid w:val="00D03BC5"/>
    <w:rsid w:val="00D04A59"/>
    <w:rsid w:val="00D04DF5"/>
    <w:rsid w:val="00D06281"/>
    <w:rsid w:val="00D0709C"/>
    <w:rsid w:val="00D07E44"/>
    <w:rsid w:val="00D105D3"/>
    <w:rsid w:val="00D13225"/>
    <w:rsid w:val="00D135F8"/>
    <w:rsid w:val="00D1442A"/>
    <w:rsid w:val="00D1453E"/>
    <w:rsid w:val="00D14706"/>
    <w:rsid w:val="00D14E9B"/>
    <w:rsid w:val="00D16CA7"/>
    <w:rsid w:val="00D17046"/>
    <w:rsid w:val="00D17AF8"/>
    <w:rsid w:val="00D20D5A"/>
    <w:rsid w:val="00D23B23"/>
    <w:rsid w:val="00D24F35"/>
    <w:rsid w:val="00D251E4"/>
    <w:rsid w:val="00D25BCA"/>
    <w:rsid w:val="00D26272"/>
    <w:rsid w:val="00D272EB"/>
    <w:rsid w:val="00D30EF8"/>
    <w:rsid w:val="00D3133D"/>
    <w:rsid w:val="00D320B9"/>
    <w:rsid w:val="00D3252C"/>
    <w:rsid w:val="00D342AE"/>
    <w:rsid w:val="00D35395"/>
    <w:rsid w:val="00D3647B"/>
    <w:rsid w:val="00D36657"/>
    <w:rsid w:val="00D36F4A"/>
    <w:rsid w:val="00D37235"/>
    <w:rsid w:val="00D377E4"/>
    <w:rsid w:val="00D41063"/>
    <w:rsid w:val="00D4220A"/>
    <w:rsid w:val="00D424EA"/>
    <w:rsid w:val="00D43208"/>
    <w:rsid w:val="00D434D2"/>
    <w:rsid w:val="00D45BF7"/>
    <w:rsid w:val="00D45C60"/>
    <w:rsid w:val="00D45E29"/>
    <w:rsid w:val="00D46236"/>
    <w:rsid w:val="00D4656E"/>
    <w:rsid w:val="00D47330"/>
    <w:rsid w:val="00D47DBD"/>
    <w:rsid w:val="00D47F85"/>
    <w:rsid w:val="00D50605"/>
    <w:rsid w:val="00D52680"/>
    <w:rsid w:val="00D54DF0"/>
    <w:rsid w:val="00D5501C"/>
    <w:rsid w:val="00D5514E"/>
    <w:rsid w:val="00D60BDC"/>
    <w:rsid w:val="00D614D1"/>
    <w:rsid w:val="00D615AE"/>
    <w:rsid w:val="00D61914"/>
    <w:rsid w:val="00D61CBD"/>
    <w:rsid w:val="00D625CE"/>
    <w:rsid w:val="00D62FFE"/>
    <w:rsid w:val="00D63839"/>
    <w:rsid w:val="00D641F7"/>
    <w:rsid w:val="00D65075"/>
    <w:rsid w:val="00D650C4"/>
    <w:rsid w:val="00D66185"/>
    <w:rsid w:val="00D67F4C"/>
    <w:rsid w:val="00D708D0"/>
    <w:rsid w:val="00D7106E"/>
    <w:rsid w:val="00D71587"/>
    <w:rsid w:val="00D720FF"/>
    <w:rsid w:val="00D72CBD"/>
    <w:rsid w:val="00D730F2"/>
    <w:rsid w:val="00D731E2"/>
    <w:rsid w:val="00D74B16"/>
    <w:rsid w:val="00D75D4D"/>
    <w:rsid w:val="00D75F59"/>
    <w:rsid w:val="00D76153"/>
    <w:rsid w:val="00D768AF"/>
    <w:rsid w:val="00D77595"/>
    <w:rsid w:val="00D80ACD"/>
    <w:rsid w:val="00D81365"/>
    <w:rsid w:val="00D83040"/>
    <w:rsid w:val="00D83E8F"/>
    <w:rsid w:val="00D84BA2"/>
    <w:rsid w:val="00D8526A"/>
    <w:rsid w:val="00D85A9C"/>
    <w:rsid w:val="00D85B3D"/>
    <w:rsid w:val="00D8643F"/>
    <w:rsid w:val="00D86489"/>
    <w:rsid w:val="00D86D9F"/>
    <w:rsid w:val="00D873F7"/>
    <w:rsid w:val="00D879BD"/>
    <w:rsid w:val="00D906E3"/>
    <w:rsid w:val="00D90D83"/>
    <w:rsid w:val="00D910DE"/>
    <w:rsid w:val="00D92CE1"/>
    <w:rsid w:val="00D9351E"/>
    <w:rsid w:val="00D935D6"/>
    <w:rsid w:val="00D94941"/>
    <w:rsid w:val="00D94FDB"/>
    <w:rsid w:val="00D9572D"/>
    <w:rsid w:val="00D95801"/>
    <w:rsid w:val="00D95844"/>
    <w:rsid w:val="00D95C52"/>
    <w:rsid w:val="00D95C5B"/>
    <w:rsid w:val="00D96B6F"/>
    <w:rsid w:val="00D97D15"/>
    <w:rsid w:val="00DA0753"/>
    <w:rsid w:val="00DA0CA4"/>
    <w:rsid w:val="00DA156B"/>
    <w:rsid w:val="00DA405A"/>
    <w:rsid w:val="00DA5614"/>
    <w:rsid w:val="00DA56C7"/>
    <w:rsid w:val="00DA5A45"/>
    <w:rsid w:val="00DA6671"/>
    <w:rsid w:val="00DB1412"/>
    <w:rsid w:val="00DB2E07"/>
    <w:rsid w:val="00DB35EF"/>
    <w:rsid w:val="00DB56BB"/>
    <w:rsid w:val="00DB5EA1"/>
    <w:rsid w:val="00DB7471"/>
    <w:rsid w:val="00DC17C1"/>
    <w:rsid w:val="00DC25DB"/>
    <w:rsid w:val="00DC2728"/>
    <w:rsid w:val="00DC3470"/>
    <w:rsid w:val="00DC39B0"/>
    <w:rsid w:val="00DC3D6E"/>
    <w:rsid w:val="00DC4457"/>
    <w:rsid w:val="00DC4BC3"/>
    <w:rsid w:val="00DC5822"/>
    <w:rsid w:val="00DD0237"/>
    <w:rsid w:val="00DD03BF"/>
    <w:rsid w:val="00DD0EB6"/>
    <w:rsid w:val="00DD17BA"/>
    <w:rsid w:val="00DD2307"/>
    <w:rsid w:val="00DD4546"/>
    <w:rsid w:val="00DD5719"/>
    <w:rsid w:val="00DD6010"/>
    <w:rsid w:val="00DD6028"/>
    <w:rsid w:val="00DD694B"/>
    <w:rsid w:val="00DD727B"/>
    <w:rsid w:val="00DE046B"/>
    <w:rsid w:val="00DE1945"/>
    <w:rsid w:val="00DE346F"/>
    <w:rsid w:val="00DE4188"/>
    <w:rsid w:val="00DE6A90"/>
    <w:rsid w:val="00DE6ABE"/>
    <w:rsid w:val="00DE77D3"/>
    <w:rsid w:val="00DE7FE0"/>
    <w:rsid w:val="00DF13B2"/>
    <w:rsid w:val="00DF2762"/>
    <w:rsid w:val="00DF4AC4"/>
    <w:rsid w:val="00DF4F20"/>
    <w:rsid w:val="00DF50C6"/>
    <w:rsid w:val="00DF62EA"/>
    <w:rsid w:val="00DF704F"/>
    <w:rsid w:val="00DF765A"/>
    <w:rsid w:val="00DF7EFA"/>
    <w:rsid w:val="00E00672"/>
    <w:rsid w:val="00E01020"/>
    <w:rsid w:val="00E01208"/>
    <w:rsid w:val="00E02435"/>
    <w:rsid w:val="00E02559"/>
    <w:rsid w:val="00E028A9"/>
    <w:rsid w:val="00E02B80"/>
    <w:rsid w:val="00E04338"/>
    <w:rsid w:val="00E04AAE"/>
    <w:rsid w:val="00E060D1"/>
    <w:rsid w:val="00E061C5"/>
    <w:rsid w:val="00E065D2"/>
    <w:rsid w:val="00E07CE2"/>
    <w:rsid w:val="00E10C05"/>
    <w:rsid w:val="00E122A0"/>
    <w:rsid w:val="00E12AF5"/>
    <w:rsid w:val="00E14F7F"/>
    <w:rsid w:val="00E154B1"/>
    <w:rsid w:val="00E161B6"/>
    <w:rsid w:val="00E17FD7"/>
    <w:rsid w:val="00E21160"/>
    <w:rsid w:val="00E21252"/>
    <w:rsid w:val="00E246FF"/>
    <w:rsid w:val="00E25475"/>
    <w:rsid w:val="00E261E9"/>
    <w:rsid w:val="00E26A97"/>
    <w:rsid w:val="00E26E8B"/>
    <w:rsid w:val="00E27893"/>
    <w:rsid w:val="00E302E6"/>
    <w:rsid w:val="00E31A08"/>
    <w:rsid w:val="00E31B11"/>
    <w:rsid w:val="00E321C1"/>
    <w:rsid w:val="00E32820"/>
    <w:rsid w:val="00E331D7"/>
    <w:rsid w:val="00E33A97"/>
    <w:rsid w:val="00E33DDB"/>
    <w:rsid w:val="00E34F2A"/>
    <w:rsid w:val="00E35C28"/>
    <w:rsid w:val="00E35C37"/>
    <w:rsid w:val="00E36102"/>
    <w:rsid w:val="00E3668B"/>
    <w:rsid w:val="00E3711F"/>
    <w:rsid w:val="00E37E49"/>
    <w:rsid w:val="00E404A9"/>
    <w:rsid w:val="00E40722"/>
    <w:rsid w:val="00E42A2A"/>
    <w:rsid w:val="00E430FC"/>
    <w:rsid w:val="00E439BA"/>
    <w:rsid w:val="00E441B6"/>
    <w:rsid w:val="00E455AB"/>
    <w:rsid w:val="00E459BC"/>
    <w:rsid w:val="00E47826"/>
    <w:rsid w:val="00E50EED"/>
    <w:rsid w:val="00E50F14"/>
    <w:rsid w:val="00E52711"/>
    <w:rsid w:val="00E5295F"/>
    <w:rsid w:val="00E533DD"/>
    <w:rsid w:val="00E548DF"/>
    <w:rsid w:val="00E55407"/>
    <w:rsid w:val="00E5685A"/>
    <w:rsid w:val="00E56F54"/>
    <w:rsid w:val="00E60414"/>
    <w:rsid w:val="00E604ED"/>
    <w:rsid w:val="00E60E01"/>
    <w:rsid w:val="00E61D57"/>
    <w:rsid w:val="00E61D9F"/>
    <w:rsid w:val="00E64DBC"/>
    <w:rsid w:val="00E665D2"/>
    <w:rsid w:val="00E66BF7"/>
    <w:rsid w:val="00E6779D"/>
    <w:rsid w:val="00E67A27"/>
    <w:rsid w:val="00E70F09"/>
    <w:rsid w:val="00E710EC"/>
    <w:rsid w:val="00E71578"/>
    <w:rsid w:val="00E735A9"/>
    <w:rsid w:val="00E73FB7"/>
    <w:rsid w:val="00E744D6"/>
    <w:rsid w:val="00E75F29"/>
    <w:rsid w:val="00E7621B"/>
    <w:rsid w:val="00E76DCE"/>
    <w:rsid w:val="00E77150"/>
    <w:rsid w:val="00E8058D"/>
    <w:rsid w:val="00E80F75"/>
    <w:rsid w:val="00E8166C"/>
    <w:rsid w:val="00E83E7F"/>
    <w:rsid w:val="00E848A4"/>
    <w:rsid w:val="00E85527"/>
    <w:rsid w:val="00E85CF5"/>
    <w:rsid w:val="00E86019"/>
    <w:rsid w:val="00E867B1"/>
    <w:rsid w:val="00E87494"/>
    <w:rsid w:val="00E9102C"/>
    <w:rsid w:val="00E91057"/>
    <w:rsid w:val="00E91C50"/>
    <w:rsid w:val="00E91D40"/>
    <w:rsid w:val="00E9359E"/>
    <w:rsid w:val="00E935A4"/>
    <w:rsid w:val="00E95BD5"/>
    <w:rsid w:val="00EA0416"/>
    <w:rsid w:val="00EA1ECD"/>
    <w:rsid w:val="00EA2202"/>
    <w:rsid w:val="00EA26FF"/>
    <w:rsid w:val="00EA28D2"/>
    <w:rsid w:val="00EA407B"/>
    <w:rsid w:val="00EA43D0"/>
    <w:rsid w:val="00EA469D"/>
    <w:rsid w:val="00EA553C"/>
    <w:rsid w:val="00EA58EC"/>
    <w:rsid w:val="00EA5EA1"/>
    <w:rsid w:val="00EA6901"/>
    <w:rsid w:val="00EA7F07"/>
    <w:rsid w:val="00EA7F65"/>
    <w:rsid w:val="00EB19CF"/>
    <w:rsid w:val="00EB214A"/>
    <w:rsid w:val="00EB40F0"/>
    <w:rsid w:val="00EB4D79"/>
    <w:rsid w:val="00EB50D4"/>
    <w:rsid w:val="00EB63C9"/>
    <w:rsid w:val="00EB64C6"/>
    <w:rsid w:val="00EB662A"/>
    <w:rsid w:val="00EC0940"/>
    <w:rsid w:val="00EC1C17"/>
    <w:rsid w:val="00EC23B9"/>
    <w:rsid w:val="00EC24BF"/>
    <w:rsid w:val="00EC373D"/>
    <w:rsid w:val="00EC3D94"/>
    <w:rsid w:val="00EC3EA8"/>
    <w:rsid w:val="00EC40AC"/>
    <w:rsid w:val="00EC424D"/>
    <w:rsid w:val="00EC476D"/>
    <w:rsid w:val="00EC570A"/>
    <w:rsid w:val="00EC578C"/>
    <w:rsid w:val="00EC615B"/>
    <w:rsid w:val="00EC6E69"/>
    <w:rsid w:val="00EC6F7F"/>
    <w:rsid w:val="00ED1765"/>
    <w:rsid w:val="00ED1BF7"/>
    <w:rsid w:val="00ED2940"/>
    <w:rsid w:val="00ED31D2"/>
    <w:rsid w:val="00ED3538"/>
    <w:rsid w:val="00ED4EF6"/>
    <w:rsid w:val="00ED57AD"/>
    <w:rsid w:val="00ED6813"/>
    <w:rsid w:val="00EE0152"/>
    <w:rsid w:val="00EE1974"/>
    <w:rsid w:val="00EE345F"/>
    <w:rsid w:val="00EE419F"/>
    <w:rsid w:val="00EE479C"/>
    <w:rsid w:val="00EE5B25"/>
    <w:rsid w:val="00EE67E0"/>
    <w:rsid w:val="00EE7576"/>
    <w:rsid w:val="00EF1CDC"/>
    <w:rsid w:val="00EF3C37"/>
    <w:rsid w:val="00EF3F04"/>
    <w:rsid w:val="00EF415A"/>
    <w:rsid w:val="00EF4980"/>
    <w:rsid w:val="00EF5230"/>
    <w:rsid w:val="00EF5792"/>
    <w:rsid w:val="00EF69C3"/>
    <w:rsid w:val="00EF6E97"/>
    <w:rsid w:val="00F002DE"/>
    <w:rsid w:val="00F01DD6"/>
    <w:rsid w:val="00F01EC3"/>
    <w:rsid w:val="00F02987"/>
    <w:rsid w:val="00F02CD1"/>
    <w:rsid w:val="00F02F18"/>
    <w:rsid w:val="00F03CE1"/>
    <w:rsid w:val="00F05F11"/>
    <w:rsid w:val="00F10D4A"/>
    <w:rsid w:val="00F10FE0"/>
    <w:rsid w:val="00F1186C"/>
    <w:rsid w:val="00F120DD"/>
    <w:rsid w:val="00F134C3"/>
    <w:rsid w:val="00F143B6"/>
    <w:rsid w:val="00F15727"/>
    <w:rsid w:val="00F16F22"/>
    <w:rsid w:val="00F17CE3"/>
    <w:rsid w:val="00F20E36"/>
    <w:rsid w:val="00F21A3C"/>
    <w:rsid w:val="00F21F84"/>
    <w:rsid w:val="00F230D3"/>
    <w:rsid w:val="00F24DEC"/>
    <w:rsid w:val="00F24F41"/>
    <w:rsid w:val="00F27275"/>
    <w:rsid w:val="00F273FD"/>
    <w:rsid w:val="00F3096D"/>
    <w:rsid w:val="00F3182C"/>
    <w:rsid w:val="00F3214B"/>
    <w:rsid w:val="00F32C5C"/>
    <w:rsid w:val="00F332BA"/>
    <w:rsid w:val="00F33B03"/>
    <w:rsid w:val="00F3487F"/>
    <w:rsid w:val="00F35008"/>
    <w:rsid w:val="00F355A6"/>
    <w:rsid w:val="00F362E5"/>
    <w:rsid w:val="00F37D5F"/>
    <w:rsid w:val="00F40CB3"/>
    <w:rsid w:val="00F410EE"/>
    <w:rsid w:val="00F4216F"/>
    <w:rsid w:val="00F42AAD"/>
    <w:rsid w:val="00F43AC0"/>
    <w:rsid w:val="00F459B2"/>
    <w:rsid w:val="00F45EA5"/>
    <w:rsid w:val="00F469E7"/>
    <w:rsid w:val="00F474B7"/>
    <w:rsid w:val="00F47A15"/>
    <w:rsid w:val="00F51F6B"/>
    <w:rsid w:val="00F5229F"/>
    <w:rsid w:val="00F527C9"/>
    <w:rsid w:val="00F54014"/>
    <w:rsid w:val="00F543F2"/>
    <w:rsid w:val="00F5446E"/>
    <w:rsid w:val="00F5557A"/>
    <w:rsid w:val="00F5637F"/>
    <w:rsid w:val="00F56795"/>
    <w:rsid w:val="00F56B9C"/>
    <w:rsid w:val="00F57C97"/>
    <w:rsid w:val="00F60759"/>
    <w:rsid w:val="00F60EC9"/>
    <w:rsid w:val="00F618A0"/>
    <w:rsid w:val="00F625B2"/>
    <w:rsid w:val="00F642A9"/>
    <w:rsid w:val="00F650D7"/>
    <w:rsid w:val="00F6567F"/>
    <w:rsid w:val="00F66B8D"/>
    <w:rsid w:val="00F67D6D"/>
    <w:rsid w:val="00F7019D"/>
    <w:rsid w:val="00F70524"/>
    <w:rsid w:val="00F7078C"/>
    <w:rsid w:val="00F7148E"/>
    <w:rsid w:val="00F722FF"/>
    <w:rsid w:val="00F724B0"/>
    <w:rsid w:val="00F72E72"/>
    <w:rsid w:val="00F778D7"/>
    <w:rsid w:val="00F80422"/>
    <w:rsid w:val="00F80937"/>
    <w:rsid w:val="00F8172A"/>
    <w:rsid w:val="00F82605"/>
    <w:rsid w:val="00F826E9"/>
    <w:rsid w:val="00F83A48"/>
    <w:rsid w:val="00F86C7D"/>
    <w:rsid w:val="00F86E31"/>
    <w:rsid w:val="00F87B49"/>
    <w:rsid w:val="00F87E1D"/>
    <w:rsid w:val="00F87F56"/>
    <w:rsid w:val="00F87F97"/>
    <w:rsid w:val="00F913AE"/>
    <w:rsid w:val="00F91C4F"/>
    <w:rsid w:val="00F92087"/>
    <w:rsid w:val="00F92FDC"/>
    <w:rsid w:val="00F9310D"/>
    <w:rsid w:val="00F941D5"/>
    <w:rsid w:val="00F941D9"/>
    <w:rsid w:val="00F94E7E"/>
    <w:rsid w:val="00F94F6C"/>
    <w:rsid w:val="00FA1370"/>
    <w:rsid w:val="00FA16F8"/>
    <w:rsid w:val="00FA22C6"/>
    <w:rsid w:val="00FA26FC"/>
    <w:rsid w:val="00FA3046"/>
    <w:rsid w:val="00FA3458"/>
    <w:rsid w:val="00FA3624"/>
    <w:rsid w:val="00FA36E4"/>
    <w:rsid w:val="00FA52CB"/>
    <w:rsid w:val="00FA58A3"/>
    <w:rsid w:val="00FA5B90"/>
    <w:rsid w:val="00FA61CB"/>
    <w:rsid w:val="00FA7156"/>
    <w:rsid w:val="00FB07B5"/>
    <w:rsid w:val="00FB0CDA"/>
    <w:rsid w:val="00FB0D9B"/>
    <w:rsid w:val="00FB1BF1"/>
    <w:rsid w:val="00FB272D"/>
    <w:rsid w:val="00FB4360"/>
    <w:rsid w:val="00FB5616"/>
    <w:rsid w:val="00FB5979"/>
    <w:rsid w:val="00FB7CD2"/>
    <w:rsid w:val="00FC0071"/>
    <w:rsid w:val="00FC065E"/>
    <w:rsid w:val="00FC0AA8"/>
    <w:rsid w:val="00FC1D2B"/>
    <w:rsid w:val="00FC28B6"/>
    <w:rsid w:val="00FC3FC0"/>
    <w:rsid w:val="00FC5102"/>
    <w:rsid w:val="00FC592E"/>
    <w:rsid w:val="00FC5B40"/>
    <w:rsid w:val="00FC7787"/>
    <w:rsid w:val="00FD1486"/>
    <w:rsid w:val="00FD2D77"/>
    <w:rsid w:val="00FD4846"/>
    <w:rsid w:val="00FD512F"/>
    <w:rsid w:val="00FD54D2"/>
    <w:rsid w:val="00FD5F88"/>
    <w:rsid w:val="00FD64AC"/>
    <w:rsid w:val="00FD71AB"/>
    <w:rsid w:val="00FD7F4D"/>
    <w:rsid w:val="00FE2122"/>
    <w:rsid w:val="00FE33FB"/>
    <w:rsid w:val="00FE3727"/>
    <w:rsid w:val="00FE4404"/>
    <w:rsid w:val="00FE47A0"/>
    <w:rsid w:val="00FE5E0D"/>
    <w:rsid w:val="00FE6AAE"/>
    <w:rsid w:val="00FE6F5C"/>
    <w:rsid w:val="00FF0FCC"/>
    <w:rsid w:val="00FF409B"/>
    <w:rsid w:val="00FF6973"/>
    <w:rsid w:val="00FF78CA"/>
    <w:rsid w:val="0143D77B"/>
    <w:rsid w:val="01CB34A8"/>
    <w:rsid w:val="0277F3D8"/>
    <w:rsid w:val="03C6F919"/>
    <w:rsid w:val="047DC9A8"/>
    <w:rsid w:val="0634A7D0"/>
    <w:rsid w:val="07CDCAF5"/>
    <w:rsid w:val="086C8A17"/>
    <w:rsid w:val="09C69F4D"/>
    <w:rsid w:val="0A7EE6A9"/>
    <w:rsid w:val="0AF835F2"/>
    <w:rsid w:val="0B04D43F"/>
    <w:rsid w:val="0C174D8D"/>
    <w:rsid w:val="0E215E64"/>
    <w:rsid w:val="0EB559DE"/>
    <w:rsid w:val="0FA46B0F"/>
    <w:rsid w:val="102BE772"/>
    <w:rsid w:val="11C0DFC1"/>
    <w:rsid w:val="11CFD72F"/>
    <w:rsid w:val="12819FCA"/>
    <w:rsid w:val="12BBDF6D"/>
    <w:rsid w:val="134C263F"/>
    <w:rsid w:val="144BA8F9"/>
    <w:rsid w:val="16FAEF74"/>
    <w:rsid w:val="1716B21F"/>
    <w:rsid w:val="17AE9236"/>
    <w:rsid w:val="180A4241"/>
    <w:rsid w:val="1848AD6B"/>
    <w:rsid w:val="1AE58A1F"/>
    <w:rsid w:val="1BFB5E19"/>
    <w:rsid w:val="1EB9AAAC"/>
    <w:rsid w:val="2038486F"/>
    <w:rsid w:val="20BF6400"/>
    <w:rsid w:val="211C7301"/>
    <w:rsid w:val="2125F41E"/>
    <w:rsid w:val="222318F8"/>
    <w:rsid w:val="22F38FF7"/>
    <w:rsid w:val="23250DCF"/>
    <w:rsid w:val="2371DDBF"/>
    <w:rsid w:val="23FA63EA"/>
    <w:rsid w:val="240E32AA"/>
    <w:rsid w:val="25C8A6BB"/>
    <w:rsid w:val="26FE1A52"/>
    <w:rsid w:val="2713AD8C"/>
    <w:rsid w:val="29BF84F1"/>
    <w:rsid w:val="2A07B920"/>
    <w:rsid w:val="2A157DDB"/>
    <w:rsid w:val="2A869A9D"/>
    <w:rsid w:val="2B109E63"/>
    <w:rsid w:val="2B23A7DC"/>
    <w:rsid w:val="2B6C0EC3"/>
    <w:rsid w:val="2B768BFF"/>
    <w:rsid w:val="2BF7EA4A"/>
    <w:rsid w:val="2CB1DDEA"/>
    <w:rsid w:val="2F0DBC2A"/>
    <w:rsid w:val="2F0E79FB"/>
    <w:rsid w:val="2FBD1AE7"/>
    <w:rsid w:val="2FCCAC15"/>
    <w:rsid w:val="3044A844"/>
    <w:rsid w:val="30DFF1D5"/>
    <w:rsid w:val="315BDFA5"/>
    <w:rsid w:val="31C51D42"/>
    <w:rsid w:val="329A7981"/>
    <w:rsid w:val="32CFB563"/>
    <w:rsid w:val="33260F49"/>
    <w:rsid w:val="33861CD5"/>
    <w:rsid w:val="33E4828D"/>
    <w:rsid w:val="34C8389E"/>
    <w:rsid w:val="3513BB52"/>
    <w:rsid w:val="3703926A"/>
    <w:rsid w:val="3725E1E9"/>
    <w:rsid w:val="372B6ED8"/>
    <w:rsid w:val="376EC845"/>
    <w:rsid w:val="379E939E"/>
    <w:rsid w:val="37FA540F"/>
    <w:rsid w:val="3937C8F9"/>
    <w:rsid w:val="3A39F8DB"/>
    <w:rsid w:val="3B6193AD"/>
    <w:rsid w:val="3C213866"/>
    <w:rsid w:val="3CB2CBAE"/>
    <w:rsid w:val="3E8F5A22"/>
    <w:rsid w:val="407D75C9"/>
    <w:rsid w:val="411172A8"/>
    <w:rsid w:val="41A02E7C"/>
    <w:rsid w:val="4220C5B8"/>
    <w:rsid w:val="43909310"/>
    <w:rsid w:val="44568E38"/>
    <w:rsid w:val="4457BE8B"/>
    <w:rsid w:val="45752EFF"/>
    <w:rsid w:val="46FD8EE2"/>
    <w:rsid w:val="4722937D"/>
    <w:rsid w:val="477512F9"/>
    <w:rsid w:val="47D0D36A"/>
    <w:rsid w:val="48036028"/>
    <w:rsid w:val="49686C36"/>
    <w:rsid w:val="4B4320B0"/>
    <w:rsid w:val="4BED5A28"/>
    <w:rsid w:val="4C03A2E6"/>
    <w:rsid w:val="4C0D9AC9"/>
    <w:rsid w:val="4D1B1D91"/>
    <w:rsid w:val="4D2995E1"/>
    <w:rsid w:val="4D9544F9"/>
    <w:rsid w:val="4F7D942D"/>
    <w:rsid w:val="50C2B98B"/>
    <w:rsid w:val="52F3D2EA"/>
    <w:rsid w:val="531B0EF0"/>
    <w:rsid w:val="53B5635E"/>
    <w:rsid w:val="547737A2"/>
    <w:rsid w:val="5477DB4A"/>
    <w:rsid w:val="55120959"/>
    <w:rsid w:val="55DBEC29"/>
    <w:rsid w:val="560C89D3"/>
    <w:rsid w:val="564270FA"/>
    <w:rsid w:val="57369894"/>
    <w:rsid w:val="599B4427"/>
    <w:rsid w:val="5A526CAD"/>
    <w:rsid w:val="5C5A7003"/>
    <w:rsid w:val="5DC6809E"/>
    <w:rsid w:val="5E8A81B3"/>
    <w:rsid w:val="5FA3A8BC"/>
    <w:rsid w:val="61396E1C"/>
    <w:rsid w:val="615EC9E2"/>
    <w:rsid w:val="61E207A1"/>
    <w:rsid w:val="626B8B7D"/>
    <w:rsid w:val="629EF2AF"/>
    <w:rsid w:val="6413ECAC"/>
    <w:rsid w:val="6478C993"/>
    <w:rsid w:val="650918B8"/>
    <w:rsid w:val="65F76BD8"/>
    <w:rsid w:val="66673FE5"/>
    <w:rsid w:val="66A3B960"/>
    <w:rsid w:val="675335AB"/>
    <w:rsid w:val="677862D0"/>
    <w:rsid w:val="683702DD"/>
    <w:rsid w:val="68D6E1B1"/>
    <w:rsid w:val="69BAD528"/>
    <w:rsid w:val="6A135A23"/>
    <w:rsid w:val="6D97B5CF"/>
    <w:rsid w:val="6E38CA38"/>
    <w:rsid w:val="71501DFD"/>
    <w:rsid w:val="72037D59"/>
    <w:rsid w:val="721F36FE"/>
    <w:rsid w:val="7230866B"/>
    <w:rsid w:val="726382EB"/>
    <w:rsid w:val="73A29971"/>
    <w:rsid w:val="7A2C55B7"/>
    <w:rsid w:val="7A379243"/>
    <w:rsid w:val="7B42845A"/>
    <w:rsid w:val="7CF47D6B"/>
    <w:rsid w:val="7DA482B4"/>
    <w:rsid w:val="7E691A9F"/>
    <w:rsid w:val="7E73FEF9"/>
    <w:rsid w:val="7F3421C2"/>
    <w:rsid w:val="7FD363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B34EAB"/>
  <w15:docId w15:val="{985EFCB2-F8F0-4B60-A0E5-C266137D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1C39A1"/>
    <w:pPr>
      <w:spacing w:after="120"/>
    </w:pPr>
    <w:rPr>
      <w:rFonts w:ascii="Oxfam TSTAR PRO" w:hAnsi="Oxfam TSTAR PRO"/>
      <w:sz w:val="22"/>
      <w:lang w:eastAsia="en-US"/>
    </w:rPr>
  </w:style>
  <w:style w:type="paragraph" w:styleId="Heading1">
    <w:name w:val="heading 1"/>
    <w:basedOn w:val="Normal"/>
    <w:next w:val="Normal"/>
    <w:uiPriority w:val="4"/>
    <w:qFormat/>
    <w:rsid w:val="00773E90"/>
    <w:pPr>
      <w:keepNext/>
      <w:keepLines/>
      <w:suppressAutoHyphens/>
      <w:autoSpaceDE w:val="0"/>
      <w:autoSpaceDN w:val="0"/>
      <w:adjustRightInd w:val="0"/>
      <w:spacing w:before="580" w:after="440"/>
      <w:outlineLvl w:val="0"/>
    </w:pPr>
    <w:rPr>
      <w:rFonts w:ascii="Oxfam TSTAR PRO Headline" w:hAnsi="Oxfam TSTAR PRO Headline" w:cs="Arial"/>
      <w:caps/>
      <w:color w:val="44841A"/>
      <w:spacing w:val="-4"/>
      <w:sz w:val="56"/>
      <w:szCs w:val="56"/>
      <w:lang w:bidi="en-US"/>
    </w:rPr>
  </w:style>
  <w:style w:type="paragraph" w:styleId="Heading2">
    <w:name w:val="heading 2"/>
    <w:basedOn w:val="Normal"/>
    <w:next w:val="Normal"/>
    <w:link w:val="Heading2Char"/>
    <w:uiPriority w:val="4"/>
    <w:qFormat/>
    <w:rsid w:val="00773E90"/>
    <w:pPr>
      <w:keepNext/>
      <w:keepLines/>
      <w:suppressAutoHyphens/>
      <w:autoSpaceDE w:val="0"/>
      <w:autoSpaceDN w:val="0"/>
      <w:adjustRightInd w:val="0"/>
      <w:spacing w:before="400" w:after="80" w:line="520" w:lineRule="atLeast"/>
      <w:outlineLvl w:val="1"/>
    </w:pPr>
    <w:rPr>
      <w:rFonts w:ascii="Oxfam TSTAR PRO Headline" w:hAnsi="Oxfam TSTAR PRO Headline" w:cs="Arial"/>
      <w:caps/>
      <w:color w:val="44841A"/>
      <w:spacing w:val="-2"/>
      <w:sz w:val="44"/>
      <w:szCs w:val="48"/>
      <w:lang w:bidi="en-US"/>
    </w:rPr>
  </w:style>
  <w:style w:type="paragraph" w:styleId="Heading3">
    <w:name w:val="heading 3"/>
    <w:basedOn w:val="Normal"/>
    <w:next w:val="Normal"/>
    <w:link w:val="Heading3Char"/>
    <w:uiPriority w:val="4"/>
    <w:qFormat/>
    <w:rsid w:val="00773E90"/>
    <w:pPr>
      <w:keepNext/>
      <w:keepLines/>
      <w:suppressAutoHyphens/>
      <w:autoSpaceDE w:val="0"/>
      <w:autoSpaceDN w:val="0"/>
      <w:adjustRightInd w:val="0"/>
      <w:spacing w:before="320" w:after="0" w:line="320" w:lineRule="atLeast"/>
      <w:outlineLvl w:val="2"/>
    </w:pPr>
    <w:rPr>
      <w:rFonts w:ascii="Oxfam TSTAR PRO Headline" w:hAnsi="Oxfam TSTAR PRO Headline" w:cs="Arial"/>
      <w:b/>
      <w:bCs/>
      <w:spacing w:val="-1"/>
      <w:sz w:val="32"/>
      <w:szCs w:val="32"/>
      <w:lang w:bidi="en-US"/>
    </w:rPr>
  </w:style>
  <w:style w:type="paragraph" w:styleId="Heading4">
    <w:name w:val="heading 4"/>
    <w:basedOn w:val="Normal"/>
    <w:next w:val="Normal"/>
    <w:link w:val="Heading4Char"/>
    <w:uiPriority w:val="4"/>
    <w:qFormat/>
    <w:rsid w:val="00773E90"/>
    <w:pPr>
      <w:widowControl w:val="0"/>
      <w:suppressAutoHyphens/>
      <w:autoSpaceDE w:val="0"/>
      <w:autoSpaceDN w:val="0"/>
      <w:adjustRightInd w:val="0"/>
      <w:spacing w:before="220" w:after="0" w:line="280" w:lineRule="atLeast"/>
      <w:outlineLvl w:val="3"/>
    </w:pPr>
    <w:rPr>
      <w:rFonts w:cs="Arial"/>
      <w:b/>
      <w:szCs w:val="22"/>
      <w:u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semiHidden/>
    <w:rsid w:val="00745152"/>
    <w:pPr>
      <w:widowControl w:val="0"/>
      <w:autoSpaceDE w:val="0"/>
      <w:autoSpaceDN w:val="0"/>
      <w:adjustRightInd w:val="0"/>
      <w:spacing w:line="288" w:lineRule="auto"/>
      <w:textAlignment w:val="center"/>
    </w:pPr>
    <w:rPr>
      <w:color w:val="000000"/>
      <w:sz w:val="24"/>
      <w:szCs w:val="24"/>
      <w:lang w:eastAsia="en-US" w:bidi="en-US"/>
    </w:rPr>
  </w:style>
  <w:style w:type="paragraph" w:customStyle="1" w:styleId="Text">
    <w:name w:val="Text"/>
    <w:basedOn w:val="NoParagraphStyle"/>
    <w:link w:val="TextChar"/>
    <w:uiPriority w:val="9"/>
    <w:qFormat/>
    <w:rsid w:val="00842CA7"/>
    <w:pPr>
      <w:suppressAutoHyphens/>
      <w:spacing w:before="220" w:line="280" w:lineRule="atLeast"/>
      <w:textAlignment w:val="auto"/>
    </w:pPr>
    <w:rPr>
      <w:rFonts w:ascii="Oxfam TSTAR PRO" w:hAnsi="Oxfam TSTAR PRO" w:cs="Arial"/>
      <w:sz w:val="22"/>
      <w:szCs w:val="22"/>
    </w:rPr>
  </w:style>
  <w:style w:type="paragraph" w:customStyle="1" w:styleId="Covertitle1">
    <w:name w:val="Cover title 1"/>
    <w:basedOn w:val="Normal"/>
    <w:rsid w:val="00DE6ABE"/>
    <w:pPr>
      <w:suppressAutoHyphens/>
      <w:spacing w:before="240" w:after="240" w:line="960" w:lineRule="exact"/>
    </w:pPr>
    <w:rPr>
      <w:rFonts w:ascii="Oxfam TSTAR PRO Headline" w:eastAsia="MS Mincho" w:hAnsi="Oxfam TSTAR PRO Headline"/>
      <w:noProof/>
      <w:color w:val="44841A"/>
      <w:kern w:val="20"/>
      <w:sz w:val="96"/>
      <w:szCs w:val="60"/>
      <w:lang w:eastAsia="en-GB"/>
    </w:rPr>
  </w:style>
  <w:style w:type="paragraph" w:customStyle="1" w:styleId="Covertitle2">
    <w:name w:val="Cover title 2"/>
    <w:basedOn w:val="Normal"/>
    <w:rsid w:val="00676C78"/>
    <w:pPr>
      <w:suppressAutoHyphens/>
      <w:spacing w:after="240"/>
      <w:ind w:right="-2948"/>
    </w:pPr>
    <w:rPr>
      <w:rFonts w:cs="Arial"/>
      <w:color w:val="44841A"/>
      <w:spacing w:val="-3"/>
      <w:sz w:val="36"/>
      <w:szCs w:val="36"/>
      <w:lang w:val="en-US" w:bidi="en-US"/>
    </w:rPr>
  </w:style>
  <w:style w:type="paragraph" w:customStyle="1" w:styleId="Pictureframenormal">
    <w:name w:val="Picture frame normal"/>
    <w:basedOn w:val="Text"/>
    <w:uiPriority w:val="49"/>
    <w:rsid w:val="00745152"/>
    <w:pPr>
      <w:tabs>
        <w:tab w:val="right" w:pos="6861"/>
      </w:tabs>
      <w:spacing w:line="240" w:lineRule="auto"/>
    </w:pPr>
    <w:rPr>
      <w:szCs w:val="24"/>
    </w:rPr>
  </w:style>
  <w:style w:type="paragraph" w:customStyle="1" w:styleId="Boxtext">
    <w:name w:val="Box text"/>
    <w:basedOn w:val="Text"/>
    <w:uiPriority w:val="19"/>
    <w:rsid w:val="004F426E"/>
    <w:pPr>
      <w:pBdr>
        <w:top w:val="single" w:sz="8" w:space="6" w:color="44841A" w:themeColor="accent1"/>
        <w:left w:val="single" w:sz="8" w:space="10" w:color="44841A" w:themeColor="accent1"/>
        <w:bottom w:val="single" w:sz="8" w:space="6" w:color="44841A" w:themeColor="accent1"/>
        <w:right w:val="single" w:sz="8" w:space="10" w:color="44841A" w:themeColor="accent1"/>
      </w:pBdr>
      <w:spacing w:before="80" w:after="40" w:line="260" w:lineRule="atLeast"/>
      <w:ind w:left="227" w:right="227"/>
    </w:pPr>
    <w:rPr>
      <w:sz w:val="20"/>
    </w:rPr>
  </w:style>
  <w:style w:type="paragraph" w:customStyle="1" w:styleId="Quotesidebar">
    <w:name w:val="Quote sidebar"/>
    <w:basedOn w:val="Text"/>
    <w:uiPriority w:val="39"/>
    <w:rsid w:val="000B418F"/>
    <w:pPr>
      <w:framePr w:w="2381" w:hSpace="181" w:vSpace="181" w:wrap="around" w:vAnchor="text" w:hAnchor="page" w:x="8619" w:y="12"/>
      <w:shd w:val="solid" w:color="FFFFFF" w:fill="FFFFFF"/>
      <w:spacing w:line="240" w:lineRule="auto"/>
    </w:pPr>
    <w:rPr>
      <w:bCs/>
      <w:i/>
      <w:iCs/>
      <w:color w:val="auto"/>
      <w:szCs w:val="24"/>
    </w:rPr>
  </w:style>
  <w:style w:type="paragraph" w:customStyle="1" w:styleId="Quotesource">
    <w:name w:val="Quote source"/>
    <w:basedOn w:val="Quotesidebar"/>
    <w:uiPriority w:val="39"/>
    <w:rsid w:val="00745152"/>
    <w:pPr>
      <w:framePr w:wrap="around"/>
      <w:spacing w:before="80"/>
    </w:pPr>
    <w:rPr>
      <w:i w:val="0"/>
      <w:sz w:val="16"/>
      <w:szCs w:val="18"/>
    </w:rPr>
  </w:style>
  <w:style w:type="paragraph" w:customStyle="1" w:styleId="Textlistbullet">
    <w:name w:val="Text list bullet"/>
    <w:basedOn w:val="Text"/>
    <w:uiPriority w:val="9"/>
    <w:qFormat/>
    <w:rsid w:val="00475392"/>
    <w:pPr>
      <w:numPr>
        <w:numId w:val="4"/>
      </w:numPr>
      <w:spacing w:before="100"/>
    </w:pPr>
  </w:style>
  <w:style w:type="paragraph" w:customStyle="1" w:styleId="Textlistnumbered">
    <w:name w:val="Text list numbered"/>
    <w:basedOn w:val="Text"/>
    <w:uiPriority w:val="9"/>
    <w:qFormat/>
    <w:rsid w:val="00745152"/>
    <w:pPr>
      <w:numPr>
        <w:ilvl w:val="1"/>
        <w:numId w:val="1"/>
      </w:numPr>
      <w:spacing w:before="100"/>
    </w:pPr>
  </w:style>
  <w:style w:type="paragraph" w:styleId="EndnoteText">
    <w:name w:val="endnote text"/>
    <w:basedOn w:val="Text"/>
    <w:link w:val="EndnoteTextChar"/>
    <w:uiPriority w:val="99"/>
    <w:rsid w:val="00250C88"/>
    <w:pPr>
      <w:autoSpaceDE/>
      <w:autoSpaceDN/>
      <w:spacing w:before="50" w:after="100" w:line="240" w:lineRule="auto"/>
      <w:ind w:left="284" w:hanging="284"/>
    </w:pPr>
    <w:rPr>
      <w:sz w:val="16"/>
      <w:szCs w:val="14"/>
    </w:rPr>
  </w:style>
  <w:style w:type="paragraph" w:customStyle="1" w:styleId="Sourcenormal">
    <w:name w:val="Source normal"/>
    <w:basedOn w:val="Tabletext"/>
    <w:uiPriority w:val="49"/>
    <w:rsid w:val="00745152"/>
    <w:pPr>
      <w:spacing w:before="80" w:after="80" w:line="200" w:lineRule="atLeast"/>
      <w:ind w:right="0"/>
    </w:pPr>
    <w:rPr>
      <w:sz w:val="16"/>
    </w:rPr>
  </w:style>
  <w:style w:type="paragraph" w:customStyle="1" w:styleId="Tabletext">
    <w:name w:val="Table text"/>
    <w:basedOn w:val="Text"/>
    <w:uiPriority w:val="29"/>
    <w:rsid w:val="00A424AA"/>
    <w:pPr>
      <w:spacing w:before="40" w:after="40" w:line="240" w:lineRule="atLeast"/>
      <w:ind w:right="113"/>
    </w:pPr>
    <w:rPr>
      <w:sz w:val="20"/>
      <w:szCs w:val="20"/>
    </w:rPr>
  </w:style>
  <w:style w:type="paragraph" w:customStyle="1" w:styleId="Tabletextlistbullet">
    <w:name w:val="Table text list bullet"/>
    <w:basedOn w:val="Tabletext"/>
    <w:uiPriority w:val="29"/>
    <w:rsid w:val="00092987"/>
    <w:pPr>
      <w:numPr>
        <w:numId w:val="5"/>
      </w:numPr>
    </w:pPr>
  </w:style>
  <w:style w:type="paragraph" w:customStyle="1" w:styleId="Tableheading1">
    <w:name w:val="Table heading 1"/>
    <w:basedOn w:val="Tabletext"/>
    <w:uiPriority w:val="29"/>
    <w:rsid w:val="00745152"/>
    <w:rPr>
      <w:b/>
    </w:rPr>
  </w:style>
  <w:style w:type="paragraph" w:customStyle="1" w:styleId="Coverintroduction">
    <w:name w:val="Cover introduction"/>
    <w:basedOn w:val="Text"/>
    <w:rsid w:val="00745152"/>
    <w:rPr>
      <w:b/>
      <w:bCs/>
    </w:rPr>
  </w:style>
  <w:style w:type="paragraph" w:customStyle="1" w:styleId="Picturecaptionnormal">
    <w:name w:val="Picture caption normal"/>
    <w:basedOn w:val="Tablecaption"/>
    <w:uiPriority w:val="49"/>
    <w:rsid w:val="00BD0E3B"/>
    <w:pPr>
      <w:spacing w:before="120" w:after="320" w:line="200" w:lineRule="atLeast"/>
    </w:pPr>
    <w:rPr>
      <w:b w:val="0"/>
      <w:bCs w:val="0"/>
      <w:sz w:val="16"/>
    </w:rPr>
  </w:style>
  <w:style w:type="paragraph" w:customStyle="1" w:styleId="Tablecaption">
    <w:name w:val="Table caption"/>
    <w:basedOn w:val="Tableheading1"/>
    <w:uiPriority w:val="29"/>
    <w:rsid w:val="00B31643"/>
    <w:pPr>
      <w:spacing w:before="240" w:after="80"/>
    </w:pPr>
    <w:rPr>
      <w:bCs/>
      <w:color w:val="auto"/>
      <w:sz w:val="22"/>
      <w:szCs w:val="22"/>
    </w:rPr>
  </w:style>
  <w:style w:type="character" w:styleId="FootnoteReference">
    <w:name w:val="footnote reference"/>
    <w:aliases w:val="4_G"/>
    <w:basedOn w:val="DefaultParagraphFont"/>
    <w:uiPriority w:val="99"/>
    <w:rsid w:val="00745152"/>
    <w:rPr>
      <w:vertAlign w:val="superscript"/>
    </w:rPr>
  </w:style>
  <w:style w:type="character" w:customStyle="1" w:styleId="ChapterNumber">
    <w:name w:val="Chapter Number"/>
    <w:semiHidden/>
    <w:rsid w:val="00745152"/>
    <w:rPr>
      <w:rFonts w:ascii="Arial Black" w:hAnsi="Arial Black" w:cs="Arial Black"/>
      <w:color w:val="808080"/>
    </w:rPr>
  </w:style>
  <w:style w:type="table" w:styleId="LightList-Accent3">
    <w:name w:val="Light List Accent 3"/>
    <w:basedOn w:val="TableNormal"/>
    <w:uiPriority w:val="61"/>
    <w:rsid w:val="00CA7E55"/>
    <w:tblPr>
      <w:tblStyleRowBandSize w:val="1"/>
      <w:tblStyleColBandSize w:val="1"/>
      <w:tblBorders>
        <w:top w:val="single" w:sz="8" w:space="0" w:color="53297D" w:themeColor="accent3"/>
        <w:left w:val="single" w:sz="8" w:space="0" w:color="53297D" w:themeColor="accent3"/>
        <w:bottom w:val="single" w:sz="8" w:space="0" w:color="53297D" w:themeColor="accent3"/>
        <w:right w:val="single" w:sz="8" w:space="0" w:color="53297D" w:themeColor="accent3"/>
      </w:tblBorders>
    </w:tblPr>
    <w:tblStylePr w:type="firstRow">
      <w:pPr>
        <w:spacing w:before="0" w:after="0" w:line="240" w:lineRule="auto"/>
      </w:pPr>
      <w:rPr>
        <w:b/>
        <w:bCs/>
        <w:color w:val="FFFFFF" w:themeColor="background1"/>
      </w:rPr>
      <w:tblPr/>
      <w:tcPr>
        <w:shd w:val="clear" w:color="auto" w:fill="53297D" w:themeFill="accent3"/>
      </w:tcPr>
    </w:tblStylePr>
    <w:tblStylePr w:type="lastRow">
      <w:pPr>
        <w:spacing w:before="0" w:after="0" w:line="240" w:lineRule="auto"/>
      </w:pPr>
      <w:rPr>
        <w:b/>
        <w:bCs/>
      </w:rPr>
      <w:tblPr/>
      <w:tcPr>
        <w:tcBorders>
          <w:top w:val="double" w:sz="6" w:space="0" w:color="53297D" w:themeColor="accent3"/>
          <w:left w:val="single" w:sz="8" w:space="0" w:color="53297D" w:themeColor="accent3"/>
          <w:bottom w:val="single" w:sz="8" w:space="0" w:color="53297D" w:themeColor="accent3"/>
          <w:right w:val="single" w:sz="8" w:space="0" w:color="53297D" w:themeColor="accent3"/>
        </w:tcBorders>
      </w:tcPr>
    </w:tblStylePr>
    <w:tblStylePr w:type="firstCol">
      <w:rPr>
        <w:b/>
        <w:bCs/>
      </w:rPr>
    </w:tblStylePr>
    <w:tblStylePr w:type="lastCol">
      <w:rPr>
        <w:b/>
        <w:bCs/>
      </w:rPr>
    </w:tblStylePr>
    <w:tblStylePr w:type="band1Vert">
      <w:tblPr/>
      <w:tcPr>
        <w:tcBorders>
          <w:top w:val="single" w:sz="8" w:space="0" w:color="53297D" w:themeColor="accent3"/>
          <w:left w:val="single" w:sz="8" w:space="0" w:color="53297D" w:themeColor="accent3"/>
          <w:bottom w:val="single" w:sz="8" w:space="0" w:color="53297D" w:themeColor="accent3"/>
          <w:right w:val="single" w:sz="8" w:space="0" w:color="53297D" w:themeColor="accent3"/>
        </w:tcBorders>
      </w:tcPr>
    </w:tblStylePr>
    <w:tblStylePr w:type="band1Horz">
      <w:tblPr/>
      <w:tcPr>
        <w:tcBorders>
          <w:top w:val="single" w:sz="8" w:space="0" w:color="53297D" w:themeColor="accent3"/>
          <w:left w:val="single" w:sz="8" w:space="0" w:color="53297D" w:themeColor="accent3"/>
          <w:bottom w:val="single" w:sz="8" w:space="0" w:color="53297D" w:themeColor="accent3"/>
          <w:right w:val="single" w:sz="8" w:space="0" w:color="53297D" w:themeColor="accent3"/>
        </w:tcBorders>
      </w:tcPr>
    </w:tblStylePr>
  </w:style>
  <w:style w:type="paragraph" w:customStyle="1" w:styleId="ExecutiveSummarytext">
    <w:name w:val="Executive Summary text"/>
    <w:semiHidden/>
    <w:rsid w:val="00745152"/>
    <w:pPr>
      <w:spacing w:after="160"/>
    </w:pPr>
    <w:rPr>
      <w:rFonts w:ascii="Arial" w:hAnsi="Arial"/>
      <w:noProof/>
      <w:lang w:eastAsia="en-US"/>
    </w:rPr>
  </w:style>
  <w:style w:type="paragraph" w:styleId="Footer">
    <w:name w:val="footer"/>
    <w:basedOn w:val="Normal"/>
    <w:link w:val="FooterChar"/>
    <w:uiPriority w:val="99"/>
    <w:semiHidden/>
    <w:rsid w:val="007A5311"/>
    <w:pPr>
      <w:tabs>
        <w:tab w:val="center" w:pos="4320"/>
        <w:tab w:val="right" w:pos="8640"/>
      </w:tabs>
      <w:adjustRightInd w:val="0"/>
      <w:snapToGrid w:val="0"/>
      <w:spacing w:after="0"/>
    </w:pPr>
    <w:rPr>
      <w:snapToGrid w:val="0"/>
      <w:sz w:val="18"/>
      <w:szCs w:val="18"/>
    </w:rPr>
  </w:style>
  <w:style w:type="character" w:styleId="PageNumber">
    <w:name w:val="page number"/>
    <w:basedOn w:val="DefaultParagraphFont"/>
    <w:semiHidden/>
    <w:rsid w:val="00745152"/>
    <w:rPr>
      <w:rFonts w:ascii="Arial" w:hAnsi="Arial"/>
      <w:sz w:val="18"/>
    </w:rPr>
  </w:style>
  <w:style w:type="paragraph" w:customStyle="1" w:styleId="BasicParagraph">
    <w:name w:val="[Basic Paragraph]"/>
    <w:basedOn w:val="NoParagraphStyle"/>
    <w:rsid w:val="00745152"/>
  </w:style>
  <w:style w:type="paragraph" w:customStyle="1" w:styleId="Tabletextlistnumbered">
    <w:name w:val="Table text list numbered"/>
    <w:basedOn w:val="Tabletext"/>
    <w:uiPriority w:val="29"/>
    <w:rsid w:val="00745152"/>
    <w:pPr>
      <w:numPr>
        <w:ilvl w:val="1"/>
        <w:numId w:val="5"/>
      </w:numPr>
    </w:pPr>
  </w:style>
  <w:style w:type="paragraph" w:styleId="PlainText">
    <w:name w:val="Plain Text"/>
    <w:basedOn w:val="Normal"/>
    <w:semiHidden/>
    <w:rsid w:val="00745152"/>
    <w:pPr>
      <w:spacing w:after="0"/>
    </w:pPr>
    <w:rPr>
      <w:rFonts w:ascii="Courier New" w:hAnsi="Courier New" w:cs="Courier New"/>
      <w:sz w:val="20"/>
    </w:rPr>
  </w:style>
  <w:style w:type="paragraph" w:customStyle="1" w:styleId="Boxtextlistbullet">
    <w:name w:val="Box text list bullet"/>
    <w:basedOn w:val="Boxtext"/>
    <w:uiPriority w:val="19"/>
    <w:rsid w:val="005953A3"/>
    <w:pPr>
      <w:numPr>
        <w:numId w:val="2"/>
      </w:numPr>
      <w:spacing w:before="0"/>
    </w:pPr>
  </w:style>
  <w:style w:type="paragraph" w:customStyle="1" w:styleId="Endcredits">
    <w:name w:val="End credits"/>
    <w:basedOn w:val="Text"/>
    <w:uiPriority w:val="59"/>
    <w:rsid w:val="00842CA7"/>
    <w:pPr>
      <w:spacing w:before="180" w:line="260" w:lineRule="atLeast"/>
    </w:pPr>
    <w:rPr>
      <w:sz w:val="20"/>
      <w:szCs w:val="21"/>
    </w:rPr>
  </w:style>
  <w:style w:type="paragraph" w:customStyle="1" w:styleId="Boxtextlistnumbered">
    <w:name w:val="Box text list numbered"/>
    <w:basedOn w:val="Boxtextlistbullet"/>
    <w:uiPriority w:val="19"/>
    <w:rsid w:val="00F86C7D"/>
    <w:pPr>
      <w:numPr>
        <w:numId w:val="3"/>
      </w:numPr>
      <w:tabs>
        <w:tab w:val="clear" w:pos="397"/>
      </w:tabs>
      <w:ind w:left="511"/>
    </w:pPr>
  </w:style>
  <w:style w:type="paragraph" w:customStyle="1" w:styleId="Coverpaper">
    <w:name w:val="Cover paper"/>
    <w:basedOn w:val="Normal"/>
    <w:rsid w:val="003F4A9A"/>
    <w:pPr>
      <w:tabs>
        <w:tab w:val="right" w:pos="9979"/>
      </w:tabs>
      <w:ind w:right="-2835"/>
    </w:pPr>
    <w:rPr>
      <w:rFonts w:cs="Arial"/>
      <w:caps/>
      <w:spacing w:val="-5"/>
      <w:sz w:val="28"/>
      <w:szCs w:val="24"/>
      <w:lang w:bidi="en-US"/>
    </w:rPr>
  </w:style>
  <w:style w:type="paragraph" w:customStyle="1" w:styleId="Boxheading1">
    <w:name w:val="Box heading 1"/>
    <w:basedOn w:val="Boxtext"/>
    <w:uiPriority w:val="19"/>
    <w:rsid w:val="004F426E"/>
    <w:pPr>
      <w:keepNext/>
      <w:pBdr>
        <w:between w:val="single" w:sz="8" w:space="6" w:color="44841A" w:themeColor="accent1"/>
      </w:pBdr>
      <w:spacing w:before="260" w:after="60"/>
    </w:pPr>
    <w:rPr>
      <w:b/>
      <w:bCs/>
      <w:szCs w:val="20"/>
    </w:rPr>
  </w:style>
  <w:style w:type="paragraph" w:customStyle="1" w:styleId="Tableheading2">
    <w:name w:val="Table heading 2"/>
    <w:basedOn w:val="Tabletext"/>
    <w:uiPriority w:val="29"/>
    <w:rsid w:val="00745152"/>
    <w:rPr>
      <w:i/>
    </w:rPr>
  </w:style>
  <w:style w:type="paragraph" w:customStyle="1" w:styleId="Boxheading2">
    <w:name w:val="Box heading 2"/>
    <w:basedOn w:val="Boxtext"/>
    <w:uiPriority w:val="19"/>
    <w:rsid w:val="004F426E"/>
    <w:rPr>
      <w:b/>
      <w:i/>
    </w:rPr>
  </w:style>
  <w:style w:type="paragraph" w:customStyle="1" w:styleId="Sidebartext">
    <w:name w:val="Sidebar text"/>
    <w:basedOn w:val="Quotesource"/>
    <w:semiHidden/>
    <w:rsid w:val="00745152"/>
    <w:pPr>
      <w:framePr w:wrap="around"/>
      <w:spacing w:before="220"/>
    </w:pPr>
  </w:style>
  <w:style w:type="paragraph" w:styleId="FootnoteText">
    <w:name w:val="footnote text"/>
    <w:basedOn w:val="Normal"/>
    <w:uiPriority w:val="59"/>
    <w:semiHidden/>
    <w:rsid w:val="008961F0"/>
    <w:pPr>
      <w:pBdr>
        <w:top w:val="single" w:sz="2" w:space="6" w:color="44841A" w:themeColor="text2"/>
      </w:pBdr>
      <w:tabs>
        <w:tab w:val="left" w:pos="284"/>
      </w:tabs>
      <w:spacing w:before="50" w:after="50"/>
      <w:ind w:left="284" w:hanging="284"/>
    </w:pPr>
    <w:rPr>
      <w:sz w:val="16"/>
      <w:szCs w:val="24"/>
    </w:rPr>
  </w:style>
  <w:style w:type="character" w:styleId="EndnoteReference">
    <w:name w:val="endnote reference"/>
    <w:basedOn w:val="DefaultParagraphFont"/>
    <w:uiPriority w:val="99"/>
    <w:semiHidden/>
    <w:rsid w:val="00752763"/>
    <w:rPr>
      <w:color w:val="auto"/>
      <w:vertAlign w:val="superscript"/>
    </w:rPr>
  </w:style>
  <w:style w:type="paragraph" w:customStyle="1" w:styleId="Coverembargo">
    <w:name w:val="Cover embargo"/>
    <w:basedOn w:val="Normal"/>
    <w:rsid w:val="0029502C"/>
    <w:pPr>
      <w:suppressAutoHyphens/>
      <w:autoSpaceDE w:val="0"/>
      <w:autoSpaceDN w:val="0"/>
      <w:adjustRightInd w:val="0"/>
      <w:spacing w:before="280" w:after="0" w:line="280" w:lineRule="atLeast"/>
    </w:pPr>
    <w:rPr>
      <w:rFonts w:cs="Arial"/>
      <w:b/>
      <w:bCs/>
      <w:color w:val="0B9CDA" w:themeColor="accent2"/>
      <w:sz w:val="20"/>
      <w:lang w:bidi="en-US"/>
    </w:rPr>
  </w:style>
  <w:style w:type="paragraph" w:customStyle="1" w:styleId="Sourcewide">
    <w:name w:val="Source wide"/>
    <w:basedOn w:val="Picturecaptionnormal"/>
    <w:uiPriority w:val="49"/>
    <w:rsid w:val="007651B4"/>
  </w:style>
  <w:style w:type="paragraph" w:styleId="Header">
    <w:name w:val="header"/>
    <w:basedOn w:val="Normal"/>
    <w:semiHidden/>
    <w:rsid w:val="00745152"/>
    <w:pPr>
      <w:tabs>
        <w:tab w:val="center" w:pos="4153"/>
        <w:tab w:val="right" w:pos="8306"/>
      </w:tabs>
      <w:adjustRightInd w:val="0"/>
      <w:snapToGrid w:val="0"/>
      <w:spacing w:after="0"/>
    </w:pPr>
    <w:rPr>
      <w:snapToGrid w:val="0"/>
      <w:sz w:val="18"/>
      <w:szCs w:val="18"/>
    </w:rPr>
  </w:style>
  <w:style w:type="character" w:styleId="Hyperlink">
    <w:name w:val="Hyperlink"/>
    <w:basedOn w:val="DefaultParagraphFont"/>
    <w:uiPriority w:val="99"/>
    <w:rsid w:val="00575F67"/>
    <w:rPr>
      <w:color w:val="auto"/>
      <w:u w:val="single"/>
    </w:rPr>
  </w:style>
  <w:style w:type="paragraph" w:customStyle="1" w:styleId="Oxfaminfo">
    <w:name w:val="Oxfam info"/>
    <w:basedOn w:val="Normal"/>
    <w:uiPriority w:val="54"/>
    <w:rsid w:val="00745152"/>
    <w:pPr>
      <w:pBdr>
        <w:top w:val="single" w:sz="6" w:space="4" w:color="000000"/>
        <w:left w:val="single" w:sz="6" w:space="4" w:color="000000"/>
        <w:bottom w:val="single" w:sz="6" w:space="4" w:color="000000"/>
        <w:right w:val="single" w:sz="6" w:space="4" w:color="000000"/>
      </w:pBdr>
      <w:ind w:left="113" w:right="113"/>
    </w:pPr>
    <w:rPr>
      <w:noProof/>
      <w:sz w:val="18"/>
    </w:rPr>
  </w:style>
  <w:style w:type="character" w:styleId="FollowedHyperlink">
    <w:name w:val="FollowedHyperlink"/>
    <w:basedOn w:val="DefaultParagraphFont"/>
    <w:semiHidden/>
    <w:rsid w:val="00BD213A"/>
    <w:rPr>
      <w:color w:val="321C66"/>
      <w:u w:val="single"/>
    </w:rPr>
  </w:style>
  <w:style w:type="paragraph" w:styleId="BalloonText">
    <w:name w:val="Balloon Text"/>
    <w:basedOn w:val="Normal"/>
    <w:link w:val="BalloonTextChar"/>
    <w:uiPriority w:val="99"/>
    <w:semiHidden/>
    <w:unhideWhenUsed/>
    <w:rsid w:val="006C4A2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4A2C"/>
    <w:rPr>
      <w:rFonts w:ascii="Lucida Grande" w:hAnsi="Lucida Grande" w:cs="Lucida Grande"/>
      <w:sz w:val="18"/>
      <w:szCs w:val="18"/>
      <w:lang w:eastAsia="en-US"/>
    </w:rPr>
  </w:style>
  <w:style w:type="character" w:customStyle="1" w:styleId="EndnoteTextChar">
    <w:name w:val="Endnote Text Char"/>
    <w:link w:val="EndnoteText"/>
    <w:uiPriority w:val="99"/>
    <w:rsid w:val="00250C88"/>
    <w:rPr>
      <w:rFonts w:ascii="Oxfam TSTAR PRO" w:hAnsi="Oxfam TSTAR PRO" w:cs="Arial"/>
      <w:color w:val="000000"/>
      <w:sz w:val="16"/>
      <w:szCs w:val="14"/>
      <w:lang w:eastAsia="en-US" w:bidi="en-US"/>
    </w:rPr>
  </w:style>
  <w:style w:type="paragraph" w:styleId="Quote">
    <w:name w:val="Quote"/>
    <w:basedOn w:val="Normal"/>
    <w:next w:val="Normal"/>
    <w:link w:val="QuoteChar"/>
    <w:semiHidden/>
    <w:rsid w:val="007D0D62"/>
    <w:rPr>
      <w:i/>
      <w:iCs/>
      <w:color w:val="000000" w:themeColor="text1"/>
    </w:rPr>
  </w:style>
  <w:style w:type="character" w:customStyle="1" w:styleId="QuoteChar">
    <w:name w:val="Quote Char"/>
    <w:basedOn w:val="DefaultParagraphFont"/>
    <w:link w:val="Quote"/>
    <w:semiHidden/>
    <w:rsid w:val="00854FC3"/>
    <w:rPr>
      <w:rFonts w:ascii="Oxfam TSTAR PRO" w:hAnsi="Oxfam TSTAR PRO"/>
      <w:i/>
      <w:iCs/>
      <w:color w:val="000000" w:themeColor="text1"/>
      <w:sz w:val="22"/>
      <w:lang w:eastAsia="en-US"/>
    </w:rPr>
  </w:style>
  <w:style w:type="table" w:styleId="TableGrid">
    <w:name w:val="Table Grid"/>
    <w:basedOn w:val="TableNormal"/>
    <w:uiPriority w:val="59"/>
    <w:rsid w:val="00F24DEC"/>
    <w:rPr>
      <w:rFonts w:ascii="Arial" w:hAnsi="Arial"/>
    </w:rPr>
    <w:tblPr>
      <w:tblInd w:w="113" w:type="dxa"/>
      <w:tblBorders>
        <w:top w:val="single" w:sz="4" w:space="0" w:color="44841A"/>
        <w:left w:val="single" w:sz="4" w:space="0" w:color="44841A"/>
        <w:bottom w:val="single" w:sz="4" w:space="0" w:color="44841A"/>
        <w:right w:val="single" w:sz="4" w:space="0" w:color="44841A"/>
        <w:insideH w:val="single" w:sz="4" w:space="0" w:color="44841A"/>
        <w:insideV w:val="single" w:sz="4" w:space="0" w:color="44841A"/>
      </w:tblBorders>
      <w:tblCellMar>
        <w:right w:w="0" w:type="dxa"/>
      </w:tblCellMar>
    </w:tblPr>
  </w:style>
  <w:style w:type="table" w:customStyle="1" w:styleId="LightShading1">
    <w:name w:val="Light Shading1"/>
    <w:basedOn w:val="TableNormal"/>
    <w:uiPriority w:val="60"/>
    <w:rsid w:val="00724C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724CEE"/>
    <w:rPr>
      <w:color w:val="326213" w:themeColor="accent1" w:themeShade="BF"/>
    </w:rPr>
    <w:tblPr>
      <w:tblStyleRowBandSize w:val="1"/>
      <w:tblStyleColBandSize w:val="1"/>
      <w:tblBorders>
        <w:top w:val="single" w:sz="8" w:space="0" w:color="44841A" w:themeColor="accent1"/>
        <w:bottom w:val="single" w:sz="8" w:space="0" w:color="44841A" w:themeColor="accent1"/>
      </w:tblBorders>
    </w:tblPr>
    <w:tblStylePr w:type="firstRow">
      <w:pPr>
        <w:spacing w:before="0" w:after="0" w:line="240" w:lineRule="auto"/>
      </w:pPr>
      <w:rPr>
        <w:b/>
        <w:bCs/>
      </w:rPr>
      <w:tblPr/>
      <w:tcPr>
        <w:tcBorders>
          <w:top w:val="single" w:sz="8" w:space="0" w:color="44841A" w:themeColor="accent1"/>
          <w:left w:val="nil"/>
          <w:bottom w:val="single" w:sz="8" w:space="0" w:color="44841A" w:themeColor="accent1"/>
          <w:right w:val="nil"/>
          <w:insideH w:val="nil"/>
          <w:insideV w:val="nil"/>
        </w:tcBorders>
      </w:tcPr>
    </w:tblStylePr>
    <w:tblStylePr w:type="lastRow">
      <w:pPr>
        <w:spacing w:before="0" w:after="0" w:line="240" w:lineRule="auto"/>
      </w:pPr>
      <w:rPr>
        <w:b/>
        <w:bCs/>
      </w:rPr>
      <w:tblPr/>
      <w:tcPr>
        <w:tcBorders>
          <w:top w:val="single" w:sz="8" w:space="0" w:color="44841A" w:themeColor="accent1"/>
          <w:left w:val="nil"/>
          <w:bottom w:val="single" w:sz="8" w:space="0" w:color="44841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F0B6" w:themeFill="accent1" w:themeFillTint="3F"/>
      </w:tcPr>
    </w:tblStylePr>
    <w:tblStylePr w:type="band1Horz">
      <w:tblPr/>
      <w:tcPr>
        <w:tcBorders>
          <w:left w:val="nil"/>
          <w:right w:val="nil"/>
          <w:insideH w:val="nil"/>
          <w:insideV w:val="nil"/>
        </w:tcBorders>
        <w:shd w:val="clear" w:color="auto" w:fill="CDF0B6" w:themeFill="accent1" w:themeFillTint="3F"/>
      </w:tcPr>
    </w:tblStylePr>
  </w:style>
  <w:style w:type="table" w:styleId="LightShading-Accent4">
    <w:name w:val="Light Shading Accent 4"/>
    <w:basedOn w:val="TableNormal"/>
    <w:uiPriority w:val="60"/>
    <w:rsid w:val="00724CEE"/>
    <w:rPr>
      <w:color w:val="044662" w:themeColor="accent4" w:themeShade="BF"/>
    </w:rPr>
    <w:tblPr>
      <w:tblStyleRowBandSize w:val="1"/>
      <w:tblStyleColBandSize w:val="1"/>
      <w:tblBorders>
        <w:top w:val="single" w:sz="8" w:space="0" w:color="065E84" w:themeColor="accent4"/>
        <w:bottom w:val="single" w:sz="8" w:space="0" w:color="065E84" w:themeColor="accent4"/>
      </w:tblBorders>
    </w:tblPr>
    <w:tblStylePr w:type="firstRow">
      <w:pPr>
        <w:spacing w:before="0" w:after="0" w:line="240" w:lineRule="auto"/>
      </w:pPr>
      <w:rPr>
        <w:b/>
        <w:bCs/>
      </w:rPr>
      <w:tblPr/>
      <w:tcPr>
        <w:tcBorders>
          <w:top w:val="single" w:sz="8" w:space="0" w:color="065E84" w:themeColor="accent4"/>
          <w:left w:val="nil"/>
          <w:bottom w:val="single" w:sz="8" w:space="0" w:color="065E84" w:themeColor="accent4"/>
          <w:right w:val="nil"/>
          <w:insideH w:val="nil"/>
          <w:insideV w:val="nil"/>
        </w:tcBorders>
      </w:tcPr>
    </w:tblStylePr>
    <w:tblStylePr w:type="lastRow">
      <w:pPr>
        <w:spacing w:before="0" w:after="0" w:line="240" w:lineRule="auto"/>
      </w:pPr>
      <w:rPr>
        <w:b/>
        <w:bCs/>
      </w:rPr>
      <w:tblPr/>
      <w:tcPr>
        <w:tcBorders>
          <w:top w:val="single" w:sz="8" w:space="0" w:color="065E84" w:themeColor="accent4"/>
          <w:left w:val="nil"/>
          <w:bottom w:val="single" w:sz="8" w:space="0" w:color="065E8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1FB" w:themeFill="accent4" w:themeFillTint="3F"/>
      </w:tcPr>
    </w:tblStylePr>
    <w:tblStylePr w:type="band1Horz">
      <w:tblPr/>
      <w:tcPr>
        <w:tcBorders>
          <w:left w:val="nil"/>
          <w:right w:val="nil"/>
          <w:insideH w:val="nil"/>
          <w:insideV w:val="nil"/>
        </w:tcBorders>
        <w:shd w:val="clear" w:color="auto" w:fill="A7E1FB" w:themeFill="accent4" w:themeFillTint="3F"/>
      </w:tcPr>
    </w:tblStylePr>
  </w:style>
  <w:style w:type="table" w:styleId="LightList-Accent2">
    <w:name w:val="Light List Accent 2"/>
    <w:basedOn w:val="TableNormal"/>
    <w:uiPriority w:val="61"/>
    <w:rsid w:val="00CA7E55"/>
    <w:tblPr>
      <w:tblStyleRowBandSize w:val="1"/>
      <w:tblStyleColBandSize w:val="1"/>
      <w:tblBorders>
        <w:top w:val="single" w:sz="8" w:space="0" w:color="0B9CDA" w:themeColor="accent2"/>
        <w:left w:val="single" w:sz="8" w:space="0" w:color="0B9CDA" w:themeColor="accent2"/>
        <w:bottom w:val="single" w:sz="8" w:space="0" w:color="0B9CDA" w:themeColor="accent2"/>
        <w:right w:val="single" w:sz="8" w:space="0" w:color="0B9CDA" w:themeColor="accent2"/>
      </w:tblBorders>
    </w:tblPr>
    <w:tblStylePr w:type="firstRow">
      <w:pPr>
        <w:spacing w:before="0" w:after="0" w:line="240" w:lineRule="auto"/>
      </w:pPr>
      <w:rPr>
        <w:b/>
        <w:bCs/>
        <w:color w:val="FFFFFF" w:themeColor="background1"/>
      </w:rPr>
      <w:tblPr/>
      <w:tcPr>
        <w:shd w:val="clear" w:color="auto" w:fill="0B9CDA" w:themeFill="accent2"/>
      </w:tcPr>
    </w:tblStylePr>
    <w:tblStylePr w:type="lastRow">
      <w:pPr>
        <w:spacing w:before="0" w:after="0" w:line="240" w:lineRule="auto"/>
      </w:pPr>
      <w:rPr>
        <w:b/>
        <w:bCs/>
      </w:rPr>
      <w:tblPr/>
      <w:tcPr>
        <w:tcBorders>
          <w:top w:val="double" w:sz="6" w:space="0" w:color="0B9CDA" w:themeColor="accent2"/>
          <w:left w:val="single" w:sz="8" w:space="0" w:color="0B9CDA" w:themeColor="accent2"/>
          <w:bottom w:val="single" w:sz="8" w:space="0" w:color="0B9CDA" w:themeColor="accent2"/>
          <w:right w:val="single" w:sz="8" w:space="0" w:color="0B9CDA" w:themeColor="accent2"/>
        </w:tcBorders>
      </w:tcPr>
    </w:tblStylePr>
    <w:tblStylePr w:type="firstCol">
      <w:rPr>
        <w:b/>
        <w:bCs/>
      </w:rPr>
    </w:tblStylePr>
    <w:tblStylePr w:type="lastCol">
      <w:rPr>
        <w:b/>
        <w:bCs/>
      </w:rPr>
    </w:tblStylePr>
    <w:tblStylePr w:type="band1Vert">
      <w:tblPr/>
      <w:tcPr>
        <w:tcBorders>
          <w:top w:val="single" w:sz="8" w:space="0" w:color="0B9CDA" w:themeColor="accent2"/>
          <w:left w:val="single" w:sz="8" w:space="0" w:color="0B9CDA" w:themeColor="accent2"/>
          <w:bottom w:val="single" w:sz="8" w:space="0" w:color="0B9CDA" w:themeColor="accent2"/>
          <w:right w:val="single" w:sz="8" w:space="0" w:color="0B9CDA" w:themeColor="accent2"/>
        </w:tcBorders>
      </w:tcPr>
    </w:tblStylePr>
    <w:tblStylePr w:type="band1Horz">
      <w:tblPr/>
      <w:tcPr>
        <w:tcBorders>
          <w:top w:val="single" w:sz="8" w:space="0" w:color="0B9CDA" w:themeColor="accent2"/>
          <w:left w:val="single" w:sz="8" w:space="0" w:color="0B9CDA" w:themeColor="accent2"/>
          <w:bottom w:val="single" w:sz="8" w:space="0" w:color="0B9CDA" w:themeColor="accent2"/>
          <w:right w:val="single" w:sz="8" w:space="0" w:color="0B9CDA" w:themeColor="accent2"/>
        </w:tcBorders>
      </w:tcPr>
    </w:tblStylePr>
  </w:style>
  <w:style w:type="table" w:customStyle="1" w:styleId="LightList-Accent11">
    <w:name w:val="Light List - Accent 11"/>
    <w:basedOn w:val="TableNormal"/>
    <w:uiPriority w:val="61"/>
    <w:rsid w:val="00CA7E55"/>
    <w:tblPr>
      <w:tblStyleRowBandSize w:val="1"/>
      <w:tblStyleColBandSize w:val="1"/>
      <w:tblBorders>
        <w:top w:val="single" w:sz="8" w:space="0" w:color="44841A" w:themeColor="accent1"/>
        <w:left w:val="single" w:sz="8" w:space="0" w:color="44841A" w:themeColor="accent1"/>
        <w:bottom w:val="single" w:sz="8" w:space="0" w:color="44841A" w:themeColor="accent1"/>
        <w:right w:val="single" w:sz="8" w:space="0" w:color="44841A" w:themeColor="accent1"/>
      </w:tblBorders>
    </w:tblPr>
    <w:tblStylePr w:type="firstRow">
      <w:pPr>
        <w:spacing w:before="0" w:after="0" w:line="240" w:lineRule="auto"/>
      </w:pPr>
      <w:rPr>
        <w:b/>
        <w:bCs/>
        <w:color w:val="FFFFFF" w:themeColor="background1"/>
      </w:rPr>
      <w:tblPr/>
      <w:tcPr>
        <w:shd w:val="clear" w:color="auto" w:fill="44841A" w:themeFill="accent1"/>
      </w:tcPr>
    </w:tblStylePr>
    <w:tblStylePr w:type="lastRow">
      <w:pPr>
        <w:spacing w:before="0" w:after="0" w:line="240" w:lineRule="auto"/>
      </w:pPr>
      <w:rPr>
        <w:b/>
        <w:bCs/>
      </w:rPr>
      <w:tblPr/>
      <w:tcPr>
        <w:tcBorders>
          <w:top w:val="double" w:sz="6" w:space="0" w:color="44841A" w:themeColor="accent1"/>
          <w:left w:val="single" w:sz="8" w:space="0" w:color="44841A" w:themeColor="accent1"/>
          <w:bottom w:val="single" w:sz="8" w:space="0" w:color="44841A" w:themeColor="accent1"/>
          <w:right w:val="single" w:sz="8" w:space="0" w:color="44841A" w:themeColor="accent1"/>
        </w:tcBorders>
      </w:tcPr>
    </w:tblStylePr>
    <w:tblStylePr w:type="firstCol">
      <w:rPr>
        <w:b/>
        <w:bCs/>
      </w:rPr>
    </w:tblStylePr>
    <w:tblStylePr w:type="lastCol">
      <w:rPr>
        <w:b/>
        <w:bCs/>
      </w:rPr>
    </w:tblStylePr>
    <w:tblStylePr w:type="band1Vert">
      <w:tblPr/>
      <w:tcPr>
        <w:tcBorders>
          <w:top w:val="single" w:sz="8" w:space="0" w:color="44841A" w:themeColor="accent1"/>
          <w:left w:val="single" w:sz="8" w:space="0" w:color="44841A" w:themeColor="accent1"/>
          <w:bottom w:val="single" w:sz="8" w:space="0" w:color="44841A" w:themeColor="accent1"/>
          <w:right w:val="single" w:sz="8" w:space="0" w:color="44841A" w:themeColor="accent1"/>
        </w:tcBorders>
      </w:tcPr>
    </w:tblStylePr>
    <w:tblStylePr w:type="band1Horz">
      <w:tblPr/>
      <w:tcPr>
        <w:tcBorders>
          <w:top w:val="single" w:sz="8" w:space="0" w:color="44841A" w:themeColor="accent1"/>
          <w:left w:val="single" w:sz="8" w:space="0" w:color="44841A" w:themeColor="accent1"/>
          <w:bottom w:val="single" w:sz="8" w:space="0" w:color="44841A" w:themeColor="accent1"/>
          <w:right w:val="single" w:sz="8" w:space="0" w:color="44841A" w:themeColor="accent1"/>
        </w:tcBorders>
      </w:tcPr>
    </w:tblStylePr>
  </w:style>
  <w:style w:type="table" w:customStyle="1" w:styleId="LightList1">
    <w:name w:val="Light List1"/>
    <w:basedOn w:val="TableNormal"/>
    <w:uiPriority w:val="61"/>
    <w:rsid w:val="00CA7E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Text">
    <w:name w:val="annotation text"/>
    <w:basedOn w:val="Normal"/>
    <w:link w:val="CommentTextChar"/>
    <w:uiPriority w:val="99"/>
    <w:semiHidden/>
    <w:rsid w:val="00E52711"/>
    <w:rPr>
      <w:sz w:val="24"/>
      <w:szCs w:val="24"/>
    </w:rPr>
  </w:style>
  <w:style w:type="character" w:customStyle="1" w:styleId="CommentTextChar">
    <w:name w:val="Comment Text Char"/>
    <w:basedOn w:val="DefaultParagraphFont"/>
    <w:link w:val="CommentText"/>
    <w:uiPriority w:val="99"/>
    <w:semiHidden/>
    <w:rsid w:val="00BC02C8"/>
    <w:rPr>
      <w:rFonts w:ascii="Oxfam TSTAR PRO" w:hAnsi="Oxfam TSTAR PRO"/>
      <w:sz w:val="24"/>
      <w:szCs w:val="24"/>
      <w:lang w:eastAsia="en-US"/>
    </w:rPr>
  </w:style>
  <w:style w:type="character" w:customStyle="1" w:styleId="Heading3Char">
    <w:name w:val="Heading 3 Char"/>
    <w:basedOn w:val="DefaultParagraphFont"/>
    <w:link w:val="Heading3"/>
    <w:uiPriority w:val="4"/>
    <w:rsid w:val="00895EFB"/>
    <w:rPr>
      <w:rFonts w:ascii="Oxfam TSTAR PRO Headline" w:hAnsi="Oxfam TSTAR PRO Headline" w:cs="Arial"/>
      <w:b/>
      <w:bCs/>
      <w:spacing w:val="-1"/>
      <w:sz w:val="32"/>
      <w:szCs w:val="32"/>
      <w:lang w:eastAsia="en-US" w:bidi="en-US"/>
    </w:rPr>
  </w:style>
  <w:style w:type="paragraph" w:customStyle="1" w:styleId="Boxsource">
    <w:name w:val="Box source"/>
    <w:basedOn w:val="Boxtext"/>
    <w:uiPriority w:val="19"/>
    <w:rsid w:val="001451C9"/>
    <w:pPr>
      <w:spacing w:before="220" w:line="220" w:lineRule="atLeast"/>
    </w:pPr>
    <w:rPr>
      <w:sz w:val="16"/>
      <w:szCs w:val="16"/>
    </w:rPr>
  </w:style>
  <w:style w:type="paragraph" w:styleId="Revision">
    <w:name w:val="Revision"/>
    <w:hidden/>
    <w:uiPriority w:val="99"/>
    <w:semiHidden/>
    <w:rsid w:val="0063478F"/>
    <w:rPr>
      <w:rFonts w:ascii="Arial" w:hAnsi="Arial"/>
      <w:sz w:val="22"/>
      <w:lang w:eastAsia="en-US"/>
    </w:rPr>
  </w:style>
  <w:style w:type="character" w:customStyle="1" w:styleId="FooterChar">
    <w:name w:val="Footer Char"/>
    <w:basedOn w:val="DefaultParagraphFont"/>
    <w:link w:val="Footer"/>
    <w:uiPriority w:val="99"/>
    <w:semiHidden/>
    <w:rsid w:val="007651B4"/>
    <w:rPr>
      <w:rFonts w:ascii="Oxfam TSTAR PRO" w:hAnsi="Oxfam TSTAR PRO"/>
      <w:snapToGrid w:val="0"/>
      <w:sz w:val="18"/>
      <w:szCs w:val="18"/>
      <w:lang w:eastAsia="en-US"/>
    </w:rPr>
  </w:style>
  <w:style w:type="character" w:customStyle="1" w:styleId="Mention1">
    <w:name w:val="Mention1"/>
    <w:basedOn w:val="DefaultParagraphFont"/>
    <w:uiPriority w:val="99"/>
    <w:semiHidden/>
    <w:unhideWhenUsed/>
    <w:rsid w:val="00AA1348"/>
    <w:rPr>
      <w:color w:val="2B579A"/>
      <w:shd w:val="clear" w:color="auto" w:fill="E6E6E6"/>
    </w:rPr>
  </w:style>
  <w:style w:type="character" w:styleId="CommentReference">
    <w:name w:val="annotation reference"/>
    <w:basedOn w:val="DefaultParagraphFont"/>
    <w:uiPriority w:val="99"/>
    <w:semiHidden/>
    <w:unhideWhenUsed/>
    <w:rsid w:val="00F4216F"/>
    <w:rPr>
      <w:sz w:val="16"/>
      <w:szCs w:val="16"/>
    </w:rPr>
  </w:style>
  <w:style w:type="paragraph" w:styleId="CommentSubject">
    <w:name w:val="annotation subject"/>
    <w:basedOn w:val="CommentText"/>
    <w:next w:val="CommentText"/>
    <w:link w:val="CommentSubjectChar"/>
    <w:uiPriority w:val="99"/>
    <w:semiHidden/>
    <w:unhideWhenUsed/>
    <w:rsid w:val="00F4216F"/>
    <w:rPr>
      <w:b/>
      <w:bCs/>
      <w:sz w:val="20"/>
      <w:szCs w:val="20"/>
    </w:rPr>
  </w:style>
  <w:style w:type="character" w:customStyle="1" w:styleId="CommentSubjectChar">
    <w:name w:val="Comment Subject Char"/>
    <w:basedOn w:val="CommentTextChar"/>
    <w:link w:val="CommentSubject"/>
    <w:uiPriority w:val="99"/>
    <w:semiHidden/>
    <w:rsid w:val="00F4216F"/>
    <w:rPr>
      <w:rFonts w:ascii="Arial" w:hAnsi="Arial"/>
      <w:b/>
      <w:bCs/>
      <w:sz w:val="24"/>
      <w:szCs w:val="24"/>
      <w:lang w:eastAsia="en-US"/>
    </w:rPr>
  </w:style>
  <w:style w:type="character" w:customStyle="1" w:styleId="UnresolvedMention1">
    <w:name w:val="Unresolved Mention1"/>
    <w:basedOn w:val="DefaultParagraphFont"/>
    <w:uiPriority w:val="99"/>
    <w:semiHidden/>
    <w:unhideWhenUsed/>
    <w:rsid w:val="00090CD6"/>
    <w:rPr>
      <w:color w:val="605E5C"/>
      <w:shd w:val="clear" w:color="auto" w:fill="E1DFDD"/>
    </w:rPr>
  </w:style>
  <w:style w:type="table" w:customStyle="1" w:styleId="TablePlain">
    <w:name w:val="Table Plain"/>
    <w:basedOn w:val="TableNormal"/>
    <w:uiPriority w:val="99"/>
    <w:rsid w:val="000E0283"/>
    <w:tblPr>
      <w:tblCellMar>
        <w:left w:w="0" w:type="dxa"/>
        <w:right w:w="0" w:type="dxa"/>
      </w:tblCellMar>
    </w:tblPr>
  </w:style>
  <w:style w:type="table" w:customStyle="1" w:styleId="Abstract">
    <w:name w:val="Abstract"/>
    <w:basedOn w:val="TableGrid"/>
    <w:uiPriority w:val="99"/>
    <w:rsid w:val="00D0709C"/>
    <w:tblPr>
      <w:tblInd w:w="0" w:type="dxa"/>
    </w:tblPr>
  </w:style>
  <w:style w:type="character" w:customStyle="1" w:styleId="Heading4Char">
    <w:name w:val="Heading 4 Char"/>
    <w:basedOn w:val="DefaultParagraphFont"/>
    <w:link w:val="Heading4"/>
    <w:uiPriority w:val="4"/>
    <w:rsid w:val="00895EFB"/>
    <w:rPr>
      <w:rFonts w:ascii="Oxfam TSTAR PRO" w:hAnsi="Oxfam TSTAR PRO" w:cs="Arial"/>
      <w:b/>
      <w:sz w:val="22"/>
      <w:szCs w:val="22"/>
      <w:u w:color="000000"/>
      <w:lang w:eastAsia="en-US" w:bidi="en-US"/>
    </w:rPr>
  </w:style>
  <w:style w:type="character" w:customStyle="1" w:styleId="TextChar">
    <w:name w:val="Text Char"/>
    <w:basedOn w:val="DefaultParagraphFont"/>
    <w:link w:val="Text"/>
    <w:uiPriority w:val="9"/>
    <w:rsid w:val="00185BBF"/>
    <w:rPr>
      <w:rFonts w:ascii="Oxfam TSTAR PRO" w:hAnsi="Oxfam TSTAR PRO" w:cs="Arial"/>
      <w:color w:val="000000"/>
      <w:sz w:val="22"/>
      <w:szCs w:val="22"/>
      <w:lang w:eastAsia="en-US" w:bidi="en-US"/>
    </w:rPr>
  </w:style>
  <w:style w:type="character" w:styleId="PlaceholderText">
    <w:name w:val="Placeholder Text"/>
    <w:basedOn w:val="DefaultParagraphFont"/>
    <w:uiPriority w:val="99"/>
    <w:semiHidden/>
    <w:rsid w:val="00350BF5"/>
    <w:rPr>
      <w:color w:val="808080"/>
    </w:rPr>
  </w:style>
  <w:style w:type="paragraph" w:styleId="ListParagraph">
    <w:name w:val="List Paragraph"/>
    <w:basedOn w:val="Normal"/>
    <w:uiPriority w:val="34"/>
    <w:qFormat/>
    <w:rsid w:val="00721F3D"/>
    <w:pPr>
      <w:ind w:left="720"/>
      <w:contextualSpacing/>
    </w:pPr>
  </w:style>
  <w:style w:type="character" w:styleId="UnresolvedMention">
    <w:name w:val="Unresolved Mention"/>
    <w:basedOn w:val="DefaultParagraphFont"/>
    <w:uiPriority w:val="99"/>
    <w:semiHidden/>
    <w:unhideWhenUsed/>
    <w:rsid w:val="005462D0"/>
    <w:rPr>
      <w:color w:val="605E5C"/>
      <w:shd w:val="clear" w:color="auto" w:fill="E1DFDD"/>
    </w:rPr>
  </w:style>
  <w:style w:type="character" w:customStyle="1" w:styleId="cf01">
    <w:name w:val="cf01"/>
    <w:basedOn w:val="DefaultParagraphFont"/>
    <w:rsid w:val="005462D0"/>
    <w:rPr>
      <w:rFonts w:ascii="Segoe UI" w:hAnsi="Segoe UI" w:cs="Segoe UI" w:hint="default"/>
      <w:color w:val="44841A"/>
      <w:sz w:val="18"/>
      <w:szCs w:val="18"/>
    </w:rPr>
  </w:style>
  <w:style w:type="paragraph" w:customStyle="1" w:styleId="pf0">
    <w:name w:val="pf0"/>
    <w:basedOn w:val="Normal"/>
    <w:rsid w:val="009E74E9"/>
    <w:pPr>
      <w:spacing w:before="100" w:beforeAutospacing="1" w:after="100" w:afterAutospacing="1"/>
    </w:pPr>
    <w:rPr>
      <w:rFonts w:ascii="Times New Roman" w:hAnsi="Times New Roman"/>
      <w:sz w:val="24"/>
      <w:szCs w:val="24"/>
      <w:lang w:eastAsia="en-GB"/>
    </w:rPr>
  </w:style>
  <w:style w:type="character" w:customStyle="1" w:styleId="Heading2Char">
    <w:name w:val="Heading 2 Char"/>
    <w:basedOn w:val="DefaultParagraphFont"/>
    <w:link w:val="Heading2"/>
    <w:uiPriority w:val="4"/>
    <w:rsid w:val="00B66431"/>
    <w:rPr>
      <w:rFonts w:ascii="Oxfam TSTAR PRO Headline" w:hAnsi="Oxfam TSTAR PRO Headline" w:cs="Arial"/>
      <w:caps/>
      <w:color w:val="44841A"/>
      <w:spacing w:val="-2"/>
      <w:sz w:val="44"/>
      <w:szCs w:val="48"/>
      <w:lang w:eastAsia="en-US" w:bidi="en-US"/>
    </w:rPr>
  </w:style>
  <w:style w:type="character" w:customStyle="1" w:styleId="highlight">
    <w:name w:val="highlight"/>
    <w:basedOn w:val="DefaultParagraphFont"/>
    <w:uiPriority w:val="1"/>
    <w:rsid w:val="000837B0"/>
  </w:style>
  <w:style w:type="paragraph" w:styleId="TOCHeading">
    <w:name w:val="TOC Heading"/>
    <w:basedOn w:val="Heading1"/>
    <w:next w:val="Normal"/>
    <w:uiPriority w:val="39"/>
    <w:unhideWhenUsed/>
    <w:qFormat/>
    <w:rsid w:val="00976B78"/>
    <w:pPr>
      <w:suppressAutoHyphens w:val="0"/>
      <w:autoSpaceDE/>
      <w:autoSpaceDN/>
      <w:adjustRightInd/>
      <w:spacing w:before="240" w:after="0" w:line="259" w:lineRule="auto"/>
      <w:outlineLvl w:val="9"/>
    </w:pPr>
    <w:rPr>
      <w:rFonts w:asciiTheme="majorHAnsi" w:eastAsiaTheme="majorEastAsia" w:hAnsiTheme="majorHAnsi" w:cstheme="majorBidi"/>
      <w:caps w:val="0"/>
      <w:color w:val="326213" w:themeColor="accent1" w:themeShade="BF"/>
      <w:spacing w:val="0"/>
      <w:sz w:val="32"/>
      <w:szCs w:val="32"/>
      <w:lang w:val="en-US" w:bidi="ar-SA"/>
    </w:rPr>
  </w:style>
  <w:style w:type="paragraph" w:styleId="TOC1">
    <w:name w:val="toc 1"/>
    <w:basedOn w:val="Normal"/>
    <w:next w:val="Normal"/>
    <w:autoRedefine/>
    <w:uiPriority w:val="39"/>
    <w:unhideWhenUsed/>
    <w:rsid w:val="00EF5230"/>
    <w:pPr>
      <w:tabs>
        <w:tab w:val="left" w:pos="440"/>
        <w:tab w:val="right" w:leader="dot" w:pos="7133"/>
      </w:tabs>
      <w:spacing w:after="100"/>
    </w:pPr>
  </w:style>
  <w:style w:type="paragraph" w:styleId="TOC2">
    <w:name w:val="toc 2"/>
    <w:basedOn w:val="Normal"/>
    <w:next w:val="Normal"/>
    <w:autoRedefine/>
    <w:uiPriority w:val="39"/>
    <w:unhideWhenUsed/>
    <w:rsid w:val="00976B78"/>
    <w:pPr>
      <w:spacing w:after="100"/>
      <w:ind w:left="220"/>
    </w:pPr>
  </w:style>
  <w:style w:type="paragraph" w:styleId="Bibliography">
    <w:name w:val="Bibliography"/>
    <w:basedOn w:val="Normal"/>
    <w:next w:val="Normal"/>
    <w:uiPriority w:val="37"/>
    <w:unhideWhenUsed/>
    <w:rsid w:val="00325F1F"/>
  </w:style>
  <w:style w:type="character" w:customStyle="1" w:styleId="A7">
    <w:name w:val="A7"/>
    <w:uiPriority w:val="99"/>
    <w:rsid w:val="009C795B"/>
    <w:rPr>
      <w:rFonts w:cs="Oxfam TSTAR PRO"/>
      <w:color w:val="221E1F"/>
      <w:sz w:val="20"/>
      <w:szCs w:val="20"/>
    </w:rPr>
  </w:style>
  <w:style w:type="character" w:customStyle="1" w:styleId="ui-provider">
    <w:name w:val="ui-provider"/>
    <w:basedOn w:val="DefaultParagraphFont"/>
    <w:rsid w:val="00F02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8858">
      <w:bodyDiv w:val="1"/>
      <w:marLeft w:val="0"/>
      <w:marRight w:val="0"/>
      <w:marTop w:val="0"/>
      <w:marBottom w:val="0"/>
      <w:divBdr>
        <w:top w:val="none" w:sz="0" w:space="0" w:color="auto"/>
        <w:left w:val="none" w:sz="0" w:space="0" w:color="auto"/>
        <w:bottom w:val="none" w:sz="0" w:space="0" w:color="auto"/>
        <w:right w:val="none" w:sz="0" w:space="0" w:color="auto"/>
      </w:divBdr>
      <w:divsChild>
        <w:div w:id="274993453">
          <w:marLeft w:val="0"/>
          <w:marRight w:val="0"/>
          <w:marTop w:val="0"/>
          <w:marBottom w:val="0"/>
          <w:divBdr>
            <w:top w:val="none" w:sz="0" w:space="0" w:color="auto"/>
            <w:left w:val="none" w:sz="0" w:space="0" w:color="auto"/>
            <w:bottom w:val="none" w:sz="0" w:space="0" w:color="auto"/>
            <w:right w:val="none" w:sz="0" w:space="0" w:color="auto"/>
          </w:divBdr>
        </w:div>
        <w:div w:id="312878772">
          <w:marLeft w:val="0"/>
          <w:marRight w:val="0"/>
          <w:marTop w:val="0"/>
          <w:marBottom w:val="0"/>
          <w:divBdr>
            <w:top w:val="none" w:sz="0" w:space="0" w:color="auto"/>
            <w:left w:val="none" w:sz="0" w:space="0" w:color="auto"/>
            <w:bottom w:val="none" w:sz="0" w:space="0" w:color="auto"/>
            <w:right w:val="none" w:sz="0" w:space="0" w:color="auto"/>
          </w:divBdr>
        </w:div>
        <w:div w:id="341779871">
          <w:marLeft w:val="0"/>
          <w:marRight w:val="0"/>
          <w:marTop w:val="0"/>
          <w:marBottom w:val="0"/>
          <w:divBdr>
            <w:top w:val="none" w:sz="0" w:space="0" w:color="auto"/>
            <w:left w:val="none" w:sz="0" w:space="0" w:color="auto"/>
            <w:bottom w:val="none" w:sz="0" w:space="0" w:color="auto"/>
            <w:right w:val="none" w:sz="0" w:space="0" w:color="auto"/>
          </w:divBdr>
        </w:div>
        <w:div w:id="499780100">
          <w:marLeft w:val="0"/>
          <w:marRight w:val="0"/>
          <w:marTop w:val="0"/>
          <w:marBottom w:val="0"/>
          <w:divBdr>
            <w:top w:val="none" w:sz="0" w:space="0" w:color="auto"/>
            <w:left w:val="none" w:sz="0" w:space="0" w:color="auto"/>
            <w:bottom w:val="none" w:sz="0" w:space="0" w:color="auto"/>
            <w:right w:val="none" w:sz="0" w:space="0" w:color="auto"/>
          </w:divBdr>
        </w:div>
        <w:div w:id="687801449">
          <w:marLeft w:val="0"/>
          <w:marRight w:val="0"/>
          <w:marTop w:val="0"/>
          <w:marBottom w:val="0"/>
          <w:divBdr>
            <w:top w:val="none" w:sz="0" w:space="0" w:color="auto"/>
            <w:left w:val="none" w:sz="0" w:space="0" w:color="auto"/>
            <w:bottom w:val="none" w:sz="0" w:space="0" w:color="auto"/>
            <w:right w:val="none" w:sz="0" w:space="0" w:color="auto"/>
          </w:divBdr>
        </w:div>
        <w:div w:id="919943738">
          <w:marLeft w:val="0"/>
          <w:marRight w:val="0"/>
          <w:marTop w:val="0"/>
          <w:marBottom w:val="0"/>
          <w:divBdr>
            <w:top w:val="none" w:sz="0" w:space="0" w:color="auto"/>
            <w:left w:val="none" w:sz="0" w:space="0" w:color="auto"/>
            <w:bottom w:val="none" w:sz="0" w:space="0" w:color="auto"/>
            <w:right w:val="none" w:sz="0" w:space="0" w:color="auto"/>
          </w:divBdr>
        </w:div>
        <w:div w:id="1085347739">
          <w:marLeft w:val="0"/>
          <w:marRight w:val="0"/>
          <w:marTop w:val="0"/>
          <w:marBottom w:val="0"/>
          <w:divBdr>
            <w:top w:val="none" w:sz="0" w:space="0" w:color="auto"/>
            <w:left w:val="none" w:sz="0" w:space="0" w:color="auto"/>
            <w:bottom w:val="none" w:sz="0" w:space="0" w:color="auto"/>
            <w:right w:val="none" w:sz="0" w:space="0" w:color="auto"/>
          </w:divBdr>
        </w:div>
        <w:div w:id="1221869462">
          <w:marLeft w:val="0"/>
          <w:marRight w:val="0"/>
          <w:marTop w:val="0"/>
          <w:marBottom w:val="0"/>
          <w:divBdr>
            <w:top w:val="none" w:sz="0" w:space="0" w:color="auto"/>
            <w:left w:val="none" w:sz="0" w:space="0" w:color="auto"/>
            <w:bottom w:val="none" w:sz="0" w:space="0" w:color="auto"/>
            <w:right w:val="none" w:sz="0" w:space="0" w:color="auto"/>
          </w:divBdr>
        </w:div>
        <w:div w:id="1222325963">
          <w:marLeft w:val="0"/>
          <w:marRight w:val="0"/>
          <w:marTop w:val="0"/>
          <w:marBottom w:val="0"/>
          <w:divBdr>
            <w:top w:val="none" w:sz="0" w:space="0" w:color="auto"/>
            <w:left w:val="none" w:sz="0" w:space="0" w:color="auto"/>
            <w:bottom w:val="none" w:sz="0" w:space="0" w:color="auto"/>
            <w:right w:val="none" w:sz="0" w:space="0" w:color="auto"/>
          </w:divBdr>
        </w:div>
        <w:div w:id="1306545268">
          <w:marLeft w:val="0"/>
          <w:marRight w:val="0"/>
          <w:marTop w:val="0"/>
          <w:marBottom w:val="0"/>
          <w:divBdr>
            <w:top w:val="none" w:sz="0" w:space="0" w:color="auto"/>
            <w:left w:val="none" w:sz="0" w:space="0" w:color="auto"/>
            <w:bottom w:val="none" w:sz="0" w:space="0" w:color="auto"/>
            <w:right w:val="none" w:sz="0" w:space="0" w:color="auto"/>
          </w:divBdr>
        </w:div>
        <w:div w:id="1333292175">
          <w:marLeft w:val="0"/>
          <w:marRight w:val="0"/>
          <w:marTop w:val="0"/>
          <w:marBottom w:val="0"/>
          <w:divBdr>
            <w:top w:val="none" w:sz="0" w:space="0" w:color="auto"/>
            <w:left w:val="none" w:sz="0" w:space="0" w:color="auto"/>
            <w:bottom w:val="none" w:sz="0" w:space="0" w:color="auto"/>
            <w:right w:val="none" w:sz="0" w:space="0" w:color="auto"/>
          </w:divBdr>
        </w:div>
        <w:div w:id="1349064063">
          <w:marLeft w:val="0"/>
          <w:marRight w:val="0"/>
          <w:marTop w:val="0"/>
          <w:marBottom w:val="0"/>
          <w:divBdr>
            <w:top w:val="none" w:sz="0" w:space="0" w:color="auto"/>
            <w:left w:val="none" w:sz="0" w:space="0" w:color="auto"/>
            <w:bottom w:val="none" w:sz="0" w:space="0" w:color="auto"/>
            <w:right w:val="none" w:sz="0" w:space="0" w:color="auto"/>
          </w:divBdr>
        </w:div>
        <w:div w:id="1389299483">
          <w:marLeft w:val="0"/>
          <w:marRight w:val="0"/>
          <w:marTop w:val="0"/>
          <w:marBottom w:val="0"/>
          <w:divBdr>
            <w:top w:val="none" w:sz="0" w:space="0" w:color="auto"/>
            <w:left w:val="none" w:sz="0" w:space="0" w:color="auto"/>
            <w:bottom w:val="none" w:sz="0" w:space="0" w:color="auto"/>
            <w:right w:val="none" w:sz="0" w:space="0" w:color="auto"/>
          </w:divBdr>
        </w:div>
        <w:div w:id="1438939603">
          <w:marLeft w:val="0"/>
          <w:marRight w:val="0"/>
          <w:marTop w:val="0"/>
          <w:marBottom w:val="0"/>
          <w:divBdr>
            <w:top w:val="none" w:sz="0" w:space="0" w:color="auto"/>
            <w:left w:val="none" w:sz="0" w:space="0" w:color="auto"/>
            <w:bottom w:val="none" w:sz="0" w:space="0" w:color="auto"/>
            <w:right w:val="none" w:sz="0" w:space="0" w:color="auto"/>
          </w:divBdr>
        </w:div>
        <w:div w:id="1440418455">
          <w:marLeft w:val="0"/>
          <w:marRight w:val="0"/>
          <w:marTop w:val="0"/>
          <w:marBottom w:val="0"/>
          <w:divBdr>
            <w:top w:val="none" w:sz="0" w:space="0" w:color="auto"/>
            <w:left w:val="none" w:sz="0" w:space="0" w:color="auto"/>
            <w:bottom w:val="none" w:sz="0" w:space="0" w:color="auto"/>
            <w:right w:val="none" w:sz="0" w:space="0" w:color="auto"/>
          </w:divBdr>
        </w:div>
        <w:div w:id="1497183978">
          <w:marLeft w:val="0"/>
          <w:marRight w:val="0"/>
          <w:marTop w:val="0"/>
          <w:marBottom w:val="0"/>
          <w:divBdr>
            <w:top w:val="none" w:sz="0" w:space="0" w:color="auto"/>
            <w:left w:val="none" w:sz="0" w:space="0" w:color="auto"/>
            <w:bottom w:val="none" w:sz="0" w:space="0" w:color="auto"/>
            <w:right w:val="none" w:sz="0" w:space="0" w:color="auto"/>
          </w:divBdr>
        </w:div>
        <w:div w:id="1546484974">
          <w:marLeft w:val="0"/>
          <w:marRight w:val="0"/>
          <w:marTop w:val="0"/>
          <w:marBottom w:val="0"/>
          <w:divBdr>
            <w:top w:val="none" w:sz="0" w:space="0" w:color="auto"/>
            <w:left w:val="none" w:sz="0" w:space="0" w:color="auto"/>
            <w:bottom w:val="none" w:sz="0" w:space="0" w:color="auto"/>
            <w:right w:val="none" w:sz="0" w:space="0" w:color="auto"/>
          </w:divBdr>
        </w:div>
        <w:div w:id="1656762013">
          <w:marLeft w:val="0"/>
          <w:marRight w:val="0"/>
          <w:marTop w:val="0"/>
          <w:marBottom w:val="0"/>
          <w:divBdr>
            <w:top w:val="none" w:sz="0" w:space="0" w:color="auto"/>
            <w:left w:val="none" w:sz="0" w:space="0" w:color="auto"/>
            <w:bottom w:val="none" w:sz="0" w:space="0" w:color="auto"/>
            <w:right w:val="none" w:sz="0" w:space="0" w:color="auto"/>
          </w:divBdr>
        </w:div>
        <w:div w:id="1797067200">
          <w:marLeft w:val="0"/>
          <w:marRight w:val="0"/>
          <w:marTop w:val="0"/>
          <w:marBottom w:val="0"/>
          <w:divBdr>
            <w:top w:val="none" w:sz="0" w:space="0" w:color="auto"/>
            <w:left w:val="none" w:sz="0" w:space="0" w:color="auto"/>
            <w:bottom w:val="none" w:sz="0" w:space="0" w:color="auto"/>
            <w:right w:val="none" w:sz="0" w:space="0" w:color="auto"/>
          </w:divBdr>
        </w:div>
        <w:div w:id="1825664054">
          <w:marLeft w:val="0"/>
          <w:marRight w:val="0"/>
          <w:marTop w:val="0"/>
          <w:marBottom w:val="0"/>
          <w:divBdr>
            <w:top w:val="none" w:sz="0" w:space="0" w:color="auto"/>
            <w:left w:val="none" w:sz="0" w:space="0" w:color="auto"/>
            <w:bottom w:val="none" w:sz="0" w:space="0" w:color="auto"/>
            <w:right w:val="none" w:sz="0" w:space="0" w:color="auto"/>
          </w:divBdr>
        </w:div>
        <w:div w:id="1949002619">
          <w:marLeft w:val="0"/>
          <w:marRight w:val="0"/>
          <w:marTop w:val="0"/>
          <w:marBottom w:val="0"/>
          <w:divBdr>
            <w:top w:val="none" w:sz="0" w:space="0" w:color="auto"/>
            <w:left w:val="none" w:sz="0" w:space="0" w:color="auto"/>
            <w:bottom w:val="none" w:sz="0" w:space="0" w:color="auto"/>
            <w:right w:val="none" w:sz="0" w:space="0" w:color="auto"/>
          </w:divBdr>
        </w:div>
        <w:div w:id="2109153207">
          <w:marLeft w:val="0"/>
          <w:marRight w:val="0"/>
          <w:marTop w:val="0"/>
          <w:marBottom w:val="0"/>
          <w:divBdr>
            <w:top w:val="none" w:sz="0" w:space="0" w:color="auto"/>
            <w:left w:val="none" w:sz="0" w:space="0" w:color="auto"/>
            <w:bottom w:val="none" w:sz="0" w:space="0" w:color="auto"/>
            <w:right w:val="none" w:sz="0" w:space="0" w:color="auto"/>
          </w:divBdr>
        </w:div>
      </w:divsChild>
    </w:div>
    <w:div w:id="44793079">
      <w:bodyDiv w:val="1"/>
      <w:marLeft w:val="0"/>
      <w:marRight w:val="0"/>
      <w:marTop w:val="0"/>
      <w:marBottom w:val="0"/>
      <w:divBdr>
        <w:top w:val="none" w:sz="0" w:space="0" w:color="auto"/>
        <w:left w:val="none" w:sz="0" w:space="0" w:color="auto"/>
        <w:bottom w:val="none" w:sz="0" w:space="0" w:color="auto"/>
        <w:right w:val="none" w:sz="0" w:space="0" w:color="auto"/>
      </w:divBdr>
    </w:div>
    <w:div w:id="102070633">
      <w:bodyDiv w:val="1"/>
      <w:marLeft w:val="0"/>
      <w:marRight w:val="0"/>
      <w:marTop w:val="0"/>
      <w:marBottom w:val="0"/>
      <w:divBdr>
        <w:top w:val="none" w:sz="0" w:space="0" w:color="auto"/>
        <w:left w:val="none" w:sz="0" w:space="0" w:color="auto"/>
        <w:bottom w:val="none" w:sz="0" w:space="0" w:color="auto"/>
        <w:right w:val="none" w:sz="0" w:space="0" w:color="auto"/>
      </w:divBdr>
    </w:div>
    <w:div w:id="205723358">
      <w:bodyDiv w:val="1"/>
      <w:marLeft w:val="0"/>
      <w:marRight w:val="0"/>
      <w:marTop w:val="0"/>
      <w:marBottom w:val="0"/>
      <w:divBdr>
        <w:top w:val="none" w:sz="0" w:space="0" w:color="auto"/>
        <w:left w:val="none" w:sz="0" w:space="0" w:color="auto"/>
        <w:bottom w:val="none" w:sz="0" w:space="0" w:color="auto"/>
        <w:right w:val="none" w:sz="0" w:space="0" w:color="auto"/>
      </w:divBdr>
    </w:div>
    <w:div w:id="249044447">
      <w:bodyDiv w:val="1"/>
      <w:marLeft w:val="0"/>
      <w:marRight w:val="0"/>
      <w:marTop w:val="0"/>
      <w:marBottom w:val="0"/>
      <w:divBdr>
        <w:top w:val="none" w:sz="0" w:space="0" w:color="auto"/>
        <w:left w:val="none" w:sz="0" w:space="0" w:color="auto"/>
        <w:bottom w:val="none" w:sz="0" w:space="0" w:color="auto"/>
        <w:right w:val="none" w:sz="0" w:space="0" w:color="auto"/>
      </w:divBdr>
    </w:div>
    <w:div w:id="304311314">
      <w:bodyDiv w:val="1"/>
      <w:marLeft w:val="0"/>
      <w:marRight w:val="0"/>
      <w:marTop w:val="0"/>
      <w:marBottom w:val="0"/>
      <w:divBdr>
        <w:top w:val="none" w:sz="0" w:space="0" w:color="auto"/>
        <w:left w:val="none" w:sz="0" w:space="0" w:color="auto"/>
        <w:bottom w:val="none" w:sz="0" w:space="0" w:color="auto"/>
        <w:right w:val="none" w:sz="0" w:space="0" w:color="auto"/>
      </w:divBdr>
    </w:div>
    <w:div w:id="314647567">
      <w:bodyDiv w:val="1"/>
      <w:marLeft w:val="0"/>
      <w:marRight w:val="0"/>
      <w:marTop w:val="0"/>
      <w:marBottom w:val="0"/>
      <w:divBdr>
        <w:top w:val="none" w:sz="0" w:space="0" w:color="auto"/>
        <w:left w:val="none" w:sz="0" w:space="0" w:color="auto"/>
        <w:bottom w:val="none" w:sz="0" w:space="0" w:color="auto"/>
        <w:right w:val="none" w:sz="0" w:space="0" w:color="auto"/>
      </w:divBdr>
    </w:div>
    <w:div w:id="329716731">
      <w:bodyDiv w:val="1"/>
      <w:marLeft w:val="0"/>
      <w:marRight w:val="0"/>
      <w:marTop w:val="0"/>
      <w:marBottom w:val="0"/>
      <w:divBdr>
        <w:top w:val="none" w:sz="0" w:space="0" w:color="auto"/>
        <w:left w:val="none" w:sz="0" w:space="0" w:color="auto"/>
        <w:bottom w:val="none" w:sz="0" w:space="0" w:color="auto"/>
        <w:right w:val="none" w:sz="0" w:space="0" w:color="auto"/>
      </w:divBdr>
    </w:div>
    <w:div w:id="449905392">
      <w:bodyDiv w:val="1"/>
      <w:marLeft w:val="0"/>
      <w:marRight w:val="0"/>
      <w:marTop w:val="0"/>
      <w:marBottom w:val="0"/>
      <w:divBdr>
        <w:top w:val="none" w:sz="0" w:space="0" w:color="auto"/>
        <w:left w:val="none" w:sz="0" w:space="0" w:color="auto"/>
        <w:bottom w:val="none" w:sz="0" w:space="0" w:color="auto"/>
        <w:right w:val="none" w:sz="0" w:space="0" w:color="auto"/>
      </w:divBdr>
    </w:div>
    <w:div w:id="461311725">
      <w:bodyDiv w:val="1"/>
      <w:marLeft w:val="0"/>
      <w:marRight w:val="0"/>
      <w:marTop w:val="0"/>
      <w:marBottom w:val="0"/>
      <w:divBdr>
        <w:top w:val="none" w:sz="0" w:space="0" w:color="auto"/>
        <w:left w:val="none" w:sz="0" w:space="0" w:color="auto"/>
        <w:bottom w:val="none" w:sz="0" w:space="0" w:color="auto"/>
        <w:right w:val="none" w:sz="0" w:space="0" w:color="auto"/>
      </w:divBdr>
    </w:div>
    <w:div w:id="545527839">
      <w:bodyDiv w:val="1"/>
      <w:marLeft w:val="0"/>
      <w:marRight w:val="0"/>
      <w:marTop w:val="0"/>
      <w:marBottom w:val="0"/>
      <w:divBdr>
        <w:top w:val="none" w:sz="0" w:space="0" w:color="auto"/>
        <w:left w:val="none" w:sz="0" w:space="0" w:color="auto"/>
        <w:bottom w:val="none" w:sz="0" w:space="0" w:color="auto"/>
        <w:right w:val="none" w:sz="0" w:space="0" w:color="auto"/>
      </w:divBdr>
    </w:div>
    <w:div w:id="549538715">
      <w:bodyDiv w:val="1"/>
      <w:marLeft w:val="0"/>
      <w:marRight w:val="0"/>
      <w:marTop w:val="0"/>
      <w:marBottom w:val="0"/>
      <w:divBdr>
        <w:top w:val="none" w:sz="0" w:space="0" w:color="auto"/>
        <w:left w:val="none" w:sz="0" w:space="0" w:color="auto"/>
        <w:bottom w:val="none" w:sz="0" w:space="0" w:color="auto"/>
        <w:right w:val="none" w:sz="0" w:space="0" w:color="auto"/>
      </w:divBdr>
      <w:divsChild>
        <w:div w:id="269359646">
          <w:marLeft w:val="0"/>
          <w:marRight w:val="0"/>
          <w:marTop w:val="0"/>
          <w:marBottom w:val="0"/>
          <w:divBdr>
            <w:top w:val="none" w:sz="0" w:space="0" w:color="auto"/>
            <w:left w:val="none" w:sz="0" w:space="0" w:color="auto"/>
            <w:bottom w:val="none" w:sz="0" w:space="0" w:color="auto"/>
            <w:right w:val="none" w:sz="0" w:space="0" w:color="auto"/>
          </w:divBdr>
        </w:div>
        <w:div w:id="922033229">
          <w:marLeft w:val="0"/>
          <w:marRight w:val="0"/>
          <w:marTop w:val="0"/>
          <w:marBottom w:val="0"/>
          <w:divBdr>
            <w:top w:val="none" w:sz="0" w:space="0" w:color="auto"/>
            <w:left w:val="none" w:sz="0" w:space="0" w:color="auto"/>
            <w:bottom w:val="none" w:sz="0" w:space="0" w:color="auto"/>
            <w:right w:val="none" w:sz="0" w:space="0" w:color="auto"/>
          </w:divBdr>
        </w:div>
        <w:div w:id="1090005754">
          <w:marLeft w:val="0"/>
          <w:marRight w:val="0"/>
          <w:marTop w:val="0"/>
          <w:marBottom w:val="0"/>
          <w:divBdr>
            <w:top w:val="none" w:sz="0" w:space="0" w:color="auto"/>
            <w:left w:val="none" w:sz="0" w:space="0" w:color="auto"/>
            <w:bottom w:val="none" w:sz="0" w:space="0" w:color="auto"/>
            <w:right w:val="none" w:sz="0" w:space="0" w:color="auto"/>
          </w:divBdr>
        </w:div>
        <w:div w:id="1272085380">
          <w:marLeft w:val="0"/>
          <w:marRight w:val="0"/>
          <w:marTop w:val="0"/>
          <w:marBottom w:val="0"/>
          <w:divBdr>
            <w:top w:val="none" w:sz="0" w:space="0" w:color="auto"/>
            <w:left w:val="none" w:sz="0" w:space="0" w:color="auto"/>
            <w:bottom w:val="none" w:sz="0" w:space="0" w:color="auto"/>
            <w:right w:val="none" w:sz="0" w:space="0" w:color="auto"/>
          </w:divBdr>
        </w:div>
        <w:div w:id="1935016075">
          <w:marLeft w:val="0"/>
          <w:marRight w:val="0"/>
          <w:marTop w:val="0"/>
          <w:marBottom w:val="0"/>
          <w:divBdr>
            <w:top w:val="none" w:sz="0" w:space="0" w:color="auto"/>
            <w:left w:val="none" w:sz="0" w:space="0" w:color="auto"/>
            <w:bottom w:val="none" w:sz="0" w:space="0" w:color="auto"/>
            <w:right w:val="none" w:sz="0" w:space="0" w:color="auto"/>
          </w:divBdr>
        </w:div>
      </w:divsChild>
    </w:div>
    <w:div w:id="552084530">
      <w:bodyDiv w:val="1"/>
      <w:marLeft w:val="0"/>
      <w:marRight w:val="0"/>
      <w:marTop w:val="0"/>
      <w:marBottom w:val="0"/>
      <w:divBdr>
        <w:top w:val="none" w:sz="0" w:space="0" w:color="auto"/>
        <w:left w:val="none" w:sz="0" w:space="0" w:color="auto"/>
        <w:bottom w:val="none" w:sz="0" w:space="0" w:color="auto"/>
        <w:right w:val="none" w:sz="0" w:space="0" w:color="auto"/>
      </w:divBdr>
    </w:div>
    <w:div w:id="638993290">
      <w:bodyDiv w:val="1"/>
      <w:marLeft w:val="0"/>
      <w:marRight w:val="0"/>
      <w:marTop w:val="0"/>
      <w:marBottom w:val="0"/>
      <w:divBdr>
        <w:top w:val="none" w:sz="0" w:space="0" w:color="auto"/>
        <w:left w:val="none" w:sz="0" w:space="0" w:color="auto"/>
        <w:bottom w:val="none" w:sz="0" w:space="0" w:color="auto"/>
        <w:right w:val="none" w:sz="0" w:space="0" w:color="auto"/>
      </w:divBdr>
    </w:div>
    <w:div w:id="675231482">
      <w:bodyDiv w:val="1"/>
      <w:marLeft w:val="0"/>
      <w:marRight w:val="0"/>
      <w:marTop w:val="0"/>
      <w:marBottom w:val="0"/>
      <w:divBdr>
        <w:top w:val="none" w:sz="0" w:space="0" w:color="auto"/>
        <w:left w:val="none" w:sz="0" w:space="0" w:color="auto"/>
        <w:bottom w:val="none" w:sz="0" w:space="0" w:color="auto"/>
        <w:right w:val="none" w:sz="0" w:space="0" w:color="auto"/>
      </w:divBdr>
      <w:divsChild>
        <w:div w:id="832182853">
          <w:marLeft w:val="0"/>
          <w:marRight w:val="0"/>
          <w:marTop w:val="0"/>
          <w:marBottom w:val="0"/>
          <w:divBdr>
            <w:top w:val="none" w:sz="0" w:space="0" w:color="auto"/>
            <w:left w:val="none" w:sz="0" w:space="0" w:color="auto"/>
            <w:bottom w:val="none" w:sz="0" w:space="0" w:color="auto"/>
            <w:right w:val="none" w:sz="0" w:space="0" w:color="auto"/>
          </w:divBdr>
        </w:div>
        <w:div w:id="1126973416">
          <w:marLeft w:val="0"/>
          <w:marRight w:val="0"/>
          <w:marTop w:val="0"/>
          <w:marBottom w:val="0"/>
          <w:divBdr>
            <w:top w:val="none" w:sz="0" w:space="0" w:color="auto"/>
            <w:left w:val="none" w:sz="0" w:space="0" w:color="auto"/>
            <w:bottom w:val="none" w:sz="0" w:space="0" w:color="auto"/>
            <w:right w:val="none" w:sz="0" w:space="0" w:color="auto"/>
          </w:divBdr>
        </w:div>
        <w:div w:id="1318462670">
          <w:marLeft w:val="0"/>
          <w:marRight w:val="0"/>
          <w:marTop w:val="0"/>
          <w:marBottom w:val="0"/>
          <w:divBdr>
            <w:top w:val="none" w:sz="0" w:space="0" w:color="auto"/>
            <w:left w:val="none" w:sz="0" w:space="0" w:color="auto"/>
            <w:bottom w:val="none" w:sz="0" w:space="0" w:color="auto"/>
            <w:right w:val="none" w:sz="0" w:space="0" w:color="auto"/>
          </w:divBdr>
        </w:div>
        <w:div w:id="1596405655">
          <w:marLeft w:val="0"/>
          <w:marRight w:val="0"/>
          <w:marTop w:val="0"/>
          <w:marBottom w:val="0"/>
          <w:divBdr>
            <w:top w:val="none" w:sz="0" w:space="0" w:color="auto"/>
            <w:left w:val="none" w:sz="0" w:space="0" w:color="auto"/>
            <w:bottom w:val="none" w:sz="0" w:space="0" w:color="auto"/>
            <w:right w:val="none" w:sz="0" w:space="0" w:color="auto"/>
          </w:divBdr>
        </w:div>
        <w:div w:id="1828860026">
          <w:marLeft w:val="0"/>
          <w:marRight w:val="0"/>
          <w:marTop w:val="0"/>
          <w:marBottom w:val="0"/>
          <w:divBdr>
            <w:top w:val="none" w:sz="0" w:space="0" w:color="auto"/>
            <w:left w:val="none" w:sz="0" w:space="0" w:color="auto"/>
            <w:bottom w:val="none" w:sz="0" w:space="0" w:color="auto"/>
            <w:right w:val="none" w:sz="0" w:space="0" w:color="auto"/>
          </w:divBdr>
        </w:div>
      </w:divsChild>
    </w:div>
    <w:div w:id="692154349">
      <w:bodyDiv w:val="1"/>
      <w:marLeft w:val="0"/>
      <w:marRight w:val="0"/>
      <w:marTop w:val="0"/>
      <w:marBottom w:val="0"/>
      <w:divBdr>
        <w:top w:val="none" w:sz="0" w:space="0" w:color="auto"/>
        <w:left w:val="none" w:sz="0" w:space="0" w:color="auto"/>
        <w:bottom w:val="none" w:sz="0" w:space="0" w:color="auto"/>
        <w:right w:val="none" w:sz="0" w:space="0" w:color="auto"/>
      </w:divBdr>
    </w:div>
    <w:div w:id="753816399">
      <w:bodyDiv w:val="1"/>
      <w:marLeft w:val="0"/>
      <w:marRight w:val="0"/>
      <w:marTop w:val="0"/>
      <w:marBottom w:val="0"/>
      <w:divBdr>
        <w:top w:val="none" w:sz="0" w:space="0" w:color="auto"/>
        <w:left w:val="none" w:sz="0" w:space="0" w:color="auto"/>
        <w:bottom w:val="none" w:sz="0" w:space="0" w:color="auto"/>
        <w:right w:val="none" w:sz="0" w:space="0" w:color="auto"/>
      </w:divBdr>
    </w:div>
    <w:div w:id="800461504">
      <w:bodyDiv w:val="1"/>
      <w:marLeft w:val="0"/>
      <w:marRight w:val="0"/>
      <w:marTop w:val="0"/>
      <w:marBottom w:val="0"/>
      <w:divBdr>
        <w:top w:val="none" w:sz="0" w:space="0" w:color="auto"/>
        <w:left w:val="none" w:sz="0" w:space="0" w:color="auto"/>
        <w:bottom w:val="none" w:sz="0" w:space="0" w:color="auto"/>
        <w:right w:val="none" w:sz="0" w:space="0" w:color="auto"/>
      </w:divBdr>
    </w:div>
    <w:div w:id="814185157">
      <w:bodyDiv w:val="1"/>
      <w:marLeft w:val="0"/>
      <w:marRight w:val="0"/>
      <w:marTop w:val="0"/>
      <w:marBottom w:val="0"/>
      <w:divBdr>
        <w:top w:val="none" w:sz="0" w:space="0" w:color="auto"/>
        <w:left w:val="none" w:sz="0" w:space="0" w:color="auto"/>
        <w:bottom w:val="none" w:sz="0" w:space="0" w:color="auto"/>
        <w:right w:val="none" w:sz="0" w:space="0" w:color="auto"/>
      </w:divBdr>
    </w:div>
    <w:div w:id="820774921">
      <w:bodyDiv w:val="1"/>
      <w:marLeft w:val="0"/>
      <w:marRight w:val="0"/>
      <w:marTop w:val="0"/>
      <w:marBottom w:val="0"/>
      <w:divBdr>
        <w:top w:val="none" w:sz="0" w:space="0" w:color="auto"/>
        <w:left w:val="none" w:sz="0" w:space="0" w:color="auto"/>
        <w:bottom w:val="none" w:sz="0" w:space="0" w:color="auto"/>
        <w:right w:val="none" w:sz="0" w:space="0" w:color="auto"/>
      </w:divBdr>
    </w:div>
    <w:div w:id="828905189">
      <w:bodyDiv w:val="1"/>
      <w:marLeft w:val="0"/>
      <w:marRight w:val="0"/>
      <w:marTop w:val="0"/>
      <w:marBottom w:val="0"/>
      <w:divBdr>
        <w:top w:val="none" w:sz="0" w:space="0" w:color="auto"/>
        <w:left w:val="none" w:sz="0" w:space="0" w:color="auto"/>
        <w:bottom w:val="none" w:sz="0" w:space="0" w:color="auto"/>
        <w:right w:val="none" w:sz="0" w:space="0" w:color="auto"/>
      </w:divBdr>
      <w:divsChild>
        <w:div w:id="165050291">
          <w:marLeft w:val="0"/>
          <w:marRight w:val="0"/>
          <w:marTop w:val="0"/>
          <w:marBottom w:val="0"/>
          <w:divBdr>
            <w:top w:val="none" w:sz="0" w:space="0" w:color="auto"/>
            <w:left w:val="none" w:sz="0" w:space="0" w:color="auto"/>
            <w:bottom w:val="none" w:sz="0" w:space="0" w:color="auto"/>
            <w:right w:val="none" w:sz="0" w:space="0" w:color="auto"/>
          </w:divBdr>
        </w:div>
        <w:div w:id="245844874">
          <w:marLeft w:val="0"/>
          <w:marRight w:val="0"/>
          <w:marTop w:val="0"/>
          <w:marBottom w:val="0"/>
          <w:divBdr>
            <w:top w:val="none" w:sz="0" w:space="0" w:color="auto"/>
            <w:left w:val="none" w:sz="0" w:space="0" w:color="auto"/>
            <w:bottom w:val="none" w:sz="0" w:space="0" w:color="auto"/>
            <w:right w:val="none" w:sz="0" w:space="0" w:color="auto"/>
          </w:divBdr>
        </w:div>
        <w:div w:id="300037590">
          <w:marLeft w:val="0"/>
          <w:marRight w:val="0"/>
          <w:marTop w:val="0"/>
          <w:marBottom w:val="0"/>
          <w:divBdr>
            <w:top w:val="none" w:sz="0" w:space="0" w:color="auto"/>
            <w:left w:val="none" w:sz="0" w:space="0" w:color="auto"/>
            <w:bottom w:val="none" w:sz="0" w:space="0" w:color="auto"/>
            <w:right w:val="none" w:sz="0" w:space="0" w:color="auto"/>
          </w:divBdr>
        </w:div>
        <w:div w:id="305623858">
          <w:marLeft w:val="0"/>
          <w:marRight w:val="0"/>
          <w:marTop w:val="0"/>
          <w:marBottom w:val="0"/>
          <w:divBdr>
            <w:top w:val="none" w:sz="0" w:space="0" w:color="auto"/>
            <w:left w:val="none" w:sz="0" w:space="0" w:color="auto"/>
            <w:bottom w:val="none" w:sz="0" w:space="0" w:color="auto"/>
            <w:right w:val="none" w:sz="0" w:space="0" w:color="auto"/>
          </w:divBdr>
        </w:div>
        <w:div w:id="394667348">
          <w:marLeft w:val="0"/>
          <w:marRight w:val="0"/>
          <w:marTop w:val="0"/>
          <w:marBottom w:val="0"/>
          <w:divBdr>
            <w:top w:val="none" w:sz="0" w:space="0" w:color="auto"/>
            <w:left w:val="none" w:sz="0" w:space="0" w:color="auto"/>
            <w:bottom w:val="none" w:sz="0" w:space="0" w:color="auto"/>
            <w:right w:val="none" w:sz="0" w:space="0" w:color="auto"/>
          </w:divBdr>
        </w:div>
        <w:div w:id="453862813">
          <w:marLeft w:val="0"/>
          <w:marRight w:val="0"/>
          <w:marTop w:val="0"/>
          <w:marBottom w:val="0"/>
          <w:divBdr>
            <w:top w:val="none" w:sz="0" w:space="0" w:color="auto"/>
            <w:left w:val="none" w:sz="0" w:space="0" w:color="auto"/>
            <w:bottom w:val="none" w:sz="0" w:space="0" w:color="auto"/>
            <w:right w:val="none" w:sz="0" w:space="0" w:color="auto"/>
          </w:divBdr>
        </w:div>
        <w:div w:id="475879572">
          <w:marLeft w:val="0"/>
          <w:marRight w:val="0"/>
          <w:marTop w:val="0"/>
          <w:marBottom w:val="0"/>
          <w:divBdr>
            <w:top w:val="none" w:sz="0" w:space="0" w:color="auto"/>
            <w:left w:val="none" w:sz="0" w:space="0" w:color="auto"/>
            <w:bottom w:val="none" w:sz="0" w:space="0" w:color="auto"/>
            <w:right w:val="none" w:sz="0" w:space="0" w:color="auto"/>
          </w:divBdr>
        </w:div>
        <w:div w:id="593051190">
          <w:marLeft w:val="0"/>
          <w:marRight w:val="0"/>
          <w:marTop w:val="0"/>
          <w:marBottom w:val="0"/>
          <w:divBdr>
            <w:top w:val="none" w:sz="0" w:space="0" w:color="auto"/>
            <w:left w:val="none" w:sz="0" w:space="0" w:color="auto"/>
            <w:bottom w:val="none" w:sz="0" w:space="0" w:color="auto"/>
            <w:right w:val="none" w:sz="0" w:space="0" w:color="auto"/>
          </w:divBdr>
        </w:div>
        <w:div w:id="748623337">
          <w:marLeft w:val="0"/>
          <w:marRight w:val="0"/>
          <w:marTop w:val="0"/>
          <w:marBottom w:val="0"/>
          <w:divBdr>
            <w:top w:val="none" w:sz="0" w:space="0" w:color="auto"/>
            <w:left w:val="none" w:sz="0" w:space="0" w:color="auto"/>
            <w:bottom w:val="none" w:sz="0" w:space="0" w:color="auto"/>
            <w:right w:val="none" w:sz="0" w:space="0" w:color="auto"/>
          </w:divBdr>
        </w:div>
        <w:div w:id="777410474">
          <w:marLeft w:val="0"/>
          <w:marRight w:val="0"/>
          <w:marTop w:val="0"/>
          <w:marBottom w:val="0"/>
          <w:divBdr>
            <w:top w:val="none" w:sz="0" w:space="0" w:color="auto"/>
            <w:left w:val="none" w:sz="0" w:space="0" w:color="auto"/>
            <w:bottom w:val="none" w:sz="0" w:space="0" w:color="auto"/>
            <w:right w:val="none" w:sz="0" w:space="0" w:color="auto"/>
          </w:divBdr>
        </w:div>
        <w:div w:id="895892182">
          <w:marLeft w:val="0"/>
          <w:marRight w:val="0"/>
          <w:marTop w:val="0"/>
          <w:marBottom w:val="0"/>
          <w:divBdr>
            <w:top w:val="none" w:sz="0" w:space="0" w:color="auto"/>
            <w:left w:val="none" w:sz="0" w:space="0" w:color="auto"/>
            <w:bottom w:val="none" w:sz="0" w:space="0" w:color="auto"/>
            <w:right w:val="none" w:sz="0" w:space="0" w:color="auto"/>
          </w:divBdr>
        </w:div>
        <w:div w:id="983849480">
          <w:marLeft w:val="0"/>
          <w:marRight w:val="0"/>
          <w:marTop w:val="0"/>
          <w:marBottom w:val="0"/>
          <w:divBdr>
            <w:top w:val="none" w:sz="0" w:space="0" w:color="auto"/>
            <w:left w:val="none" w:sz="0" w:space="0" w:color="auto"/>
            <w:bottom w:val="none" w:sz="0" w:space="0" w:color="auto"/>
            <w:right w:val="none" w:sz="0" w:space="0" w:color="auto"/>
          </w:divBdr>
        </w:div>
        <w:div w:id="1045837658">
          <w:marLeft w:val="0"/>
          <w:marRight w:val="0"/>
          <w:marTop w:val="0"/>
          <w:marBottom w:val="0"/>
          <w:divBdr>
            <w:top w:val="none" w:sz="0" w:space="0" w:color="auto"/>
            <w:left w:val="none" w:sz="0" w:space="0" w:color="auto"/>
            <w:bottom w:val="none" w:sz="0" w:space="0" w:color="auto"/>
            <w:right w:val="none" w:sz="0" w:space="0" w:color="auto"/>
          </w:divBdr>
        </w:div>
        <w:div w:id="1112046526">
          <w:marLeft w:val="0"/>
          <w:marRight w:val="0"/>
          <w:marTop w:val="0"/>
          <w:marBottom w:val="0"/>
          <w:divBdr>
            <w:top w:val="none" w:sz="0" w:space="0" w:color="auto"/>
            <w:left w:val="none" w:sz="0" w:space="0" w:color="auto"/>
            <w:bottom w:val="none" w:sz="0" w:space="0" w:color="auto"/>
            <w:right w:val="none" w:sz="0" w:space="0" w:color="auto"/>
          </w:divBdr>
        </w:div>
        <w:div w:id="1314145181">
          <w:marLeft w:val="0"/>
          <w:marRight w:val="0"/>
          <w:marTop w:val="0"/>
          <w:marBottom w:val="0"/>
          <w:divBdr>
            <w:top w:val="none" w:sz="0" w:space="0" w:color="auto"/>
            <w:left w:val="none" w:sz="0" w:space="0" w:color="auto"/>
            <w:bottom w:val="none" w:sz="0" w:space="0" w:color="auto"/>
            <w:right w:val="none" w:sz="0" w:space="0" w:color="auto"/>
          </w:divBdr>
        </w:div>
        <w:div w:id="1362433657">
          <w:marLeft w:val="0"/>
          <w:marRight w:val="0"/>
          <w:marTop w:val="0"/>
          <w:marBottom w:val="0"/>
          <w:divBdr>
            <w:top w:val="none" w:sz="0" w:space="0" w:color="auto"/>
            <w:left w:val="none" w:sz="0" w:space="0" w:color="auto"/>
            <w:bottom w:val="none" w:sz="0" w:space="0" w:color="auto"/>
            <w:right w:val="none" w:sz="0" w:space="0" w:color="auto"/>
          </w:divBdr>
        </w:div>
        <w:div w:id="1414625129">
          <w:marLeft w:val="0"/>
          <w:marRight w:val="0"/>
          <w:marTop w:val="0"/>
          <w:marBottom w:val="0"/>
          <w:divBdr>
            <w:top w:val="none" w:sz="0" w:space="0" w:color="auto"/>
            <w:left w:val="none" w:sz="0" w:space="0" w:color="auto"/>
            <w:bottom w:val="none" w:sz="0" w:space="0" w:color="auto"/>
            <w:right w:val="none" w:sz="0" w:space="0" w:color="auto"/>
          </w:divBdr>
        </w:div>
        <w:div w:id="1475443679">
          <w:marLeft w:val="0"/>
          <w:marRight w:val="0"/>
          <w:marTop w:val="0"/>
          <w:marBottom w:val="0"/>
          <w:divBdr>
            <w:top w:val="none" w:sz="0" w:space="0" w:color="auto"/>
            <w:left w:val="none" w:sz="0" w:space="0" w:color="auto"/>
            <w:bottom w:val="none" w:sz="0" w:space="0" w:color="auto"/>
            <w:right w:val="none" w:sz="0" w:space="0" w:color="auto"/>
          </w:divBdr>
        </w:div>
        <w:div w:id="1537305502">
          <w:marLeft w:val="0"/>
          <w:marRight w:val="0"/>
          <w:marTop w:val="0"/>
          <w:marBottom w:val="0"/>
          <w:divBdr>
            <w:top w:val="none" w:sz="0" w:space="0" w:color="auto"/>
            <w:left w:val="none" w:sz="0" w:space="0" w:color="auto"/>
            <w:bottom w:val="none" w:sz="0" w:space="0" w:color="auto"/>
            <w:right w:val="none" w:sz="0" w:space="0" w:color="auto"/>
          </w:divBdr>
        </w:div>
        <w:div w:id="1642340529">
          <w:marLeft w:val="0"/>
          <w:marRight w:val="0"/>
          <w:marTop w:val="0"/>
          <w:marBottom w:val="0"/>
          <w:divBdr>
            <w:top w:val="none" w:sz="0" w:space="0" w:color="auto"/>
            <w:left w:val="none" w:sz="0" w:space="0" w:color="auto"/>
            <w:bottom w:val="none" w:sz="0" w:space="0" w:color="auto"/>
            <w:right w:val="none" w:sz="0" w:space="0" w:color="auto"/>
          </w:divBdr>
        </w:div>
        <w:div w:id="1821576078">
          <w:marLeft w:val="0"/>
          <w:marRight w:val="0"/>
          <w:marTop w:val="0"/>
          <w:marBottom w:val="0"/>
          <w:divBdr>
            <w:top w:val="none" w:sz="0" w:space="0" w:color="auto"/>
            <w:left w:val="none" w:sz="0" w:space="0" w:color="auto"/>
            <w:bottom w:val="none" w:sz="0" w:space="0" w:color="auto"/>
            <w:right w:val="none" w:sz="0" w:space="0" w:color="auto"/>
          </w:divBdr>
        </w:div>
        <w:div w:id="1872909949">
          <w:marLeft w:val="0"/>
          <w:marRight w:val="0"/>
          <w:marTop w:val="0"/>
          <w:marBottom w:val="0"/>
          <w:divBdr>
            <w:top w:val="none" w:sz="0" w:space="0" w:color="auto"/>
            <w:left w:val="none" w:sz="0" w:space="0" w:color="auto"/>
            <w:bottom w:val="none" w:sz="0" w:space="0" w:color="auto"/>
            <w:right w:val="none" w:sz="0" w:space="0" w:color="auto"/>
          </w:divBdr>
        </w:div>
      </w:divsChild>
    </w:div>
    <w:div w:id="960451444">
      <w:bodyDiv w:val="1"/>
      <w:marLeft w:val="0"/>
      <w:marRight w:val="0"/>
      <w:marTop w:val="0"/>
      <w:marBottom w:val="0"/>
      <w:divBdr>
        <w:top w:val="none" w:sz="0" w:space="0" w:color="auto"/>
        <w:left w:val="none" w:sz="0" w:space="0" w:color="auto"/>
        <w:bottom w:val="none" w:sz="0" w:space="0" w:color="auto"/>
        <w:right w:val="none" w:sz="0" w:space="0" w:color="auto"/>
      </w:divBdr>
    </w:div>
    <w:div w:id="977107319">
      <w:bodyDiv w:val="1"/>
      <w:marLeft w:val="0"/>
      <w:marRight w:val="0"/>
      <w:marTop w:val="0"/>
      <w:marBottom w:val="0"/>
      <w:divBdr>
        <w:top w:val="none" w:sz="0" w:space="0" w:color="auto"/>
        <w:left w:val="none" w:sz="0" w:space="0" w:color="auto"/>
        <w:bottom w:val="none" w:sz="0" w:space="0" w:color="auto"/>
        <w:right w:val="none" w:sz="0" w:space="0" w:color="auto"/>
      </w:divBdr>
    </w:div>
    <w:div w:id="989016842">
      <w:bodyDiv w:val="1"/>
      <w:marLeft w:val="0"/>
      <w:marRight w:val="0"/>
      <w:marTop w:val="0"/>
      <w:marBottom w:val="0"/>
      <w:divBdr>
        <w:top w:val="none" w:sz="0" w:space="0" w:color="auto"/>
        <w:left w:val="none" w:sz="0" w:space="0" w:color="auto"/>
        <w:bottom w:val="none" w:sz="0" w:space="0" w:color="auto"/>
        <w:right w:val="none" w:sz="0" w:space="0" w:color="auto"/>
      </w:divBdr>
    </w:div>
    <w:div w:id="1023701930">
      <w:bodyDiv w:val="1"/>
      <w:marLeft w:val="0"/>
      <w:marRight w:val="0"/>
      <w:marTop w:val="0"/>
      <w:marBottom w:val="0"/>
      <w:divBdr>
        <w:top w:val="none" w:sz="0" w:space="0" w:color="auto"/>
        <w:left w:val="none" w:sz="0" w:space="0" w:color="auto"/>
        <w:bottom w:val="none" w:sz="0" w:space="0" w:color="auto"/>
        <w:right w:val="none" w:sz="0" w:space="0" w:color="auto"/>
      </w:divBdr>
    </w:div>
    <w:div w:id="1042025015">
      <w:bodyDiv w:val="1"/>
      <w:marLeft w:val="0"/>
      <w:marRight w:val="0"/>
      <w:marTop w:val="0"/>
      <w:marBottom w:val="0"/>
      <w:divBdr>
        <w:top w:val="none" w:sz="0" w:space="0" w:color="auto"/>
        <w:left w:val="none" w:sz="0" w:space="0" w:color="auto"/>
        <w:bottom w:val="none" w:sz="0" w:space="0" w:color="auto"/>
        <w:right w:val="none" w:sz="0" w:space="0" w:color="auto"/>
      </w:divBdr>
    </w:div>
    <w:div w:id="1063261648">
      <w:bodyDiv w:val="1"/>
      <w:marLeft w:val="0"/>
      <w:marRight w:val="0"/>
      <w:marTop w:val="0"/>
      <w:marBottom w:val="0"/>
      <w:divBdr>
        <w:top w:val="none" w:sz="0" w:space="0" w:color="auto"/>
        <w:left w:val="none" w:sz="0" w:space="0" w:color="auto"/>
        <w:bottom w:val="none" w:sz="0" w:space="0" w:color="auto"/>
        <w:right w:val="none" w:sz="0" w:space="0" w:color="auto"/>
      </w:divBdr>
    </w:div>
    <w:div w:id="1102453626">
      <w:bodyDiv w:val="1"/>
      <w:marLeft w:val="0"/>
      <w:marRight w:val="0"/>
      <w:marTop w:val="0"/>
      <w:marBottom w:val="0"/>
      <w:divBdr>
        <w:top w:val="none" w:sz="0" w:space="0" w:color="auto"/>
        <w:left w:val="none" w:sz="0" w:space="0" w:color="auto"/>
        <w:bottom w:val="none" w:sz="0" w:space="0" w:color="auto"/>
        <w:right w:val="none" w:sz="0" w:space="0" w:color="auto"/>
      </w:divBdr>
    </w:div>
    <w:div w:id="1174807837">
      <w:bodyDiv w:val="1"/>
      <w:marLeft w:val="0"/>
      <w:marRight w:val="0"/>
      <w:marTop w:val="0"/>
      <w:marBottom w:val="0"/>
      <w:divBdr>
        <w:top w:val="none" w:sz="0" w:space="0" w:color="auto"/>
        <w:left w:val="none" w:sz="0" w:space="0" w:color="auto"/>
        <w:bottom w:val="none" w:sz="0" w:space="0" w:color="auto"/>
        <w:right w:val="none" w:sz="0" w:space="0" w:color="auto"/>
      </w:divBdr>
    </w:div>
    <w:div w:id="1210187809">
      <w:bodyDiv w:val="1"/>
      <w:marLeft w:val="0"/>
      <w:marRight w:val="0"/>
      <w:marTop w:val="0"/>
      <w:marBottom w:val="0"/>
      <w:divBdr>
        <w:top w:val="none" w:sz="0" w:space="0" w:color="auto"/>
        <w:left w:val="none" w:sz="0" w:space="0" w:color="auto"/>
        <w:bottom w:val="none" w:sz="0" w:space="0" w:color="auto"/>
        <w:right w:val="none" w:sz="0" w:space="0" w:color="auto"/>
      </w:divBdr>
    </w:div>
    <w:div w:id="1220432415">
      <w:bodyDiv w:val="1"/>
      <w:marLeft w:val="0"/>
      <w:marRight w:val="0"/>
      <w:marTop w:val="0"/>
      <w:marBottom w:val="0"/>
      <w:divBdr>
        <w:top w:val="none" w:sz="0" w:space="0" w:color="auto"/>
        <w:left w:val="none" w:sz="0" w:space="0" w:color="auto"/>
        <w:bottom w:val="none" w:sz="0" w:space="0" w:color="auto"/>
        <w:right w:val="none" w:sz="0" w:space="0" w:color="auto"/>
      </w:divBdr>
    </w:div>
    <w:div w:id="1228567961">
      <w:bodyDiv w:val="1"/>
      <w:marLeft w:val="0"/>
      <w:marRight w:val="0"/>
      <w:marTop w:val="0"/>
      <w:marBottom w:val="0"/>
      <w:divBdr>
        <w:top w:val="none" w:sz="0" w:space="0" w:color="auto"/>
        <w:left w:val="none" w:sz="0" w:space="0" w:color="auto"/>
        <w:bottom w:val="none" w:sz="0" w:space="0" w:color="auto"/>
        <w:right w:val="none" w:sz="0" w:space="0" w:color="auto"/>
      </w:divBdr>
    </w:div>
    <w:div w:id="1232035257">
      <w:bodyDiv w:val="1"/>
      <w:marLeft w:val="0"/>
      <w:marRight w:val="0"/>
      <w:marTop w:val="0"/>
      <w:marBottom w:val="0"/>
      <w:divBdr>
        <w:top w:val="none" w:sz="0" w:space="0" w:color="auto"/>
        <w:left w:val="none" w:sz="0" w:space="0" w:color="auto"/>
        <w:bottom w:val="none" w:sz="0" w:space="0" w:color="auto"/>
        <w:right w:val="none" w:sz="0" w:space="0" w:color="auto"/>
      </w:divBdr>
    </w:div>
    <w:div w:id="1272393527">
      <w:bodyDiv w:val="1"/>
      <w:marLeft w:val="0"/>
      <w:marRight w:val="0"/>
      <w:marTop w:val="0"/>
      <w:marBottom w:val="0"/>
      <w:divBdr>
        <w:top w:val="none" w:sz="0" w:space="0" w:color="auto"/>
        <w:left w:val="none" w:sz="0" w:space="0" w:color="auto"/>
        <w:bottom w:val="none" w:sz="0" w:space="0" w:color="auto"/>
        <w:right w:val="none" w:sz="0" w:space="0" w:color="auto"/>
      </w:divBdr>
    </w:div>
    <w:div w:id="1290862882">
      <w:bodyDiv w:val="1"/>
      <w:marLeft w:val="0"/>
      <w:marRight w:val="0"/>
      <w:marTop w:val="0"/>
      <w:marBottom w:val="0"/>
      <w:divBdr>
        <w:top w:val="none" w:sz="0" w:space="0" w:color="auto"/>
        <w:left w:val="none" w:sz="0" w:space="0" w:color="auto"/>
        <w:bottom w:val="none" w:sz="0" w:space="0" w:color="auto"/>
        <w:right w:val="none" w:sz="0" w:space="0" w:color="auto"/>
      </w:divBdr>
    </w:div>
    <w:div w:id="1378580356">
      <w:bodyDiv w:val="1"/>
      <w:marLeft w:val="0"/>
      <w:marRight w:val="0"/>
      <w:marTop w:val="0"/>
      <w:marBottom w:val="0"/>
      <w:divBdr>
        <w:top w:val="none" w:sz="0" w:space="0" w:color="auto"/>
        <w:left w:val="none" w:sz="0" w:space="0" w:color="auto"/>
        <w:bottom w:val="none" w:sz="0" w:space="0" w:color="auto"/>
        <w:right w:val="none" w:sz="0" w:space="0" w:color="auto"/>
      </w:divBdr>
    </w:div>
    <w:div w:id="1404260331">
      <w:bodyDiv w:val="1"/>
      <w:marLeft w:val="0"/>
      <w:marRight w:val="0"/>
      <w:marTop w:val="0"/>
      <w:marBottom w:val="0"/>
      <w:divBdr>
        <w:top w:val="none" w:sz="0" w:space="0" w:color="auto"/>
        <w:left w:val="none" w:sz="0" w:space="0" w:color="auto"/>
        <w:bottom w:val="none" w:sz="0" w:space="0" w:color="auto"/>
        <w:right w:val="none" w:sz="0" w:space="0" w:color="auto"/>
      </w:divBdr>
    </w:div>
    <w:div w:id="1425882897">
      <w:bodyDiv w:val="1"/>
      <w:marLeft w:val="0"/>
      <w:marRight w:val="0"/>
      <w:marTop w:val="0"/>
      <w:marBottom w:val="0"/>
      <w:divBdr>
        <w:top w:val="none" w:sz="0" w:space="0" w:color="auto"/>
        <w:left w:val="none" w:sz="0" w:space="0" w:color="auto"/>
        <w:bottom w:val="none" w:sz="0" w:space="0" w:color="auto"/>
        <w:right w:val="none" w:sz="0" w:space="0" w:color="auto"/>
      </w:divBdr>
    </w:div>
    <w:div w:id="1450473476">
      <w:bodyDiv w:val="1"/>
      <w:marLeft w:val="0"/>
      <w:marRight w:val="0"/>
      <w:marTop w:val="0"/>
      <w:marBottom w:val="0"/>
      <w:divBdr>
        <w:top w:val="none" w:sz="0" w:space="0" w:color="auto"/>
        <w:left w:val="none" w:sz="0" w:space="0" w:color="auto"/>
        <w:bottom w:val="none" w:sz="0" w:space="0" w:color="auto"/>
        <w:right w:val="none" w:sz="0" w:space="0" w:color="auto"/>
      </w:divBdr>
    </w:div>
    <w:div w:id="1483036525">
      <w:bodyDiv w:val="1"/>
      <w:marLeft w:val="0"/>
      <w:marRight w:val="0"/>
      <w:marTop w:val="0"/>
      <w:marBottom w:val="0"/>
      <w:divBdr>
        <w:top w:val="none" w:sz="0" w:space="0" w:color="auto"/>
        <w:left w:val="none" w:sz="0" w:space="0" w:color="auto"/>
        <w:bottom w:val="none" w:sz="0" w:space="0" w:color="auto"/>
        <w:right w:val="none" w:sz="0" w:space="0" w:color="auto"/>
      </w:divBdr>
    </w:div>
    <w:div w:id="1483080402">
      <w:bodyDiv w:val="1"/>
      <w:marLeft w:val="0"/>
      <w:marRight w:val="0"/>
      <w:marTop w:val="0"/>
      <w:marBottom w:val="0"/>
      <w:divBdr>
        <w:top w:val="none" w:sz="0" w:space="0" w:color="auto"/>
        <w:left w:val="none" w:sz="0" w:space="0" w:color="auto"/>
        <w:bottom w:val="none" w:sz="0" w:space="0" w:color="auto"/>
        <w:right w:val="none" w:sz="0" w:space="0" w:color="auto"/>
      </w:divBdr>
    </w:div>
    <w:div w:id="1503545649">
      <w:bodyDiv w:val="1"/>
      <w:marLeft w:val="0"/>
      <w:marRight w:val="0"/>
      <w:marTop w:val="0"/>
      <w:marBottom w:val="0"/>
      <w:divBdr>
        <w:top w:val="none" w:sz="0" w:space="0" w:color="auto"/>
        <w:left w:val="none" w:sz="0" w:space="0" w:color="auto"/>
        <w:bottom w:val="none" w:sz="0" w:space="0" w:color="auto"/>
        <w:right w:val="none" w:sz="0" w:space="0" w:color="auto"/>
      </w:divBdr>
    </w:div>
    <w:div w:id="1505629212">
      <w:bodyDiv w:val="1"/>
      <w:marLeft w:val="0"/>
      <w:marRight w:val="0"/>
      <w:marTop w:val="0"/>
      <w:marBottom w:val="0"/>
      <w:divBdr>
        <w:top w:val="none" w:sz="0" w:space="0" w:color="auto"/>
        <w:left w:val="none" w:sz="0" w:space="0" w:color="auto"/>
        <w:bottom w:val="none" w:sz="0" w:space="0" w:color="auto"/>
        <w:right w:val="none" w:sz="0" w:space="0" w:color="auto"/>
      </w:divBdr>
    </w:div>
    <w:div w:id="1574699891">
      <w:bodyDiv w:val="1"/>
      <w:marLeft w:val="0"/>
      <w:marRight w:val="0"/>
      <w:marTop w:val="0"/>
      <w:marBottom w:val="0"/>
      <w:divBdr>
        <w:top w:val="none" w:sz="0" w:space="0" w:color="auto"/>
        <w:left w:val="none" w:sz="0" w:space="0" w:color="auto"/>
        <w:bottom w:val="none" w:sz="0" w:space="0" w:color="auto"/>
        <w:right w:val="none" w:sz="0" w:space="0" w:color="auto"/>
      </w:divBdr>
    </w:div>
    <w:div w:id="1617980999">
      <w:bodyDiv w:val="1"/>
      <w:marLeft w:val="0"/>
      <w:marRight w:val="0"/>
      <w:marTop w:val="0"/>
      <w:marBottom w:val="0"/>
      <w:divBdr>
        <w:top w:val="none" w:sz="0" w:space="0" w:color="auto"/>
        <w:left w:val="none" w:sz="0" w:space="0" w:color="auto"/>
        <w:bottom w:val="none" w:sz="0" w:space="0" w:color="auto"/>
        <w:right w:val="none" w:sz="0" w:space="0" w:color="auto"/>
      </w:divBdr>
    </w:div>
    <w:div w:id="1688286037">
      <w:bodyDiv w:val="1"/>
      <w:marLeft w:val="0"/>
      <w:marRight w:val="0"/>
      <w:marTop w:val="0"/>
      <w:marBottom w:val="0"/>
      <w:divBdr>
        <w:top w:val="none" w:sz="0" w:space="0" w:color="auto"/>
        <w:left w:val="none" w:sz="0" w:space="0" w:color="auto"/>
        <w:bottom w:val="none" w:sz="0" w:space="0" w:color="auto"/>
        <w:right w:val="none" w:sz="0" w:space="0" w:color="auto"/>
      </w:divBdr>
    </w:div>
    <w:div w:id="1693384881">
      <w:bodyDiv w:val="1"/>
      <w:marLeft w:val="0"/>
      <w:marRight w:val="0"/>
      <w:marTop w:val="0"/>
      <w:marBottom w:val="0"/>
      <w:divBdr>
        <w:top w:val="none" w:sz="0" w:space="0" w:color="auto"/>
        <w:left w:val="none" w:sz="0" w:space="0" w:color="auto"/>
        <w:bottom w:val="none" w:sz="0" w:space="0" w:color="auto"/>
        <w:right w:val="none" w:sz="0" w:space="0" w:color="auto"/>
      </w:divBdr>
    </w:div>
    <w:div w:id="1767800429">
      <w:bodyDiv w:val="1"/>
      <w:marLeft w:val="0"/>
      <w:marRight w:val="0"/>
      <w:marTop w:val="0"/>
      <w:marBottom w:val="0"/>
      <w:divBdr>
        <w:top w:val="none" w:sz="0" w:space="0" w:color="auto"/>
        <w:left w:val="none" w:sz="0" w:space="0" w:color="auto"/>
        <w:bottom w:val="none" w:sz="0" w:space="0" w:color="auto"/>
        <w:right w:val="none" w:sz="0" w:space="0" w:color="auto"/>
      </w:divBdr>
    </w:div>
    <w:div w:id="1902280447">
      <w:bodyDiv w:val="1"/>
      <w:marLeft w:val="0"/>
      <w:marRight w:val="0"/>
      <w:marTop w:val="0"/>
      <w:marBottom w:val="0"/>
      <w:divBdr>
        <w:top w:val="none" w:sz="0" w:space="0" w:color="auto"/>
        <w:left w:val="none" w:sz="0" w:space="0" w:color="auto"/>
        <w:bottom w:val="none" w:sz="0" w:space="0" w:color="auto"/>
        <w:right w:val="none" w:sz="0" w:space="0" w:color="auto"/>
      </w:divBdr>
    </w:div>
    <w:div w:id="1935019397">
      <w:bodyDiv w:val="1"/>
      <w:marLeft w:val="0"/>
      <w:marRight w:val="0"/>
      <w:marTop w:val="0"/>
      <w:marBottom w:val="0"/>
      <w:divBdr>
        <w:top w:val="none" w:sz="0" w:space="0" w:color="auto"/>
        <w:left w:val="none" w:sz="0" w:space="0" w:color="auto"/>
        <w:bottom w:val="none" w:sz="0" w:space="0" w:color="auto"/>
        <w:right w:val="none" w:sz="0" w:space="0" w:color="auto"/>
      </w:divBdr>
    </w:div>
    <w:div w:id="1937060063">
      <w:bodyDiv w:val="1"/>
      <w:marLeft w:val="0"/>
      <w:marRight w:val="0"/>
      <w:marTop w:val="0"/>
      <w:marBottom w:val="0"/>
      <w:divBdr>
        <w:top w:val="none" w:sz="0" w:space="0" w:color="auto"/>
        <w:left w:val="none" w:sz="0" w:space="0" w:color="auto"/>
        <w:bottom w:val="none" w:sz="0" w:space="0" w:color="auto"/>
        <w:right w:val="none" w:sz="0" w:space="0" w:color="auto"/>
      </w:divBdr>
    </w:div>
    <w:div w:id="1974869598">
      <w:bodyDiv w:val="1"/>
      <w:marLeft w:val="0"/>
      <w:marRight w:val="0"/>
      <w:marTop w:val="0"/>
      <w:marBottom w:val="0"/>
      <w:divBdr>
        <w:top w:val="none" w:sz="0" w:space="0" w:color="auto"/>
        <w:left w:val="none" w:sz="0" w:space="0" w:color="auto"/>
        <w:bottom w:val="none" w:sz="0" w:space="0" w:color="auto"/>
        <w:right w:val="none" w:sz="0" w:space="0" w:color="auto"/>
      </w:divBdr>
    </w:div>
    <w:div w:id="2012443513">
      <w:bodyDiv w:val="1"/>
      <w:marLeft w:val="0"/>
      <w:marRight w:val="0"/>
      <w:marTop w:val="0"/>
      <w:marBottom w:val="0"/>
      <w:divBdr>
        <w:top w:val="none" w:sz="0" w:space="0" w:color="auto"/>
        <w:left w:val="none" w:sz="0" w:space="0" w:color="auto"/>
        <w:bottom w:val="none" w:sz="0" w:space="0" w:color="auto"/>
        <w:right w:val="none" w:sz="0" w:space="0" w:color="auto"/>
      </w:divBdr>
    </w:div>
    <w:div w:id="2056394343">
      <w:bodyDiv w:val="1"/>
      <w:marLeft w:val="0"/>
      <w:marRight w:val="0"/>
      <w:marTop w:val="0"/>
      <w:marBottom w:val="0"/>
      <w:divBdr>
        <w:top w:val="none" w:sz="0" w:space="0" w:color="auto"/>
        <w:left w:val="none" w:sz="0" w:space="0" w:color="auto"/>
        <w:bottom w:val="none" w:sz="0" w:space="0" w:color="auto"/>
        <w:right w:val="none" w:sz="0" w:space="0" w:color="auto"/>
      </w:divBdr>
    </w:div>
    <w:div w:id="20949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xfam.org" TargetMode="Externa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13" Type="http://schemas.openxmlformats.org/officeDocument/2006/relationships/hyperlink" Target="https://www.kornferry.com/content/dam/kornferry-v2/featured-topics/pdf/Total_Rewards_Pulse_Survey_Report_FINAL.pdf" TargetMode="External"/><Relationship Id="rId18" Type="http://schemas.openxmlformats.org/officeDocument/2006/relationships/hyperlink" Target="http://www.fc-ssc.org/en/partnership_program/south_south_countries" TargetMode="External"/><Relationship Id="rId26" Type="http://schemas.openxmlformats.org/officeDocument/2006/relationships/hyperlink" Target="https://www.ilo.org/shinyapps/bulkexplorer26/?id=EAR_4MTH_SEX_ECO_CUR_NB_A&amp;sex=SEX_F&amp;classif1=ECO_ISIC4_Q+ECO_ISIC3_N&amp;classif2=CUR_TYPE_USD&amp;timefrom=2021&amp;latestyear=TRUE" TargetMode="External"/><Relationship Id="rId39" Type="http://schemas.openxmlformats.org/officeDocument/2006/relationships/hyperlink" Target="https://brill.com/view/journals/hima/aop/article-10.1163-1569206x-bja10005/article-10.1163-1569206x-bja10005.xml?language=en" TargetMode="External"/><Relationship Id="rId3" Type="http://schemas.openxmlformats.org/officeDocument/2006/relationships/hyperlink" Target="https://www.credit-suisse.com/media/assets/corporate/docs/about-us/research/publications/global-wealth-databook-2019.pdf" TargetMode="External"/><Relationship Id="rId21" Type="http://schemas.openxmlformats.org/officeDocument/2006/relationships/hyperlink" Target="https://data.bls.gov/pdq/SurveyOutputServlet" TargetMode="External"/><Relationship Id="rId34" Type="http://schemas.openxmlformats.org/officeDocument/2006/relationships/hyperlink" Target="https://www.worldbenchmarkingalliance.org/research/social-transformation-framework/" TargetMode="External"/><Relationship Id="rId42" Type="http://schemas.openxmlformats.org/officeDocument/2006/relationships/hyperlink" Target="https://pip.worldbank.org/" TargetMode="External"/><Relationship Id="rId47" Type="http://schemas.openxmlformats.org/officeDocument/2006/relationships/hyperlink" Target="https://www.investopedia.com/terms/p/principal-shareholder.asp" TargetMode="External"/><Relationship Id="rId50" Type="http://schemas.openxmlformats.org/officeDocument/2006/relationships/hyperlink" Target="https://www.bloomberg.com/authors/ASoVO4WYW28/ben-bartenstein" TargetMode="External"/><Relationship Id="rId7" Type="http://schemas.openxmlformats.org/officeDocument/2006/relationships/hyperlink" Target="https://ec.europa.eu/eurostat/databrowser/bookmark/2d16b716-8253-483f-ab99-2ed9ddb64a05?lang=en" TargetMode="External"/><Relationship Id="rId12" Type="http://schemas.openxmlformats.org/officeDocument/2006/relationships/hyperlink" Target="https://www.kornferry.com/content/dam/kornferry-v2/featured-topics/pdf/Global-Rewards-Pulse-Survey-2022.pdf" TargetMode="External"/><Relationship Id="rId17" Type="http://schemas.openxmlformats.org/officeDocument/2006/relationships/hyperlink" Target="https://www.forbes.com/sites/forbespr/2020/04/07/forbes-publishes-34th-annual-list-of-global-billionaires/?sh=28f073a33edf" TargetMode="External"/><Relationship Id="rId25" Type="http://schemas.openxmlformats.org/officeDocument/2006/relationships/hyperlink" Target="https://www.bloomberg.com/graphics/2022-highest-paid-ceos/?leadSource=uverify%20wall" TargetMode="External"/><Relationship Id="rId33" Type="http://schemas.openxmlformats.org/officeDocument/2006/relationships/hyperlink" Target="https://www.worldbenchmarkingalliance.org/research/core-social-indicator-assessments-of-2000-of-the-largest-and-most-influential-companies-globally/" TargetMode="External"/><Relationship Id="rId38" Type="http://schemas.openxmlformats.org/officeDocument/2006/relationships/hyperlink" Target="https://www.janushenderson.com/en-us/advisor/press-releases/global-share-buybacks-surge-to-a-record-1-31-trillion-almost-equalling-dividends/" TargetMode="External"/><Relationship Id="rId46" Type="http://schemas.openxmlformats.org/officeDocument/2006/relationships/hyperlink" Target="https://www.tradingview.com/markets/world-stocks/worlds-largest-companies/" TargetMode="External"/><Relationship Id="rId2" Type="http://schemas.openxmlformats.org/officeDocument/2006/relationships/hyperlink" Target="https://www.ubs.com/global/en/family-office-uhnw/reports/global-wealth-report-2023.html" TargetMode="External"/><Relationship Id="rId16" Type="http://schemas.openxmlformats.org/officeDocument/2006/relationships/hyperlink" Target="https://data.bls.gov/pdq/SurveyOutputServlet" TargetMode="External"/><Relationship Id="rId20" Type="http://schemas.openxmlformats.org/officeDocument/2006/relationships/hyperlink" Target="https://www.imf.org/en/Publications/WEO/weo-database/2023/October" TargetMode="External"/><Relationship Id="rId29" Type="http://schemas.openxmlformats.org/officeDocument/2006/relationships/hyperlink" Target="https://www.consilium.europa.eu/en/press/press-releases/2022/09/30/council-agrees-on-emergency-measures-to-reduce-energy-prices/" TargetMode="External"/><Relationship Id="rId41" Type="http://schemas.openxmlformats.org/officeDocument/2006/relationships/hyperlink" Target="https://ourworldindata.org/grapher/palma-ratio-s90s40-ratio?tab=table&amp;time=1980" TargetMode="External"/><Relationship Id="rId1" Type="http://schemas.openxmlformats.org/officeDocument/2006/relationships/hyperlink" Target="https://www.forbes.com/real-time-billionaires/" TargetMode="External"/><Relationship Id="rId6" Type="http://schemas.openxmlformats.org/officeDocument/2006/relationships/hyperlink" Target="https://ec.europa.eu/eurostat/databrowser/bookmark/39db59e4-d0d3-487e-aef2-950f3b481962?lang=en" TargetMode="External"/><Relationship Id="rId11" Type="http://schemas.openxmlformats.org/officeDocument/2006/relationships/hyperlink" Target="https://www.ilo.org/shinyapps/bulkexplorer22/?id=EAR_XEES_SEX_ECO_NB_Q&amp;sex=SEX_T&amp;classif1=ECO_SECTOR_TOTAL+ECO_AGGREGATE_TOTAL+ECO_ISIC4_TOTAL&amp;timefrom=2023" TargetMode="External"/><Relationship Id="rId24" Type="http://schemas.openxmlformats.org/officeDocument/2006/relationships/hyperlink" Target="https://twitter.com/MelinAnders" TargetMode="External"/><Relationship Id="rId32" Type="http://schemas.openxmlformats.org/officeDocument/2006/relationships/hyperlink" Target="https://www.worldbenchmarkingalliance.org/research/systems-transformations-report/" TargetMode="External"/><Relationship Id="rId37" Type="http://schemas.openxmlformats.org/officeDocument/2006/relationships/hyperlink" Target="https://www.janushenderson.com/en-no/advisor/press-releases/global-dividends-broke-new-records-in-2022-likely-to-slow-in-2023/" TargetMode="External"/><Relationship Id="rId40" Type="http://schemas.openxmlformats.org/officeDocument/2006/relationships/hyperlink" Target="https://wid.world/data/" TargetMode="External"/><Relationship Id="rId45" Type="http://schemas.openxmlformats.org/officeDocument/2006/relationships/hyperlink" Target="https://www.imf.org/en/Publications/WEO/weo-database/2023/October/select-country-group" TargetMode="External"/><Relationship Id="rId53" Type="http://schemas.openxmlformats.org/officeDocument/2006/relationships/hyperlink" Target="https://www.bloomberg.com/features/2022-worlds-richest-family-abu-dhabi-royals-al-nahyans/" TargetMode="External"/><Relationship Id="rId5" Type="http://schemas.openxmlformats.org/officeDocument/2006/relationships/hyperlink" Target="https://databankfiles.worldbank.org/public/ddpext_download/POP.pdf" TargetMode="External"/><Relationship Id="rId15" Type="http://schemas.openxmlformats.org/officeDocument/2006/relationships/hyperlink" Target="https://www.theglobaleconomy.com/" TargetMode="External"/><Relationship Id="rId23" Type="http://schemas.openxmlformats.org/officeDocument/2006/relationships/hyperlink" Target="https://data.unwomen.org/features/poverty-deepens-women-and-girls-according-latest-projections" TargetMode="External"/><Relationship Id="rId28" Type="http://schemas.openxmlformats.org/officeDocument/2006/relationships/hyperlink" Target="https://exerica.com/" TargetMode="External"/><Relationship Id="rId36" Type="http://schemas.openxmlformats.org/officeDocument/2006/relationships/hyperlink" Target="https://api.mziq.com/mzfilemanager/v2/d/25fdf098-34f5-4608-b7fa-17d60b2de47d/42bdc7b7-a63d-2e64-1b41-cd835265871e?origin=1" TargetMode="External"/><Relationship Id="rId49" Type="http://schemas.openxmlformats.org/officeDocument/2006/relationships/hyperlink" Target="https://www.bloomberg.com/authors/AQdUWe1dz2M/devon-pendleton" TargetMode="External"/><Relationship Id="rId10" Type="http://schemas.openxmlformats.org/officeDocument/2006/relationships/hyperlink" Target="https://www.ilo.org/shinyapps/bulkexplorer22/?id=EAR_4MTH_SEX_ECO_CUR_NB_A&amp;sex=SEX_T&amp;classif1=ECO_AGGREGATE_TOTAL+ECO_ISIC4_TOTAL&amp;classif2=CUR_TYPE_LCU&amp;timefrom=2021" TargetMode="External"/><Relationship Id="rId19" Type="http://schemas.openxmlformats.org/officeDocument/2006/relationships/hyperlink" Target="https://www.credit-suisse.com/media/assets/corporate/docs/about-us/research/publications/global-wealth-databook-2018.pdf" TargetMode="External"/><Relationship Id="rId31" Type="http://schemas.openxmlformats.org/officeDocument/2006/relationships/hyperlink" Target="https://exerica.com/" TargetMode="External"/><Relationship Id="rId44" Type="http://schemas.openxmlformats.org/officeDocument/2006/relationships/hyperlink" Target="https://www.forbes.com/lists/global2000/?sh=3da986d5ac04" TargetMode="External"/><Relationship Id="rId52" Type="http://schemas.openxmlformats.org/officeDocument/2006/relationships/hyperlink" Target="https://www.bloomberg.com/authors/AUHoPp7IDs8/nicolas-parasie" TargetMode="External"/><Relationship Id="rId4" Type="http://schemas.openxmlformats.org/officeDocument/2006/relationships/hyperlink" Target="https://data.bls.gov/pdq/SurveyOutputServlet" TargetMode="External"/><Relationship Id="rId9" Type="http://schemas.openxmlformats.org/officeDocument/2006/relationships/hyperlink" Target="https://www.ilo.org/infostories/getmedia/534d9c07-5870-4b6e-85a4-ccda41e77c0f/globalwagereport-2022-23-data.xlsx" TargetMode="External"/><Relationship Id="rId14" Type="http://schemas.openxmlformats.org/officeDocument/2006/relationships/hyperlink" Target="https://www.ilo.org/shinyapps/bulkexplorer37/?lang=en&amp;id=EMP_TEMP_SEX_AGE_NB_A" TargetMode="External"/><Relationship Id="rId22" Type="http://schemas.openxmlformats.org/officeDocument/2006/relationships/hyperlink" Target="https://blogs.worldbank.org/opendata/poverty-back-pre-covid-levels-globally-not-low-income-countries" TargetMode="External"/><Relationship Id="rId27" Type="http://schemas.openxmlformats.org/officeDocument/2006/relationships/hyperlink" Target="https://altrata.com/products/wealth-x" TargetMode="External"/><Relationship Id="rId30" Type="http://schemas.openxmlformats.org/officeDocument/2006/relationships/hyperlink" Target="https://www.oxfam.org/en/press-releases/eu-energy-windfall-tax-european-countries-must-aim-50-90-percent-rate-and-not-let" TargetMode="External"/><Relationship Id="rId35" Type="http://schemas.openxmlformats.org/officeDocument/2006/relationships/hyperlink" Target="https://exerica.com/" TargetMode="External"/><Relationship Id="rId43" Type="http://schemas.openxmlformats.org/officeDocument/2006/relationships/hyperlink" Target="https://www.theglobaleconomy.com/download-data.php" TargetMode="External"/><Relationship Id="rId48" Type="http://schemas.openxmlformats.org/officeDocument/2006/relationships/hyperlink" Target="https://www.bloomberg.com/features/2022-worlds-richest-families/?leadSource=uverify%20wall" TargetMode="External"/><Relationship Id="rId8" Type="http://schemas.openxmlformats.org/officeDocument/2006/relationships/hyperlink" Target="https://ec.europa.eu/eurostat/databrowser/view/lc_nhour_r2/default/table?lang=en" TargetMode="External"/><Relationship Id="rId51" Type="http://schemas.openxmlformats.org/officeDocument/2006/relationships/hyperlink" Target="https://www.bloomberg.com/authors/AURja4Y2-N0/farah-elbahraw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wie1\Downloads\Oxfam%20methodology%20note%202022%20en%20Nov2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'[Davos 2024 Stats and data-current version .xlsx]Fig 2'!$A$3</c:f>
              <c:strCache>
                <c:ptCount val="1"/>
                <c:pt idx="0">
                  <c:v>Net profit total 148 companies</c:v>
                </c:pt>
              </c:strCache>
            </c:strRef>
          </c:tx>
          <c:spPr>
            <a:solidFill>
              <a:schemeClr val="accent6"/>
            </a:solidFill>
            <a:ln>
              <a:noFill/>
            </a:ln>
            <a:effectLst/>
          </c:spPr>
          <c:invertIfNegative val="0"/>
          <c:cat>
            <c:strRef>
              <c:f>'[Davos 2024 Stats and data-current version .xlsx]Fig 2'!$B$1:$G$2</c:f>
              <c:strCache>
                <c:ptCount val="6"/>
                <c:pt idx="0">
                  <c:v>2018</c:v>
                </c:pt>
                <c:pt idx="1">
                  <c:v>2019</c:v>
                </c:pt>
                <c:pt idx="2">
                  <c:v>2020</c:v>
                </c:pt>
                <c:pt idx="3">
                  <c:v>2021</c:v>
                </c:pt>
                <c:pt idx="4">
                  <c:v>2022</c:v>
                </c:pt>
                <c:pt idx="5">
                  <c:v>2023</c:v>
                </c:pt>
              </c:strCache>
            </c:strRef>
          </c:cat>
          <c:val>
            <c:numRef>
              <c:f>'[Davos 2024 Stats and data-current version .xlsx]Fig 2'!$B$3:$G$3</c:f>
              <c:numCache>
                <c:formatCode>_-* #,##0_-;\-* #,##0_-;_-* "-"??_-;_-@_-</c:formatCode>
                <c:ptCount val="6"/>
                <c:pt idx="0">
                  <c:v>1055.8673122841999</c:v>
                </c:pt>
                <c:pt idx="1">
                  <c:v>1211.7926910734</c:v>
                </c:pt>
                <c:pt idx="2">
                  <c:v>932.90960699999994</c:v>
                </c:pt>
                <c:pt idx="3">
                  <c:v>1483.8022169999999</c:v>
                </c:pt>
                <c:pt idx="4">
                  <c:v>1732.16273097098</c:v>
                </c:pt>
                <c:pt idx="5">
                  <c:v>1776.9248547525299</c:v>
                </c:pt>
              </c:numCache>
            </c:numRef>
          </c:val>
          <c:extLst>
            <c:ext xmlns:c16="http://schemas.microsoft.com/office/drawing/2014/chart" uri="{C3380CC4-5D6E-409C-BE32-E72D297353CC}">
              <c16:uniqueId val="{00000000-CBC1-4D23-9F98-117B5987B476}"/>
            </c:ext>
          </c:extLst>
        </c:ser>
        <c:dLbls>
          <c:showLegendKey val="0"/>
          <c:showVal val="0"/>
          <c:showCatName val="0"/>
          <c:showSerName val="0"/>
          <c:showPercent val="0"/>
          <c:showBubbleSize val="0"/>
        </c:dLbls>
        <c:gapWidth val="219"/>
        <c:axId val="1053444207"/>
        <c:axId val="239867135"/>
        <c:extLst>
          <c:ext xmlns:c15="http://schemas.microsoft.com/office/drawing/2012/chart" uri="{02D57815-91ED-43cb-92C2-25804820EDAC}">
            <c15:filteredBarSeries>
              <c15:ser>
                <c:idx val="1"/>
                <c:order val="1"/>
                <c:tx>
                  <c:strRef>
                    <c:extLst>
                      <c:ext uri="{02D57815-91ED-43cb-92C2-25804820EDAC}">
                        <c15:formulaRef>
                          <c15:sqref>'[Davos 2024 Stats and data-current version .xlsx]Fig 2'!$A$4</c15:sqref>
                        </c15:formulaRef>
                      </c:ext>
                    </c:extLst>
                    <c:strCache>
                      <c:ptCount val="1"/>
                      <c:pt idx="0">
                        <c:v>Net profit of 14 oil, gas and coal corporations</c:v>
                      </c:pt>
                    </c:strCache>
                  </c:strRef>
                </c:tx>
                <c:spPr>
                  <a:solidFill>
                    <a:schemeClr val="accent5"/>
                  </a:solidFill>
                  <a:ln>
                    <a:noFill/>
                  </a:ln>
                  <a:effectLst/>
                </c:spPr>
                <c:invertIfNegative val="0"/>
                <c:cat>
                  <c:strRef>
                    <c:extLst>
                      <c:ext uri="{02D57815-91ED-43cb-92C2-25804820EDAC}">
                        <c15:formulaRef>
                          <c15:sqref>'[Davos 2024 Stats and data-current version .xlsx]Fig 2'!$B$1:$G$2</c15:sqref>
                        </c15:formulaRef>
                      </c:ext>
                    </c:extLst>
                    <c:strCache>
                      <c:ptCount val="6"/>
                      <c:pt idx="0">
                        <c:v>2018</c:v>
                      </c:pt>
                      <c:pt idx="1">
                        <c:v>2019</c:v>
                      </c:pt>
                      <c:pt idx="2">
                        <c:v>2020</c:v>
                      </c:pt>
                      <c:pt idx="3">
                        <c:v>2021</c:v>
                      </c:pt>
                      <c:pt idx="4">
                        <c:v>2022</c:v>
                      </c:pt>
                      <c:pt idx="5">
                        <c:v>2023</c:v>
                      </c:pt>
                    </c:strCache>
                  </c:strRef>
                </c:cat>
                <c:val>
                  <c:numRef>
                    <c:extLst>
                      <c:ext uri="{02D57815-91ED-43cb-92C2-25804820EDAC}">
                        <c15:formulaRef>
                          <c15:sqref>'[Davos 2024 Stats and data-current version .xlsx]Fig 2'!$B$4:$G$4</c15:sqref>
                        </c15:formulaRef>
                      </c:ext>
                    </c:extLst>
                    <c:numCache>
                      <c:formatCode>_-* #,##0_-;\-* #,##0_-;_-* "-"??_-;_-@_-</c:formatCode>
                      <c:ptCount val="6"/>
                      <c:pt idx="0">
                        <c:v>123.01532899999999</c:v>
                      </c:pt>
                      <c:pt idx="1">
                        <c:v>139.016987</c:v>
                      </c:pt>
                      <c:pt idx="2">
                        <c:v>-38.555357000000001</c:v>
                      </c:pt>
                      <c:pt idx="3">
                        <c:v>70.762570999999994</c:v>
                      </c:pt>
                      <c:pt idx="4">
                        <c:v>232.131</c:v>
                      </c:pt>
                      <c:pt idx="5">
                        <c:v>277.84800000000001</c:v>
                      </c:pt>
                    </c:numCache>
                  </c:numRef>
                </c:val>
                <c:extLst>
                  <c:ext xmlns:c16="http://schemas.microsoft.com/office/drawing/2014/chart" uri="{C3380CC4-5D6E-409C-BE32-E72D297353CC}">
                    <c16:uniqueId val="{00000002-CBC1-4D23-9F98-117B5987B47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'[Davos 2024 Stats and data-current version .xlsx]Fig 2'!$A$5</c15:sqref>
                        </c15:formulaRef>
                      </c:ext>
                    </c:extLst>
                    <c:strCache>
                      <c:ptCount val="1"/>
                      <c:pt idx="0">
                        <c:v>22 financial industry corporations</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'[Davos 2024 Stats and data-current version .xlsx]Fig 2'!$B$1:$G$2</c15:sqref>
                        </c15:formulaRef>
                      </c:ext>
                    </c:extLst>
                    <c:strCache>
                      <c:ptCount val="6"/>
                      <c:pt idx="0">
                        <c:v>2018</c:v>
                      </c:pt>
                      <c:pt idx="1">
                        <c:v>2019</c:v>
                      </c:pt>
                      <c:pt idx="2">
                        <c:v>2020</c:v>
                      </c:pt>
                      <c:pt idx="3">
                        <c:v>2021</c:v>
                      </c:pt>
                      <c:pt idx="4">
                        <c:v>2022</c:v>
                      </c:pt>
                      <c:pt idx="5">
                        <c:v>2023</c:v>
                      </c:pt>
                    </c:strCache>
                  </c:strRef>
                </c:cat>
                <c:val>
                  <c:numRef>
                    <c:extLst xmlns:c15="http://schemas.microsoft.com/office/drawing/2012/chart">
                      <c:ext xmlns:c15="http://schemas.microsoft.com/office/drawing/2012/chart" uri="{02D57815-91ED-43cb-92C2-25804820EDAC}">
                        <c15:formulaRef>
                          <c15:sqref>'[Davos 2024 Stats and data-current version .xlsx]Fig 2'!$B$5:$G$5</c15:sqref>
                        </c15:formulaRef>
                      </c:ext>
                    </c:extLst>
                    <c:numCache>
                      <c:formatCode>_-* #,##0_-;\-* #,##0_-;_-* "-"??_-;_-@_-</c:formatCode>
                      <c:ptCount val="6"/>
                      <c:pt idx="0">
                        <c:v>254.05757799999998</c:v>
                      </c:pt>
                      <c:pt idx="1">
                        <c:v>289.68460800000003</c:v>
                      </c:pt>
                      <c:pt idx="2">
                        <c:v>224.72252000000003</c:v>
                      </c:pt>
                      <c:pt idx="3">
                        <c:v>403.63314800000001</c:v>
                      </c:pt>
                      <c:pt idx="4">
                        <c:v>319.98822999999999</c:v>
                      </c:pt>
                      <c:pt idx="5">
                        <c:v>387.77362899999997</c:v>
                      </c:pt>
                    </c:numCache>
                  </c:numRef>
                </c:val>
                <c:extLst xmlns:c15="http://schemas.microsoft.com/office/drawing/2012/chart">
                  <c:ext xmlns:c16="http://schemas.microsoft.com/office/drawing/2014/chart" uri="{C3380CC4-5D6E-409C-BE32-E72D297353CC}">
                    <c16:uniqueId val="{00000003-CBC1-4D23-9F98-117B5987B47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'[Davos 2024 Stats and data-current version .xlsx]Fig 2'!$A$6</c15:sqref>
                        </c15:formulaRef>
                      </c:ext>
                    </c:extLst>
                    <c:strCache>
                      <c:ptCount val="1"/>
                      <c:pt idx="0">
                        <c:v>11 semiconductor corporations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'[Davos 2024 Stats and data-current version .xlsx]Fig 2'!$B$1:$G$2</c15:sqref>
                        </c15:formulaRef>
                      </c:ext>
                    </c:extLst>
                    <c:strCache>
                      <c:ptCount val="6"/>
                      <c:pt idx="0">
                        <c:v>2018</c:v>
                      </c:pt>
                      <c:pt idx="1">
                        <c:v>2019</c:v>
                      </c:pt>
                      <c:pt idx="2">
                        <c:v>2020</c:v>
                      </c:pt>
                      <c:pt idx="3">
                        <c:v>2021</c:v>
                      </c:pt>
                      <c:pt idx="4">
                        <c:v>2022</c:v>
                      </c:pt>
                      <c:pt idx="5">
                        <c:v>2023</c:v>
                      </c:pt>
                    </c:strCache>
                  </c:strRef>
                </c:cat>
                <c:val>
                  <c:numRef>
                    <c:extLst xmlns:c15="http://schemas.microsoft.com/office/drawing/2012/chart">
                      <c:ext xmlns:c15="http://schemas.microsoft.com/office/drawing/2012/chart" uri="{02D57815-91ED-43cb-92C2-25804820EDAC}">
                        <c15:formulaRef>
                          <c15:sqref>'[Davos 2024 Stats and data-current version .xlsx]Fig 2'!$B$6:$G$6</c15:sqref>
                        </c15:formulaRef>
                      </c:ext>
                    </c:extLst>
                    <c:numCache>
                      <c:formatCode>_-* #,##0_-;\-* #,##0_-;_-* "-"??_-;_-@_-</c:formatCode>
                      <c:ptCount val="6"/>
                      <c:pt idx="0">
                        <c:v>60.312456000000005</c:v>
                      </c:pt>
                      <c:pt idx="1">
                        <c:v>61.0016810734</c:v>
                      </c:pt>
                      <c:pt idx="2">
                        <c:v>61.462581999999998</c:v>
                      </c:pt>
                      <c:pt idx="3">
                        <c:v>84.212319000000008</c:v>
                      </c:pt>
                      <c:pt idx="4">
                        <c:v>112.16796297098</c:v>
                      </c:pt>
                      <c:pt idx="5">
                        <c:v>85.418906000000007</c:v>
                      </c:pt>
                    </c:numCache>
                  </c:numRef>
                </c:val>
                <c:extLst xmlns:c15="http://schemas.microsoft.com/office/drawing/2012/chart">
                  <c:ext xmlns:c16="http://schemas.microsoft.com/office/drawing/2014/chart" uri="{C3380CC4-5D6E-409C-BE32-E72D297353CC}">
                    <c16:uniqueId val="{00000004-CBC1-4D23-9F98-117B5987B47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'[Davos 2024 Stats and data-current version .xlsx]Fig 2'!$A$7</c15:sqref>
                        </c15:formulaRef>
                      </c:ext>
                    </c:extLst>
                    <c:strCache>
                      <c:ptCount val="1"/>
                      <c:pt idx="0">
                        <c:v>2 luxury goods companies</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'[Davos 2024 Stats and data-current version .xlsx]Fig 2'!$B$1:$G$2</c15:sqref>
                        </c15:formulaRef>
                      </c:ext>
                    </c:extLst>
                    <c:strCache>
                      <c:ptCount val="6"/>
                      <c:pt idx="0">
                        <c:v>2018</c:v>
                      </c:pt>
                      <c:pt idx="1">
                        <c:v>2019</c:v>
                      </c:pt>
                      <c:pt idx="2">
                        <c:v>2020</c:v>
                      </c:pt>
                      <c:pt idx="3">
                        <c:v>2021</c:v>
                      </c:pt>
                      <c:pt idx="4">
                        <c:v>2022</c:v>
                      </c:pt>
                      <c:pt idx="5">
                        <c:v>2023</c:v>
                      </c:pt>
                    </c:strCache>
                  </c:strRef>
                </c:cat>
                <c:val>
                  <c:numRef>
                    <c:extLst xmlns:c15="http://schemas.microsoft.com/office/drawing/2012/chart">
                      <c:ext xmlns:c15="http://schemas.microsoft.com/office/drawing/2012/chart" uri="{02D57815-91ED-43cb-92C2-25804820EDAC}">
                        <c15:formulaRef>
                          <c15:sqref>'[Davos 2024 Stats and data-current version .xlsx]Fig 2'!$B$7:$G$7</c15:sqref>
                        </c15:formulaRef>
                      </c:ext>
                    </c:extLst>
                    <c:numCache>
                      <c:formatCode>_-* #,##0_-;\-* #,##0_-;_-* "-"??_-;_-@_-</c:formatCode>
                      <c:ptCount val="6"/>
                      <c:pt idx="0">
                        <c:v>9.0228000000000002</c:v>
                      </c:pt>
                      <c:pt idx="1">
                        <c:v>10.240399999999999</c:v>
                      </c:pt>
                      <c:pt idx="2">
                        <c:v>6.6273999999999997</c:v>
                      </c:pt>
                      <c:pt idx="3">
                        <c:v>13.765000000000001</c:v>
                      </c:pt>
                      <c:pt idx="4">
                        <c:v>20.400099999999998</c:v>
                      </c:pt>
                      <c:pt idx="5">
                        <c:v>21.847999999999999</c:v>
                      </c:pt>
                    </c:numCache>
                  </c:numRef>
                </c:val>
                <c:extLst xmlns:c15="http://schemas.microsoft.com/office/drawing/2012/chart">
                  <c:ext xmlns:c16="http://schemas.microsoft.com/office/drawing/2014/chart" uri="{C3380CC4-5D6E-409C-BE32-E72D297353CC}">
                    <c16:uniqueId val="{00000005-CBC1-4D23-9F98-117B5987B47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'[Davos 2024 Stats and data-current version .xlsx]Fig 2'!$A$8</c15:sqref>
                        </c15:formulaRef>
                      </c:ext>
                    </c:extLst>
                    <c:strCache>
                      <c:ptCount val="1"/>
                      <c:pt idx="0">
                        <c:v>11 pharmaceutical corporations</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'[Davos 2024 Stats and data-current version .xlsx]Fig 2'!$B$1:$G$2</c15:sqref>
                        </c15:formulaRef>
                      </c:ext>
                    </c:extLst>
                    <c:strCache>
                      <c:ptCount val="6"/>
                      <c:pt idx="0">
                        <c:v>2018</c:v>
                      </c:pt>
                      <c:pt idx="1">
                        <c:v>2019</c:v>
                      </c:pt>
                      <c:pt idx="2">
                        <c:v>2020</c:v>
                      </c:pt>
                      <c:pt idx="3">
                        <c:v>2021</c:v>
                      </c:pt>
                      <c:pt idx="4">
                        <c:v>2022</c:v>
                      </c:pt>
                      <c:pt idx="5">
                        <c:v>2023</c:v>
                      </c:pt>
                    </c:strCache>
                  </c:strRef>
                </c:cat>
                <c:val>
                  <c:numRef>
                    <c:extLst xmlns:c15="http://schemas.microsoft.com/office/drawing/2012/chart">
                      <c:ext xmlns:c15="http://schemas.microsoft.com/office/drawing/2012/chart" uri="{02D57815-91ED-43cb-92C2-25804820EDAC}">
                        <c15:formulaRef>
                          <c15:sqref>'[Davos 2024 Stats and data-current version .xlsx]Fig 2'!$B$8:$G$8</c15:sqref>
                        </c15:formulaRef>
                      </c:ext>
                    </c:extLst>
                    <c:numCache>
                      <c:formatCode>_-* #,##0_-;\-* #,##0_-;_-* "-"??_-;_-@_-</c:formatCode>
                      <c:ptCount val="6"/>
                      <c:pt idx="0">
                        <c:v>64.854199999999992</c:v>
                      </c:pt>
                      <c:pt idx="1">
                        <c:v>94.009299999999996</c:v>
                      </c:pt>
                      <c:pt idx="2">
                        <c:v>95.970100000000002</c:v>
                      </c:pt>
                      <c:pt idx="3">
                        <c:v>83.243700000000004</c:v>
                      </c:pt>
                      <c:pt idx="4">
                        <c:v>142.74960000000002</c:v>
                      </c:pt>
                      <c:pt idx="5">
                        <c:v>111.50749999999999</c:v>
                      </c:pt>
                    </c:numCache>
                  </c:numRef>
                </c:val>
                <c:extLst xmlns:c15="http://schemas.microsoft.com/office/drawing/2012/chart">
                  <c:ext xmlns:c16="http://schemas.microsoft.com/office/drawing/2014/chart" uri="{C3380CC4-5D6E-409C-BE32-E72D297353CC}">
                    <c16:uniqueId val="{00000006-CBC1-4D23-9F98-117B5987B476}"/>
                  </c:ext>
                </c:extLst>
              </c15:ser>
            </c15:filteredBarSeries>
          </c:ext>
        </c:extLst>
      </c:barChart>
      <c:lineChart>
        <c:grouping val="standard"/>
        <c:varyColors val="0"/>
        <c:ser>
          <c:idx val="6"/>
          <c:order val="6"/>
          <c:tx>
            <c:strRef>
              <c:f>'[Davos 2024 Stats and data-current version .xlsx]Fig 2'!$A$9</c:f>
              <c:strCache>
                <c:ptCount val="1"/>
                <c:pt idx="0">
                  <c:v>Average profits 148 companies, 2018-21</c:v>
                </c:pt>
              </c:strCache>
            </c:strRef>
          </c:tx>
          <c:spPr>
            <a:ln w="28575" cap="rnd">
              <a:solidFill>
                <a:schemeClr val="accent6">
                  <a:lumMod val="80000"/>
                  <a:lumOff val="20000"/>
                </a:schemeClr>
              </a:solidFill>
              <a:round/>
            </a:ln>
            <a:effectLst/>
          </c:spPr>
          <c:marker>
            <c:symbol val="none"/>
          </c:marker>
          <c:cat>
            <c:strRef>
              <c:f>'[Davos 2024 Stats and data-current version .xlsx]Fig 2'!$B$1:$G$2</c:f>
              <c:strCache>
                <c:ptCount val="6"/>
                <c:pt idx="0">
                  <c:v>2018</c:v>
                </c:pt>
                <c:pt idx="1">
                  <c:v>2019</c:v>
                </c:pt>
                <c:pt idx="2">
                  <c:v>2020</c:v>
                </c:pt>
                <c:pt idx="3">
                  <c:v>2021</c:v>
                </c:pt>
                <c:pt idx="4">
                  <c:v>2022</c:v>
                </c:pt>
                <c:pt idx="5">
                  <c:v>2023</c:v>
                </c:pt>
              </c:strCache>
            </c:strRef>
          </c:cat>
          <c:val>
            <c:numRef>
              <c:f>'[Davos 2024 Stats and data-current version .xlsx]Fig 2'!$B$9:$G$9</c:f>
              <c:numCache>
                <c:formatCode>_-* #,##0_-;\-* #,##0_-;_-* "-"??_-;_-@_-</c:formatCode>
                <c:ptCount val="6"/>
                <c:pt idx="0">
                  <c:v>1171.0929568393999</c:v>
                </c:pt>
                <c:pt idx="1">
                  <c:v>1171.0929568393999</c:v>
                </c:pt>
                <c:pt idx="2">
                  <c:v>1171.0929568393999</c:v>
                </c:pt>
                <c:pt idx="3">
                  <c:v>1171.0929568393999</c:v>
                </c:pt>
                <c:pt idx="4">
                  <c:v>1171.0929568393999</c:v>
                </c:pt>
                <c:pt idx="5">
                  <c:v>1171.0929568393999</c:v>
                </c:pt>
              </c:numCache>
            </c:numRef>
          </c:val>
          <c:smooth val="0"/>
          <c:extLst>
            <c:ext xmlns:c16="http://schemas.microsoft.com/office/drawing/2014/chart" uri="{C3380CC4-5D6E-409C-BE32-E72D297353CC}">
              <c16:uniqueId val="{00000001-CBC1-4D23-9F98-117B5987B476}"/>
            </c:ext>
          </c:extLst>
        </c:ser>
        <c:dLbls>
          <c:showLegendKey val="0"/>
          <c:showVal val="0"/>
          <c:showCatName val="0"/>
          <c:showSerName val="0"/>
          <c:showPercent val="0"/>
          <c:showBubbleSize val="0"/>
        </c:dLbls>
        <c:marker val="1"/>
        <c:smooth val="0"/>
        <c:axId val="1053444207"/>
        <c:axId val="239867135"/>
      </c:lineChart>
      <c:catAx>
        <c:axId val="10534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867135"/>
        <c:crosses val="autoZero"/>
        <c:auto val="1"/>
        <c:lblAlgn val="ctr"/>
        <c:lblOffset val="100"/>
        <c:noMultiLvlLbl val="0"/>
      </c:catAx>
      <c:valAx>
        <c:axId val="239867135"/>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latin typeface="Oxfam TSTAR PRO" panose="02000806030000020004" pitchFamily="2" charset="0"/>
                  </a:rPr>
                  <a:t>US$ billion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44420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'[Davos 2024 Stats and data-current version .xlsx]Fig 2'!$A$4</c:f>
              <c:strCache>
                <c:ptCount val="1"/>
                <c:pt idx="0">
                  <c:v>Net profit of 14 oil, gas and coal corporations</c:v>
                </c:pt>
              </c:strCache>
            </c:strRef>
          </c:tx>
          <c:spPr>
            <a:solidFill>
              <a:schemeClr val="accent1"/>
            </a:solidFill>
            <a:ln>
              <a:noFill/>
            </a:ln>
            <a:effectLst/>
          </c:spPr>
          <c:invertIfNegative val="0"/>
          <c:cat>
            <c:strRef>
              <c:f>'[Davos 2024 Stats and data-current version .xlsx]Fig 2'!$I$2:$J$2</c:f>
              <c:strCache>
                <c:ptCount val="2"/>
                <c:pt idx="0">
                  <c:v>Year to June 2022</c:v>
                </c:pt>
                <c:pt idx="1">
                  <c:v>Year to June 2023</c:v>
                </c:pt>
              </c:strCache>
            </c:strRef>
          </c:cat>
          <c:val>
            <c:numRef>
              <c:f>'[Davos 2024 Stats and data-current version .xlsx]Fig 2'!$I$4:$J$4</c:f>
              <c:numCache>
                <c:formatCode>0%</c:formatCode>
                <c:ptCount val="2"/>
                <c:pt idx="0">
                  <c:v>2.1556738824317727</c:v>
                </c:pt>
                <c:pt idx="1">
                  <c:v>2.7771675342194846</c:v>
                </c:pt>
              </c:numCache>
            </c:numRef>
          </c:val>
          <c:extLst>
            <c:ext xmlns:c16="http://schemas.microsoft.com/office/drawing/2014/chart" uri="{C3380CC4-5D6E-409C-BE32-E72D297353CC}">
              <c16:uniqueId val="{00000000-66B3-433B-833F-1494CC023003}"/>
            </c:ext>
          </c:extLst>
        </c:ser>
        <c:ser>
          <c:idx val="2"/>
          <c:order val="2"/>
          <c:tx>
            <c:strRef>
              <c:f>'[Davos 2024 Stats and data-current version .xlsx]Fig 2'!$A$6</c:f>
              <c:strCache>
                <c:ptCount val="1"/>
                <c:pt idx="0">
                  <c:v>11 semiconductor corporations</c:v>
                </c:pt>
              </c:strCache>
            </c:strRef>
          </c:tx>
          <c:spPr>
            <a:solidFill>
              <a:schemeClr val="accent3"/>
            </a:solidFill>
            <a:ln>
              <a:noFill/>
            </a:ln>
            <a:effectLst/>
          </c:spPr>
          <c:invertIfNegative val="0"/>
          <c:cat>
            <c:strRef>
              <c:f>'[Davos 2024 Stats and data-current version .xlsx]Fig 2'!$I$2:$J$2</c:f>
              <c:strCache>
                <c:ptCount val="2"/>
                <c:pt idx="0">
                  <c:v>Year to June 2022</c:v>
                </c:pt>
                <c:pt idx="1">
                  <c:v>Year to June 2023</c:v>
                </c:pt>
              </c:strCache>
            </c:strRef>
          </c:cat>
          <c:val>
            <c:numRef>
              <c:f>'[Davos 2024 Stats and data-current version .xlsx]Fig 2'!$I$6:$J$6</c:f>
              <c:numCache>
                <c:formatCode>0%</c:formatCode>
                <c:ptCount val="2"/>
                <c:pt idx="0">
                  <c:v>0.68048791486552396</c:v>
                </c:pt>
                <c:pt idx="1">
                  <c:v>0.2797365257597853</c:v>
                </c:pt>
              </c:numCache>
            </c:numRef>
          </c:val>
          <c:extLst>
            <c:ext xmlns:c16="http://schemas.microsoft.com/office/drawing/2014/chart" uri="{C3380CC4-5D6E-409C-BE32-E72D297353CC}">
              <c16:uniqueId val="{00000001-66B3-433B-833F-1494CC023003}"/>
            </c:ext>
          </c:extLst>
        </c:ser>
        <c:ser>
          <c:idx val="3"/>
          <c:order val="3"/>
          <c:tx>
            <c:strRef>
              <c:f>'[Davos 2024 Stats and data-current version .xlsx]Fig 2'!$A$7</c:f>
              <c:strCache>
                <c:ptCount val="1"/>
                <c:pt idx="0">
                  <c:v>2 luxury goods companies</c:v>
                </c:pt>
              </c:strCache>
            </c:strRef>
          </c:tx>
          <c:spPr>
            <a:solidFill>
              <a:schemeClr val="accent4"/>
            </a:solidFill>
            <a:ln>
              <a:noFill/>
            </a:ln>
            <a:effectLst/>
          </c:spPr>
          <c:invertIfNegative val="0"/>
          <c:cat>
            <c:strRef>
              <c:f>'[Davos 2024 Stats and data-current version .xlsx]Fig 2'!$I$2:$J$2</c:f>
              <c:strCache>
                <c:ptCount val="2"/>
                <c:pt idx="0">
                  <c:v>Year to June 2022</c:v>
                </c:pt>
                <c:pt idx="1">
                  <c:v>Year to June 2023</c:v>
                </c:pt>
              </c:strCache>
            </c:strRef>
          </c:cat>
          <c:val>
            <c:numRef>
              <c:f>'[Davos 2024 Stats and data-current version .xlsx]Fig 2'!$I$7:$J$7</c:f>
              <c:numCache>
                <c:formatCode>0%</c:formatCode>
                <c:ptCount val="2"/>
                <c:pt idx="0">
                  <c:v>1.0577270297259402</c:v>
                </c:pt>
                <c:pt idx="1">
                  <c:v>1.2037744984314953</c:v>
                </c:pt>
              </c:numCache>
            </c:numRef>
          </c:val>
          <c:extLst>
            <c:ext xmlns:c16="http://schemas.microsoft.com/office/drawing/2014/chart" uri="{C3380CC4-5D6E-409C-BE32-E72D297353CC}">
              <c16:uniqueId val="{00000002-66B3-433B-833F-1494CC023003}"/>
            </c:ext>
          </c:extLst>
        </c:ser>
        <c:ser>
          <c:idx val="4"/>
          <c:order val="4"/>
          <c:tx>
            <c:strRef>
              <c:f>'[Davos 2024 Stats and data-current version .xlsx]Fig 2'!$A$8</c:f>
              <c:strCache>
                <c:ptCount val="1"/>
                <c:pt idx="0">
                  <c:v>11 pharmaceutical corporations</c:v>
                </c:pt>
              </c:strCache>
            </c:strRef>
          </c:tx>
          <c:spPr>
            <a:solidFill>
              <a:schemeClr val="accent5"/>
            </a:solidFill>
            <a:ln>
              <a:noFill/>
            </a:ln>
            <a:effectLst/>
          </c:spPr>
          <c:invertIfNegative val="0"/>
          <c:cat>
            <c:strRef>
              <c:f>'[Davos 2024 Stats and data-current version .xlsx]Fig 2'!$I$2:$J$2</c:f>
              <c:strCache>
                <c:ptCount val="2"/>
                <c:pt idx="0">
                  <c:v>Year to June 2022</c:v>
                </c:pt>
                <c:pt idx="1">
                  <c:v>Year to June 2023</c:v>
                </c:pt>
              </c:strCache>
            </c:strRef>
          </c:cat>
          <c:val>
            <c:numRef>
              <c:f>'[Davos 2024 Stats and data-current version .xlsx]Fig 2'!$I$8:$J$8</c:f>
              <c:numCache>
                <c:formatCode>0%</c:formatCode>
                <c:ptCount val="2"/>
                <c:pt idx="0">
                  <c:v>0.68895811697502329</c:v>
                </c:pt>
                <c:pt idx="1">
                  <c:v>0.3193136599233371</c:v>
                </c:pt>
              </c:numCache>
            </c:numRef>
          </c:val>
          <c:extLst>
            <c:ext xmlns:c16="http://schemas.microsoft.com/office/drawing/2014/chart" uri="{C3380CC4-5D6E-409C-BE32-E72D297353CC}">
              <c16:uniqueId val="{00000003-66B3-433B-833F-1494CC023003}"/>
            </c:ext>
          </c:extLst>
        </c:ser>
        <c:dLbls>
          <c:showLegendKey val="0"/>
          <c:showVal val="0"/>
          <c:showCatName val="0"/>
          <c:showSerName val="0"/>
          <c:showPercent val="0"/>
          <c:showBubbleSize val="0"/>
        </c:dLbls>
        <c:gapWidth val="182"/>
        <c:axId val="1060048879"/>
        <c:axId val="2089147951"/>
        <c:extLst>
          <c:ext xmlns:c15="http://schemas.microsoft.com/office/drawing/2012/chart" uri="{02D57815-91ED-43cb-92C2-25804820EDAC}">
            <c15:filteredBarSeries>
              <c15:ser>
                <c:idx val="1"/>
                <c:order val="1"/>
                <c:tx>
                  <c:strRef>
                    <c:extLst>
                      <c:ext uri="{02D57815-91ED-43cb-92C2-25804820EDAC}">
                        <c15:formulaRef>
                          <c15:sqref>'[Davos 2024 Stats and data-current version .xlsx]Fig 2'!$A$5</c15:sqref>
                        </c15:formulaRef>
                      </c:ext>
                    </c:extLst>
                    <c:strCache>
                      <c:ptCount val="1"/>
                      <c:pt idx="0">
                        <c:v>22 financial industry corporations</c:v>
                      </c:pt>
                    </c:strCache>
                  </c:strRef>
                </c:tx>
                <c:spPr>
                  <a:solidFill>
                    <a:schemeClr val="accent2"/>
                  </a:solidFill>
                  <a:ln>
                    <a:noFill/>
                  </a:ln>
                  <a:effectLst/>
                </c:spPr>
                <c:invertIfNegative val="0"/>
                <c:cat>
                  <c:strRef>
                    <c:extLst>
                      <c:ext uri="{02D57815-91ED-43cb-92C2-25804820EDAC}">
                        <c15:formulaRef>
                          <c15:sqref>'[Davos 2024 Stats and data-current version .xlsx]Fig 2'!$I$2:$J$2</c15:sqref>
                        </c15:formulaRef>
                      </c:ext>
                    </c:extLst>
                    <c:strCache>
                      <c:ptCount val="2"/>
                      <c:pt idx="0">
                        <c:v>Year to June 2022</c:v>
                      </c:pt>
                      <c:pt idx="1">
                        <c:v>Year to June 2023</c:v>
                      </c:pt>
                    </c:strCache>
                  </c:strRef>
                </c:cat>
                <c:val>
                  <c:numRef>
                    <c:extLst>
                      <c:ext uri="{02D57815-91ED-43cb-92C2-25804820EDAC}">
                        <c15:formulaRef>
                          <c15:sqref>'[Davos 2024 Stats and data-current version .xlsx]Fig 2'!$I$5:$J$5</c15:sqref>
                        </c15:formulaRef>
                      </c:ext>
                    </c:extLst>
                    <c:numCache>
                      <c:formatCode>0%</c:formatCode>
                      <c:ptCount val="2"/>
                      <c:pt idx="0">
                        <c:v>9.2018823882259126E-2</c:v>
                      </c:pt>
                      <c:pt idx="1">
                        <c:v>0.32334899403373513</c:v>
                      </c:pt>
                    </c:numCache>
                  </c:numRef>
                </c:val>
                <c:extLst>
                  <c:ext xmlns:c16="http://schemas.microsoft.com/office/drawing/2014/chart" uri="{C3380CC4-5D6E-409C-BE32-E72D297353CC}">
                    <c16:uniqueId val="{00000004-66B3-433B-833F-1494CC023003}"/>
                  </c:ext>
                </c:extLst>
              </c15:ser>
            </c15:filteredBarSeries>
          </c:ext>
        </c:extLst>
      </c:barChart>
      <c:catAx>
        <c:axId val="106004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147951"/>
        <c:crosses val="autoZero"/>
        <c:auto val="1"/>
        <c:lblAlgn val="ctr"/>
        <c:lblOffset val="100"/>
        <c:noMultiLvlLbl val="0"/>
      </c:catAx>
      <c:valAx>
        <c:axId val="20891479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0488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F62B16936C497AA5D88D5CC543443A"/>
        <w:category>
          <w:name w:val="General"/>
          <w:gallery w:val="placeholder"/>
        </w:category>
        <w:types>
          <w:type w:val="bbPlcHdr"/>
        </w:types>
        <w:behaviors>
          <w:behavior w:val="content"/>
        </w:behaviors>
        <w:guid w:val="{B86B825B-AFCE-448B-8E45-FDA422F07C00}"/>
      </w:docPartPr>
      <w:docPartBody>
        <w:p w:rsidR="00ED7880" w:rsidRDefault="001D1A3D">
          <w:pPr>
            <w:pStyle w:val="B0F62B16936C497AA5D88D5CC543443A"/>
          </w:pPr>
          <w:r w:rsidRPr="00A279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xfam TSTAR PRO">
    <w:panose1 w:val="02000806030000020004"/>
    <w:charset w:val="00"/>
    <w:family w:val="modern"/>
    <w:notTrueType/>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Oxfam TSTAR PRO Headline">
    <w:panose1 w:val="02000806030000020004"/>
    <w:charset w:val="00"/>
    <w:family w:val="modern"/>
    <w:notTrueType/>
    <w:pitch w:val="variable"/>
    <w:sig w:usb0="800002AF" w:usb1="50002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1F3"/>
    <w:rsid w:val="00035715"/>
    <w:rsid w:val="000633B4"/>
    <w:rsid w:val="000643A6"/>
    <w:rsid w:val="00082AF5"/>
    <w:rsid w:val="000931FB"/>
    <w:rsid w:val="0009628D"/>
    <w:rsid w:val="000C34DB"/>
    <w:rsid w:val="00113A6A"/>
    <w:rsid w:val="00126074"/>
    <w:rsid w:val="00182E5F"/>
    <w:rsid w:val="00194E98"/>
    <w:rsid w:val="001B501D"/>
    <w:rsid w:val="001C6A0F"/>
    <w:rsid w:val="001D1A3D"/>
    <w:rsid w:val="00240315"/>
    <w:rsid w:val="002703D8"/>
    <w:rsid w:val="002D72E5"/>
    <w:rsid w:val="002F54F1"/>
    <w:rsid w:val="00330169"/>
    <w:rsid w:val="00333780"/>
    <w:rsid w:val="003607B7"/>
    <w:rsid w:val="0040185B"/>
    <w:rsid w:val="00406E5F"/>
    <w:rsid w:val="004A6DC9"/>
    <w:rsid w:val="004C1564"/>
    <w:rsid w:val="004E692E"/>
    <w:rsid w:val="0050166C"/>
    <w:rsid w:val="005141FB"/>
    <w:rsid w:val="00651293"/>
    <w:rsid w:val="00680630"/>
    <w:rsid w:val="0069768C"/>
    <w:rsid w:val="006B1E89"/>
    <w:rsid w:val="00722FCB"/>
    <w:rsid w:val="00752236"/>
    <w:rsid w:val="00755661"/>
    <w:rsid w:val="007A443C"/>
    <w:rsid w:val="00803589"/>
    <w:rsid w:val="0082187B"/>
    <w:rsid w:val="00853586"/>
    <w:rsid w:val="00853E2B"/>
    <w:rsid w:val="00870E78"/>
    <w:rsid w:val="008B5383"/>
    <w:rsid w:val="008C4A0B"/>
    <w:rsid w:val="00916ED5"/>
    <w:rsid w:val="00964841"/>
    <w:rsid w:val="009A7ADD"/>
    <w:rsid w:val="009B4131"/>
    <w:rsid w:val="00A13AB5"/>
    <w:rsid w:val="00A45FDA"/>
    <w:rsid w:val="00AF6452"/>
    <w:rsid w:val="00B056C8"/>
    <w:rsid w:val="00B06845"/>
    <w:rsid w:val="00B72787"/>
    <w:rsid w:val="00B73DBA"/>
    <w:rsid w:val="00BA6421"/>
    <w:rsid w:val="00BB15C3"/>
    <w:rsid w:val="00BC1F24"/>
    <w:rsid w:val="00BC210B"/>
    <w:rsid w:val="00BF0010"/>
    <w:rsid w:val="00C00E58"/>
    <w:rsid w:val="00C81884"/>
    <w:rsid w:val="00CF11F3"/>
    <w:rsid w:val="00D033A1"/>
    <w:rsid w:val="00D2205F"/>
    <w:rsid w:val="00D6279E"/>
    <w:rsid w:val="00D7544D"/>
    <w:rsid w:val="00D93517"/>
    <w:rsid w:val="00DA03A4"/>
    <w:rsid w:val="00DE1852"/>
    <w:rsid w:val="00DE477F"/>
    <w:rsid w:val="00DF36EF"/>
    <w:rsid w:val="00E12470"/>
    <w:rsid w:val="00EC594F"/>
    <w:rsid w:val="00ED5E04"/>
    <w:rsid w:val="00ED7880"/>
    <w:rsid w:val="00F474AC"/>
    <w:rsid w:val="00F66D86"/>
    <w:rsid w:val="00F6723C"/>
    <w:rsid w:val="00FE495C"/>
    <w:rsid w:val="00FF21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F62B16936C497AA5D88D5CC543443A">
    <w:name w:val="B0F62B16936C497AA5D88D5CC5434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xfam">
      <a:dk1>
        <a:sysClr val="windowText" lastClr="000000"/>
      </a:dk1>
      <a:lt1>
        <a:sysClr val="window" lastClr="FFFFFF"/>
      </a:lt1>
      <a:dk2>
        <a:srgbClr val="44841A"/>
      </a:dk2>
      <a:lt2>
        <a:srgbClr val="EAEADE"/>
      </a:lt2>
      <a:accent1>
        <a:srgbClr val="44841A"/>
      </a:accent1>
      <a:accent2>
        <a:srgbClr val="0B9CDA"/>
      </a:accent2>
      <a:accent3>
        <a:srgbClr val="53297D"/>
      </a:accent3>
      <a:accent4>
        <a:srgbClr val="065E84"/>
      </a:accent4>
      <a:accent5>
        <a:srgbClr val="630235"/>
      </a:accent5>
      <a:accent6>
        <a:srgbClr val="545454"/>
      </a:accent6>
      <a:hlink>
        <a:srgbClr val="336114"/>
      </a:hlink>
      <a:folHlink>
        <a:srgbClr val="53297D"/>
      </a:folHlink>
    </a:clrScheme>
    <a:fontScheme name="Oxfam">
      <a:majorFont>
        <a:latin typeface="Oxfam TSTAR PRO Headline"/>
        <a:ea typeface=""/>
        <a:cs typeface=""/>
      </a:majorFont>
      <a:minorFont>
        <a:latin typeface="Oxfam TSTAR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BA946-E4B7-4CD6-B569-03E65D55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Oxfam methodology note 2022 en Nov22</Template>
  <TotalTime>5</TotalTime>
  <Pages>28</Pages>
  <Words>8345</Words>
  <Characters>47570</Characters>
  <Application>Microsoft Office Word</Application>
  <DocSecurity>0</DocSecurity>
  <Lines>396</Lines>
  <Paragraphs>111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Summary list of all the statistics in this document </vt:lpstr>
      <vt:lpstr>1.   Methodology on wealth and income statistics</vt:lpstr>
      <vt:lpstr>2.	Methodology on company statistics</vt:lpstr>
      <vt:lpstr>3.	Billionaire ownership of the world’s largest companies</vt:lpstr>
      <vt:lpstr>Notes</vt:lpstr>
    </vt:vector>
  </TitlesOfParts>
  <Manager/>
  <Company/>
  <LinksUpToDate>false</LinksUpToDate>
  <CharactersWithSpaces>55804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Kamande</dc:creator>
  <cp:keywords/>
  <dc:description/>
  <cp:lastModifiedBy>Lucy Cowie</cp:lastModifiedBy>
  <cp:revision>3</cp:revision>
  <cp:lastPrinted>2012-04-02T13:48:00Z</cp:lastPrinted>
  <dcterms:created xsi:type="dcterms:W3CDTF">2024-01-11T11:09:00Z</dcterms:created>
  <dcterms:modified xsi:type="dcterms:W3CDTF">2024-01-11T11:28:00Z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a3994b20c80bbdf58637c82b6a6c722b7378163076a604992eeebc64a0abff54</vt:lpwstr>
  </property>
</Properties>
</file>