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E950A3" w14:textId="472DF406" w:rsidR="00231EF2" w:rsidRDefault="000D55F9" w:rsidP="00CC55EC">
      <w:pPr>
        <w:spacing w:after="0"/>
        <w:jc w:val="center"/>
      </w:pPr>
      <w:r>
        <w:rPr>
          <w:noProof/>
        </w:rPr>
        <w:drawing>
          <wp:inline distT="0" distB="0" distL="0" distR="0" wp14:anchorId="48F7654B" wp14:editId="3EFEB789">
            <wp:extent cx="3147016" cy="1219200"/>
            <wp:effectExtent l="0" t="0" r="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3063" cy="1233165"/>
                    </a:xfrm>
                    <a:prstGeom prst="rect">
                      <a:avLst/>
                    </a:prstGeom>
                    <a:noFill/>
                    <a:ln>
                      <a:noFill/>
                    </a:ln>
                  </pic:spPr>
                </pic:pic>
              </a:graphicData>
            </a:graphic>
          </wp:inline>
        </w:drawing>
      </w:r>
    </w:p>
    <w:p w14:paraId="7B60235B" w14:textId="1907699C" w:rsidR="00231EF2" w:rsidRDefault="00231EF2" w:rsidP="00BD1A2D">
      <w:pPr>
        <w:spacing w:after="0"/>
        <w:ind w:left="-567"/>
      </w:pPr>
    </w:p>
    <w:p w14:paraId="1A961EE3" w14:textId="3FD2365B" w:rsidR="003C027C" w:rsidRDefault="003C027C" w:rsidP="00BA7E3E">
      <w:pPr>
        <w:spacing w:after="0"/>
      </w:pPr>
    </w:p>
    <w:p w14:paraId="7E7C1773" w14:textId="799C812C" w:rsidR="006D631A" w:rsidRDefault="006D631A" w:rsidP="00BA7E3E">
      <w:pPr>
        <w:spacing w:after="0"/>
      </w:pPr>
    </w:p>
    <w:p w14:paraId="0414727E" w14:textId="5AEB796D" w:rsidR="006D631A" w:rsidRDefault="006D631A" w:rsidP="00BA7E3E">
      <w:pPr>
        <w:spacing w:after="0"/>
      </w:pPr>
    </w:p>
    <w:p w14:paraId="1B2C9C23" w14:textId="196EAAD2" w:rsidR="00FF05F2" w:rsidRDefault="00FF05F2" w:rsidP="00BA7E3E">
      <w:pPr>
        <w:spacing w:after="0"/>
      </w:pPr>
    </w:p>
    <w:p w14:paraId="5B0A64AF" w14:textId="17EC2C40" w:rsidR="00FF05F2" w:rsidRDefault="00FF05F2" w:rsidP="00BA7E3E">
      <w:pPr>
        <w:spacing w:after="0"/>
      </w:pPr>
    </w:p>
    <w:p w14:paraId="5A6A4381" w14:textId="39AC9BCF" w:rsidR="00490215" w:rsidRDefault="00490215" w:rsidP="00BA7E3E">
      <w:pPr>
        <w:spacing w:after="0"/>
      </w:pPr>
    </w:p>
    <w:p w14:paraId="2DE215EA" w14:textId="77777777" w:rsidR="00490215" w:rsidRDefault="00490215" w:rsidP="00BA7E3E">
      <w:pPr>
        <w:spacing w:after="0"/>
      </w:pPr>
    </w:p>
    <w:p w14:paraId="46B588D0" w14:textId="77777777" w:rsidR="000D55F9" w:rsidRDefault="000D55F9" w:rsidP="00BA7E3E">
      <w:pPr>
        <w:spacing w:after="0"/>
      </w:pPr>
    </w:p>
    <w:p w14:paraId="59EA34E2" w14:textId="601B45C2" w:rsidR="00231EF2" w:rsidRDefault="00231EF2" w:rsidP="00BA7E3E">
      <w:pPr>
        <w:spacing w:after="0"/>
      </w:pPr>
    </w:p>
    <w:p w14:paraId="114FFF91" w14:textId="43A655A1" w:rsidR="00C22C47" w:rsidRDefault="00900C4E" w:rsidP="00BA7E3E">
      <w:pPr>
        <w:spacing w:after="0"/>
        <w:jc w:val="center"/>
        <w:rPr>
          <w:b/>
          <w:bCs/>
          <w:sz w:val="32"/>
          <w:szCs w:val="32"/>
        </w:rPr>
      </w:pPr>
      <w:r w:rsidRPr="00B21FAC">
        <w:rPr>
          <w:b/>
          <w:bCs/>
          <w:sz w:val="32"/>
          <w:szCs w:val="32"/>
        </w:rPr>
        <w:t>ALGEMENE VISIENOTA</w:t>
      </w:r>
      <w:r w:rsidR="3683CD98" w:rsidRPr="00B21FAC">
        <w:rPr>
          <w:b/>
          <w:bCs/>
          <w:sz w:val="32"/>
          <w:szCs w:val="32"/>
        </w:rPr>
        <w:t xml:space="preserve"> MET BETREKKING TOT DE BREDERE FISCALE HERVORMING</w:t>
      </w:r>
    </w:p>
    <w:p w14:paraId="5F2FD974" w14:textId="6C0B4835" w:rsidR="00362F0D" w:rsidRDefault="00362F0D" w:rsidP="00BA7E3E">
      <w:pPr>
        <w:spacing w:after="0"/>
        <w:jc w:val="center"/>
        <w:rPr>
          <w:b/>
          <w:bCs/>
          <w:sz w:val="32"/>
          <w:szCs w:val="32"/>
        </w:rPr>
      </w:pPr>
    </w:p>
    <w:p w14:paraId="07DDF86B" w14:textId="77777777" w:rsidR="00EA5CE1" w:rsidRDefault="00EA5CE1" w:rsidP="00BA7E3E">
      <w:pPr>
        <w:spacing w:after="0"/>
        <w:jc w:val="center"/>
        <w:rPr>
          <w:b/>
          <w:bCs/>
          <w:sz w:val="32"/>
          <w:szCs w:val="32"/>
        </w:rPr>
      </w:pPr>
    </w:p>
    <w:p w14:paraId="6A206E8F" w14:textId="72BAE70F" w:rsidR="00362F0D" w:rsidRDefault="00362F0D" w:rsidP="00BA7E3E">
      <w:pPr>
        <w:spacing w:after="0"/>
        <w:jc w:val="center"/>
        <w:rPr>
          <w:b/>
          <w:bCs/>
          <w:sz w:val="32"/>
          <w:szCs w:val="32"/>
        </w:rPr>
      </w:pPr>
      <w:r>
        <w:rPr>
          <w:b/>
          <w:bCs/>
          <w:sz w:val="32"/>
          <w:szCs w:val="32"/>
        </w:rPr>
        <w:t>Mark Delanote</w:t>
      </w:r>
    </w:p>
    <w:p w14:paraId="073F208A" w14:textId="446CB41F" w:rsidR="00816F6B" w:rsidRPr="00B21FAC" w:rsidRDefault="00005387" w:rsidP="00BA7E3E">
      <w:pPr>
        <w:spacing w:after="0"/>
        <w:jc w:val="center"/>
        <w:rPr>
          <w:b/>
          <w:bCs/>
          <w:sz w:val="32"/>
          <w:szCs w:val="32"/>
        </w:rPr>
      </w:pPr>
      <w:r>
        <w:rPr>
          <w:b/>
          <w:bCs/>
          <w:sz w:val="32"/>
          <w:szCs w:val="32"/>
        </w:rPr>
        <w:t>Juni</w:t>
      </w:r>
      <w:r w:rsidR="00816F6B">
        <w:rPr>
          <w:b/>
          <w:bCs/>
          <w:sz w:val="32"/>
          <w:szCs w:val="32"/>
        </w:rPr>
        <w:t xml:space="preserve"> 2022</w:t>
      </w:r>
    </w:p>
    <w:p w14:paraId="2F8B579B" w14:textId="6C2AA106" w:rsidR="00BD1A2D" w:rsidRDefault="00BD1A2D" w:rsidP="00BA7E3E">
      <w:pPr>
        <w:spacing w:after="0"/>
      </w:pPr>
    </w:p>
    <w:p w14:paraId="3A704722" w14:textId="0065C92F" w:rsidR="00843BAB" w:rsidRDefault="00843BAB" w:rsidP="00BA7E3E">
      <w:pPr>
        <w:spacing w:after="0"/>
      </w:pPr>
    </w:p>
    <w:p w14:paraId="5BE3BDC7" w14:textId="21451412" w:rsidR="00843BAB" w:rsidRDefault="00843BAB" w:rsidP="00BA7E3E">
      <w:pPr>
        <w:spacing w:after="0"/>
      </w:pPr>
    </w:p>
    <w:p w14:paraId="721FC43D" w14:textId="47B83FDC" w:rsidR="00CD4816" w:rsidRDefault="00CD4816" w:rsidP="00BA7E3E">
      <w:pPr>
        <w:spacing w:after="0"/>
      </w:pPr>
    </w:p>
    <w:p w14:paraId="0276C3C0" w14:textId="214054A6" w:rsidR="00CD4816" w:rsidRDefault="00CD4816" w:rsidP="00BA7E3E">
      <w:pPr>
        <w:spacing w:after="0"/>
      </w:pPr>
    </w:p>
    <w:p w14:paraId="3BFC2B1D" w14:textId="238E596B" w:rsidR="00CD4816" w:rsidRDefault="00CD4816" w:rsidP="00BA7E3E">
      <w:pPr>
        <w:spacing w:after="0"/>
      </w:pPr>
    </w:p>
    <w:p w14:paraId="27091D1D" w14:textId="23AEA0B4" w:rsidR="00BB0D70" w:rsidRDefault="00BB0D70" w:rsidP="00BA7E3E">
      <w:pPr>
        <w:spacing w:after="0"/>
      </w:pPr>
    </w:p>
    <w:p w14:paraId="7D57D195" w14:textId="77777777" w:rsidR="00BB0D70" w:rsidRDefault="00BB0D70" w:rsidP="00BA7E3E">
      <w:pPr>
        <w:spacing w:after="0"/>
      </w:pPr>
    </w:p>
    <w:p w14:paraId="699A7083" w14:textId="64DB37CA" w:rsidR="00CD4816" w:rsidRDefault="00CD4816" w:rsidP="00BA7E3E">
      <w:pPr>
        <w:spacing w:after="0"/>
      </w:pPr>
    </w:p>
    <w:p w14:paraId="48F8374B" w14:textId="756E1C33" w:rsidR="00CD4816" w:rsidRDefault="00CD4816" w:rsidP="00BA7E3E">
      <w:pPr>
        <w:spacing w:after="0"/>
      </w:pPr>
    </w:p>
    <w:p w14:paraId="1C3CB635" w14:textId="6026D576" w:rsidR="00CD4816" w:rsidRDefault="00CD4816" w:rsidP="00BA7E3E">
      <w:pPr>
        <w:spacing w:after="0"/>
      </w:pPr>
    </w:p>
    <w:p w14:paraId="7BB873F1" w14:textId="6E44D89D" w:rsidR="00CD4816" w:rsidRDefault="00CD4816" w:rsidP="00BA7E3E">
      <w:pPr>
        <w:spacing w:after="0"/>
      </w:pPr>
    </w:p>
    <w:p w14:paraId="6236E6CF" w14:textId="6F418311" w:rsidR="00CD4816" w:rsidRDefault="00CD4816" w:rsidP="00BA7E3E">
      <w:pPr>
        <w:spacing w:after="0"/>
      </w:pPr>
    </w:p>
    <w:p w14:paraId="40864869" w14:textId="77777777" w:rsidR="00CD4816" w:rsidRDefault="00CD4816" w:rsidP="00BA7E3E">
      <w:pPr>
        <w:spacing w:after="0"/>
      </w:pPr>
    </w:p>
    <w:p w14:paraId="58F310FE" w14:textId="77777777" w:rsidR="00CD4816" w:rsidRDefault="00CD4816" w:rsidP="00BA7E3E">
      <w:pPr>
        <w:spacing w:after="0"/>
      </w:pPr>
    </w:p>
    <w:p w14:paraId="1F0D6463" w14:textId="745355B1" w:rsidR="00843BAB" w:rsidRDefault="00843BAB" w:rsidP="00BA7E3E">
      <w:pPr>
        <w:spacing w:after="0"/>
      </w:pPr>
    </w:p>
    <w:p w14:paraId="3C0B6901" w14:textId="1CC80F07" w:rsidR="00705DFD" w:rsidRDefault="00705DFD" w:rsidP="00BA7E3E">
      <w:pPr>
        <w:spacing w:after="0"/>
      </w:pPr>
    </w:p>
    <w:p w14:paraId="41F533D8" w14:textId="791B85EA" w:rsidR="00705DFD" w:rsidRDefault="00705DFD" w:rsidP="00BA7E3E">
      <w:pPr>
        <w:spacing w:after="0"/>
      </w:pPr>
    </w:p>
    <w:p w14:paraId="2FED5C11" w14:textId="77777777" w:rsidR="00A638A2" w:rsidRDefault="00A638A2" w:rsidP="00BA7E3E">
      <w:pPr>
        <w:spacing w:after="0"/>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461"/>
      </w:tblGrid>
      <w:tr w:rsidR="00CD4816" w14:paraId="043887F7" w14:textId="77777777" w:rsidTr="007A316A">
        <w:trPr>
          <w:trHeight w:val="1887"/>
        </w:trPr>
        <w:tc>
          <w:tcPr>
            <w:tcW w:w="4460" w:type="dxa"/>
          </w:tcPr>
          <w:p w14:paraId="0383B012" w14:textId="66F3CEF2" w:rsidR="00CD4816" w:rsidRDefault="00CD4816" w:rsidP="00BA7E3E">
            <w:r>
              <w:rPr>
                <w:noProof/>
              </w:rPr>
              <w:drawing>
                <wp:inline distT="0" distB="0" distL="0" distR="0" wp14:anchorId="32571147" wp14:editId="6A979217">
                  <wp:extent cx="1981200" cy="12319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7046" cy="1241778"/>
                          </a:xfrm>
                          <a:prstGeom prst="rect">
                            <a:avLst/>
                          </a:prstGeom>
                          <a:noFill/>
                          <a:ln>
                            <a:noFill/>
                          </a:ln>
                        </pic:spPr>
                      </pic:pic>
                    </a:graphicData>
                  </a:graphic>
                </wp:inline>
              </w:drawing>
            </w:r>
          </w:p>
        </w:tc>
        <w:tc>
          <w:tcPr>
            <w:tcW w:w="4461" w:type="dxa"/>
          </w:tcPr>
          <w:p w14:paraId="548C7DCC" w14:textId="77777777" w:rsidR="00CD4816" w:rsidRDefault="00CD4816" w:rsidP="00BA7E3E"/>
          <w:p w14:paraId="49E61AA6" w14:textId="4B317C54" w:rsidR="00CD4816" w:rsidRDefault="00CD4816" w:rsidP="00BA7E3E"/>
          <w:p w14:paraId="447B8F16" w14:textId="77777777" w:rsidR="00CD4816" w:rsidRDefault="00CD4816" w:rsidP="00BA7E3E"/>
          <w:p w14:paraId="6E0656B0" w14:textId="1B991C30" w:rsidR="00CD4816" w:rsidRDefault="00CD4816" w:rsidP="000D55F9">
            <w:pPr>
              <w:jc w:val="right"/>
            </w:pPr>
            <w:r>
              <w:rPr>
                <w:noProof/>
              </w:rPr>
              <w:drawing>
                <wp:inline distT="0" distB="0" distL="0" distR="0" wp14:anchorId="5BDB14A9" wp14:editId="7E0CA6E2">
                  <wp:extent cx="2164080" cy="719099"/>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8289" cy="720498"/>
                          </a:xfrm>
                          <a:prstGeom prst="rect">
                            <a:avLst/>
                          </a:prstGeom>
                          <a:noFill/>
                          <a:ln>
                            <a:noFill/>
                          </a:ln>
                        </pic:spPr>
                      </pic:pic>
                    </a:graphicData>
                  </a:graphic>
                </wp:inline>
              </w:drawing>
            </w:r>
          </w:p>
        </w:tc>
      </w:tr>
    </w:tbl>
    <w:p w14:paraId="3A777C1C" w14:textId="5CD2F209" w:rsidR="00A638A2" w:rsidRDefault="00A638A2" w:rsidP="004A4B09">
      <w:pPr>
        <w:spacing w:after="0"/>
        <w:rPr>
          <w:b/>
          <w:bCs/>
          <w:color w:val="000000"/>
          <w:sz w:val="24"/>
          <w:szCs w:val="24"/>
        </w:rPr>
      </w:pPr>
    </w:p>
    <w:p w14:paraId="239C35C3" w14:textId="77777777" w:rsidR="00A638A2" w:rsidRDefault="00A638A2" w:rsidP="004A4B09">
      <w:pPr>
        <w:spacing w:after="0"/>
        <w:rPr>
          <w:b/>
          <w:bCs/>
          <w:color w:val="000000"/>
          <w:sz w:val="24"/>
          <w:szCs w:val="24"/>
        </w:rPr>
      </w:pPr>
    </w:p>
    <w:p w14:paraId="69B7E53E" w14:textId="76D2B710" w:rsidR="00CF3E76" w:rsidRDefault="004A4B09" w:rsidP="004A4B09">
      <w:pPr>
        <w:spacing w:after="0"/>
      </w:pPr>
      <w:r>
        <w:rPr>
          <w:b/>
          <w:bCs/>
          <w:color w:val="000000"/>
          <w:sz w:val="24"/>
          <w:szCs w:val="24"/>
        </w:rPr>
        <w:t> D/2022/1418-59</w:t>
      </w:r>
    </w:p>
    <w:p w14:paraId="664F5299" w14:textId="25EBFF8F" w:rsidR="004A4B09" w:rsidRDefault="004A4B09">
      <w:pPr>
        <w:sectPr w:rsidR="004A4B09" w:rsidSect="00A638A2">
          <w:footerReference w:type="default" r:id="rId14"/>
          <w:pgSz w:w="11906" w:h="16838"/>
          <w:pgMar w:top="284" w:right="1558" w:bottom="567" w:left="1417" w:header="708" w:footer="708" w:gutter="0"/>
          <w:pgNumType w:start="0"/>
          <w:cols w:space="708"/>
          <w:titlePg/>
          <w:docGrid w:linePitch="360"/>
        </w:sectPr>
      </w:pPr>
    </w:p>
    <w:p w14:paraId="11610F07" w14:textId="77777777" w:rsidR="00D64B9D" w:rsidRDefault="00D64B9D"/>
    <w:p w14:paraId="457EC067" w14:textId="00B0956C" w:rsidR="00745312" w:rsidRDefault="00745312">
      <w:r>
        <w:br w:type="page"/>
      </w:r>
    </w:p>
    <w:p w14:paraId="27044407" w14:textId="3C0539DE" w:rsidR="00E25603" w:rsidRPr="00B21FAC" w:rsidRDefault="00B369B0" w:rsidP="00275FEB">
      <w:pPr>
        <w:pStyle w:val="Kop1"/>
      </w:pPr>
      <w:bookmarkStart w:id="0" w:name="_Toc107210863"/>
      <w:r w:rsidRPr="00B21FAC">
        <w:lastRenderedPageBreak/>
        <w:t>INHOUDSTAFEL</w:t>
      </w:r>
      <w:bookmarkEnd w:id="0"/>
    </w:p>
    <w:p w14:paraId="57633E7C" w14:textId="77777777" w:rsidR="00B369B0" w:rsidRPr="00B21FAC" w:rsidRDefault="00B369B0" w:rsidP="00BA7E3E">
      <w:pPr>
        <w:spacing w:after="0"/>
        <w:rPr>
          <w:b/>
          <w:bCs/>
        </w:rPr>
      </w:pPr>
    </w:p>
    <w:p w14:paraId="43E756E7" w14:textId="77777777" w:rsidR="00B369B0" w:rsidRPr="00B21FAC" w:rsidRDefault="00B369B0" w:rsidP="00BA7E3E">
      <w:pPr>
        <w:spacing w:after="0"/>
        <w:rPr>
          <w:b/>
          <w:bCs/>
        </w:rPr>
      </w:pPr>
    </w:p>
    <w:p w14:paraId="0791C5F9" w14:textId="6FF9386B" w:rsidR="00B7625C" w:rsidRDefault="00CD09CD">
      <w:pPr>
        <w:pStyle w:val="Inhopg1"/>
        <w:rPr>
          <w:rFonts w:eastAsiaTheme="minorEastAsia"/>
          <w:noProof/>
          <w:lang w:eastAsia="nl-BE"/>
        </w:rPr>
      </w:pPr>
      <w:r w:rsidRPr="00B21FAC">
        <w:rPr>
          <w:b/>
          <w:bCs/>
        </w:rPr>
        <w:fldChar w:fldCharType="begin"/>
      </w:r>
      <w:r w:rsidRPr="00B21FAC">
        <w:rPr>
          <w:b/>
          <w:bCs/>
        </w:rPr>
        <w:instrText xml:space="preserve"> TOC \o "1-6" \h \z \u </w:instrText>
      </w:r>
      <w:r w:rsidRPr="00B21FAC">
        <w:rPr>
          <w:b/>
          <w:bCs/>
        </w:rPr>
        <w:fldChar w:fldCharType="separate"/>
      </w:r>
      <w:hyperlink w:anchor="_Toc107210863" w:history="1">
        <w:r w:rsidR="00B7625C" w:rsidRPr="007C4372">
          <w:rPr>
            <w:rStyle w:val="Hyperlink"/>
            <w:noProof/>
          </w:rPr>
          <w:t>INHOUDSTAFEL</w:t>
        </w:r>
        <w:r w:rsidR="00B7625C">
          <w:rPr>
            <w:noProof/>
            <w:webHidden/>
          </w:rPr>
          <w:tab/>
        </w:r>
        <w:r w:rsidR="00B7625C">
          <w:rPr>
            <w:noProof/>
            <w:webHidden/>
          </w:rPr>
          <w:fldChar w:fldCharType="begin"/>
        </w:r>
        <w:r w:rsidR="00B7625C">
          <w:rPr>
            <w:noProof/>
            <w:webHidden/>
          </w:rPr>
          <w:instrText xml:space="preserve"> PAGEREF _Toc107210863 \h </w:instrText>
        </w:r>
        <w:r w:rsidR="00B7625C">
          <w:rPr>
            <w:noProof/>
            <w:webHidden/>
          </w:rPr>
        </w:r>
        <w:r w:rsidR="00B7625C">
          <w:rPr>
            <w:noProof/>
            <w:webHidden/>
          </w:rPr>
          <w:fldChar w:fldCharType="separate"/>
        </w:r>
        <w:r w:rsidR="00B7625C">
          <w:rPr>
            <w:noProof/>
            <w:webHidden/>
          </w:rPr>
          <w:t>1</w:t>
        </w:r>
        <w:r w:rsidR="00B7625C">
          <w:rPr>
            <w:noProof/>
            <w:webHidden/>
          </w:rPr>
          <w:fldChar w:fldCharType="end"/>
        </w:r>
      </w:hyperlink>
    </w:p>
    <w:p w14:paraId="7E64A3C4" w14:textId="2247D9F9" w:rsidR="00B7625C" w:rsidRDefault="002F4506">
      <w:pPr>
        <w:pStyle w:val="Inhopg1"/>
        <w:rPr>
          <w:rFonts w:eastAsiaTheme="minorEastAsia"/>
          <w:noProof/>
          <w:lang w:eastAsia="nl-BE"/>
        </w:rPr>
      </w:pPr>
      <w:hyperlink w:anchor="_Toc107210864" w:history="1">
        <w:r w:rsidR="00B7625C" w:rsidRPr="007C4372">
          <w:rPr>
            <w:rStyle w:val="Hyperlink"/>
            <w:smallCaps/>
            <w:noProof/>
          </w:rPr>
          <w:t>I.</w:t>
        </w:r>
        <w:r w:rsidR="00B7625C">
          <w:rPr>
            <w:rFonts w:eastAsiaTheme="minorEastAsia"/>
            <w:noProof/>
            <w:lang w:eastAsia="nl-BE"/>
          </w:rPr>
          <w:tab/>
        </w:r>
        <w:r w:rsidR="00B7625C" w:rsidRPr="007C4372">
          <w:rPr>
            <w:rStyle w:val="Hyperlink"/>
            <w:smallCaps/>
            <w:noProof/>
          </w:rPr>
          <w:t>Voorwoord</w:t>
        </w:r>
        <w:r w:rsidR="00B7625C">
          <w:rPr>
            <w:noProof/>
            <w:webHidden/>
          </w:rPr>
          <w:tab/>
        </w:r>
        <w:r w:rsidR="00B7625C">
          <w:rPr>
            <w:noProof/>
            <w:webHidden/>
          </w:rPr>
          <w:fldChar w:fldCharType="begin"/>
        </w:r>
        <w:r w:rsidR="00B7625C">
          <w:rPr>
            <w:noProof/>
            <w:webHidden/>
          </w:rPr>
          <w:instrText xml:space="preserve"> PAGEREF _Toc107210864 \h </w:instrText>
        </w:r>
        <w:r w:rsidR="00B7625C">
          <w:rPr>
            <w:noProof/>
            <w:webHidden/>
          </w:rPr>
        </w:r>
        <w:r w:rsidR="00B7625C">
          <w:rPr>
            <w:noProof/>
            <w:webHidden/>
          </w:rPr>
          <w:fldChar w:fldCharType="separate"/>
        </w:r>
        <w:r w:rsidR="00B7625C">
          <w:rPr>
            <w:noProof/>
            <w:webHidden/>
          </w:rPr>
          <w:t>5</w:t>
        </w:r>
        <w:r w:rsidR="00B7625C">
          <w:rPr>
            <w:noProof/>
            <w:webHidden/>
          </w:rPr>
          <w:fldChar w:fldCharType="end"/>
        </w:r>
      </w:hyperlink>
    </w:p>
    <w:p w14:paraId="75EBA3E1" w14:textId="54E1C88E" w:rsidR="00B7625C" w:rsidRDefault="002F4506">
      <w:pPr>
        <w:pStyle w:val="Inhopg1"/>
        <w:rPr>
          <w:rFonts w:eastAsiaTheme="minorEastAsia"/>
          <w:noProof/>
          <w:lang w:eastAsia="nl-BE"/>
        </w:rPr>
      </w:pPr>
      <w:hyperlink w:anchor="_Toc107210865" w:history="1">
        <w:r w:rsidR="00B7625C" w:rsidRPr="007C4372">
          <w:rPr>
            <w:rStyle w:val="Hyperlink"/>
            <w:smallCaps/>
            <w:noProof/>
          </w:rPr>
          <w:t>II.</w:t>
        </w:r>
        <w:r w:rsidR="00B7625C">
          <w:rPr>
            <w:rFonts w:eastAsiaTheme="minorEastAsia"/>
            <w:noProof/>
            <w:lang w:eastAsia="nl-BE"/>
          </w:rPr>
          <w:tab/>
        </w:r>
        <w:r w:rsidR="00B7625C" w:rsidRPr="007C4372">
          <w:rPr>
            <w:rStyle w:val="Hyperlink"/>
            <w:smallCaps/>
            <w:noProof/>
          </w:rPr>
          <w:t>Algemene inleiding</w:t>
        </w:r>
        <w:r w:rsidR="00B7625C">
          <w:rPr>
            <w:noProof/>
            <w:webHidden/>
          </w:rPr>
          <w:tab/>
        </w:r>
        <w:r w:rsidR="00B7625C">
          <w:rPr>
            <w:noProof/>
            <w:webHidden/>
          </w:rPr>
          <w:fldChar w:fldCharType="begin"/>
        </w:r>
        <w:r w:rsidR="00B7625C">
          <w:rPr>
            <w:noProof/>
            <w:webHidden/>
          </w:rPr>
          <w:instrText xml:space="preserve"> PAGEREF _Toc107210865 \h </w:instrText>
        </w:r>
        <w:r w:rsidR="00B7625C">
          <w:rPr>
            <w:noProof/>
            <w:webHidden/>
          </w:rPr>
        </w:r>
        <w:r w:rsidR="00B7625C">
          <w:rPr>
            <w:noProof/>
            <w:webHidden/>
          </w:rPr>
          <w:fldChar w:fldCharType="separate"/>
        </w:r>
        <w:r w:rsidR="00B7625C">
          <w:rPr>
            <w:noProof/>
            <w:webHidden/>
          </w:rPr>
          <w:t>9</w:t>
        </w:r>
        <w:r w:rsidR="00B7625C">
          <w:rPr>
            <w:noProof/>
            <w:webHidden/>
          </w:rPr>
          <w:fldChar w:fldCharType="end"/>
        </w:r>
      </w:hyperlink>
    </w:p>
    <w:p w14:paraId="6BFAF23C" w14:textId="437C0D4F" w:rsidR="00B7625C" w:rsidRDefault="002F4506">
      <w:pPr>
        <w:pStyle w:val="Inhopg2"/>
        <w:rPr>
          <w:rFonts w:eastAsiaTheme="minorEastAsia"/>
          <w:noProof/>
          <w:lang w:eastAsia="nl-BE"/>
        </w:rPr>
      </w:pPr>
      <w:hyperlink w:anchor="_Toc107210866" w:history="1">
        <w:r w:rsidR="00B7625C" w:rsidRPr="007C4372">
          <w:rPr>
            <w:rStyle w:val="Hyperlink"/>
            <w:noProof/>
          </w:rPr>
          <w:t>A.</w:t>
        </w:r>
        <w:r w:rsidR="00B7625C">
          <w:rPr>
            <w:rFonts w:eastAsiaTheme="minorEastAsia"/>
            <w:noProof/>
            <w:lang w:eastAsia="nl-BE"/>
          </w:rPr>
          <w:tab/>
        </w:r>
        <w:r w:rsidR="00B7625C" w:rsidRPr="007C4372">
          <w:rPr>
            <w:rStyle w:val="Hyperlink"/>
            <w:noProof/>
          </w:rPr>
          <w:t>Achtergrond en methodologie</w:t>
        </w:r>
        <w:r w:rsidR="00B7625C">
          <w:rPr>
            <w:noProof/>
            <w:webHidden/>
          </w:rPr>
          <w:tab/>
        </w:r>
        <w:r w:rsidR="00B7625C">
          <w:rPr>
            <w:noProof/>
            <w:webHidden/>
          </w:rPr>
          <w:fldChar w:fldCharType="begin"/>
        </w:r>
        <w:r w:rsidR="00B7625C">
          <w:rPr>
            <w:noProof/>
            <w:webHidden/>
          </w:rPr>
          <w:instrText xml:space="preserve"> PAGEREF _Toc107210866 \h </w:instrText>
        </w:r>
        <w:r w:rsidR="00B7625C">
          <w:rPr>
            <w:noProof/>
            <w:webHidden/>
          </w:rPr>
        </w:r>
        <w:r w:rsidR="00B7625C">
          <w:rPr>
            <w:noProof/>
            <w:webHidden/>
          </w:rPr>
          <w:fldChar w:fldCharType="separate"/>
        </w:r>
        <w:r w:rsidR="00B7625C">
          <w:rPr>
            <w:noProof/>
            <w:webHidden/>
          </w:rPr>
          <w:t>9</w:t>
        </w:r>
        <w:r w:rsidR="00B7625C">
          <w:rPr>
            <w:noProof/>
            <w:webHidden/>
          </w:rPr>
          <w:fldChar w:fldCharType="end"/>
        </w:r>
      </w:hyperlink>
    </w:p>
    <w:p w14:paraId="152BDF9C" w14:textId="7EDB67CD" w:rsidR="00B7625C" w:rsidRDefault="002F4506">
      <w:pPr>
        <w:pStyle w:val="Inhopg3"/>
        <w:rPr>
          <w:rFonts w:eastAsiaTheme="minorEastAsia"/>
          <w:noProof/>
          <w:lang w:eastAsia="nl-BE"/>
        </w:rPr>
      </w:pPr>
      <w:hyperlink w:anchor="_Toc107210867" w:history="1">
        <w:r w:rsidR="00B7625C" w:rsidRPr="007C4372">
          <w:rPr>
            <w:rStyle w:val="Hyperlink"/>
            <w:noProof/>
          </w:rPr>
          <w:t>1.)</w:t>
        </w:r>
        <w:r w:rsidR="00B7625C">
          <w:rPr>
            <w:rFonts w:eastAsiaTheme="minorEastAsia"/>
            <w:noProof/>
            <w:lang w:eastAsia="nl-BE"/>
          </w:rPr>
          <w:tab/>
        </w:r>
        <w:r w:rsidR="00B7625C" w:rsidRPr="007C4372">
          <w:rPr>
            <w:rStyle w:val="Hyperlink"/>
            <w:noProof/>
          </w:rPr>
          <w:t>Achtergrond</w:t>
        </w:r>
        <w:r w:rsidR="00B7625C">
          <w:rPr>
            <w:noProof/>
            <w:webHidden/>
          </w:rPr>
          <w:tab/>
        </w:r>
        <w:r w:rsidR="00B7625C">
          <w:rPr>
            <w:noProof/>
            <w:webHidden/>
          </w:rPr>
          <w:fldChar w:fldCharType="begin"/>
        </w:r>
        <w:r w:rsidR="00B7625C">
          <w:rPr>
            <w:noProof/>
            <w:webHidden/>
          </w:rPr>
          <w:instrText xml:space="preserve"> PAGEREF _Toc107210867 \h </w:instrText>
        </w:r>
        <w:r w:rsidR="00B7625C">
          <w:rPr>
            <w:noProof/>
            <w:webHidden/>
          </w:rPr>
        </w:r>
        <w:r w:rsidR="00B7625C">
          <w:rPr>
            <w:noProof/>
            <w:webHidden/>
          </w:rPr>
          <w:fldChar w:fldCharType="separate"/>
        </w:r>
        <w:r w:rsidR="00B7625C">
          <w:rPr>
            <w:noProof/>
            <w:webHidden/>
          </w:rPr>
          <w:t>9</w:t>
        </w:r>
        <w:r w:rsidR="00B7625C">
          <w:rPr>
            <w:noProof/>
            <w:webHidden/>
          </w:rPr>
          <w:fldChar w:fldCharType="end"/>
        </w:r>
      </w:hyperlink>
    </w:p>
    <w:p w14:paraId="4F2E283B" w14:textId="066FC812" w:rsidR="00B7625C" w:rsidRDefault="002F4506">
      <w:pPr>
        <w:pStyle w:val="Inhopg3"/>
        <w:rPr>
          <w:rFonts w:eastAsiaTheme="minorEastAsia"/>
          <w:noProof/>
          <w:lang w:eastAsia="nl-BE"/>
        </w:rPr>
      </w:pPr>
      <w:hyperlink w:anchor="_Toc107210868" w:history="1">
        <w:r w:rsidR="00B7625C" w:rsidRPr="007C4372">
          <w:rPr>
            <w:rStyle w:val="Hyperlink"/>
            <w:noProof/>
          </w:rPr>
          <w:t>2.)</w:t>
        </w:r>
        <w:r w:rsidR="00B7625C">
          <w:rPr>
            <w:rFonts w:eastAsiaTheme="minorEastAsia"/>
            <w:noProof/>
            <w:lang w:eastAsia="nl-BE"/>
          </w:rPr>
          <w:tab/>
        </w:r>
        <w:r w:rsidR="00B7625C" w:rsidRPr="007C4372">
          <w:rPr>
            <w:rStyle w:val="Hyperlink"/>
            <w:noProof/>
          </w:rPr>
          <w:t>Methodologie</w:t>
        </w:r>
        <w:r w:rsidR="00B7625C">
          <w:rPr>
            <w:noProof/>
            <w:webHidden/>
          </w:rPr>
          <w:tab/>
        </w:r>
        <w:r w:rsidR="00B7625C">
          <w:rPr>
            <w:noProof/>
            <w:webHidden/>
          </w:rPr>
          <w:fldChar w:fldCharType="begin"/>
        </w:r>
        <w:r w:rsidR="00B7625C">
          <w:rPr>
            <w:noProof/>
            <w:webHidden/>
          </w:rPr>
          <w:instrText xml:space="preserve"> PAGEREF _Toc107210868 \h </w:instrText>
        </w:r>
        <w:r w:rsidR="00B7625C">
          <w:rPr>
            <w:noProof/>
            <w:webHidden/>
          </w:rPr>
        </w:r>
        <w:r w:rsidR="00B7625C">
          <w:rPr>
            <w:noProof/>
            <w:webHidden/>
          </w:rPr>
          <w:fldChar w:fldCharType="separate"/>
        </w:r>
        <w:r w:rsidR="00B7625C">
          <w:rPr>
            <w:noProof/>
            <w:webHidden/>
          </w:rPr>
          <w:t>10</w:t>
        </w:r>
        <w:r w:rsidR="00B7625C">
          <w:rPr>
            <w:noProof/>
            <w:webHidden/>
          </w:rPr>
          <w:fldChar w:fldCharType="end"/>
        </w:r>
      </w:hyperlink>
    </w:p>
    <w:p w14:paraId="38CA40FE" w14:textId="79C9969E" w:rsidR="00B7625C" w:rsidRDefault="002F4506">
      <w:pPr>
        <w:pStyle w:val="Inhopg2"/>
        <w:rPr>
          <w:rFonts w:eastAsiaTheme="minorEastAsia"/>
          <w:noProof/>
          <w:lang w:eastAsia="nl-BE"/>
        </w:rPr>
      </w:pPr>
      <w:hyperlink w:anchor="_Toc107210869" w:history="1">
        <w:r w:rsidR="00B7625C" w:rsidRPr="007C4372">
          <w:rPr>
            <w:rStyle w:val="Hyperlink"/>
            <w:noProof/>
          </w:rPr>
          <w:t>B.</w:t>
        </w:r>
        <w:r w:rsidR="00B7625C">
          <w:rPr>
            <w:rFonts w:eastAsiaTheme="minorEastAsia"/>
            <w:noProof/>
            <w:lang w:eastAsia="nl-BE"/>
          </w:rPr>
          <w:tab/>
        </w:r>
        <w:r w:rsidR="00B7625C" w:rsidRPr="007C4372">
          <w:rPr>
            <w:rStyle w:val="Hyperlink"/>
            <w:noProof/>
          </w:rPr>
          <w:t>Afbakening van de hervorming</w:t>
        </w:r>
        <w:r w:rsidR="00B7625C">
          <w:rPr>
            <w:noProof/>
            <w:webHidden/>
          </w:rPr>
          <w:tab/>
        </w:r>
        <w:r w:rsidR="00B7625C">
          <w:rPr>
            <w:noProof/>
            <w:webHidden/>
          </w:rPr>
          <w:fldChar w:fldCharType="begin"/>
        </w:r>
        <w:r w:rsidR="00B7625C">
          <w:rPr>
            <w:noProof/>
            <w:webHidden/>
          </w:rPr>
          <w:instrText xml:space="preserve"> PAGEREF _Toc107210869 \h </w:instrText>
        </w:r>
        <w:r w:rsidR="00B7625C">
          <w:rPr>
            <w:noProof/>
            <w:webHidden/>
          </w:rPr>
        </w:r>
        <w:r w:rsidR="00B7625C">
          <w:rPr>
            <w:noProof/>
            <w:webHidden/>
          </w:rPr>
          <w:fldChar w:fldCharType="separate"/>
        </w:r>
        <w:r w:rsidR="00B7625C">
          <w:rPr>
            <w:noProof/>
            <w:webHidden/>
          </w:rPr>
          <w:t>13</w:t>
        </w:r>
        <w:r w:rsidR="00B7625C">
          <w:rPr>
            <w:noProof/>
            <w:webHidden/>
          </w:rPr>
          <w:fldChar w:fldCharType="end"/>
        </w:r>
      </w:hyperlink>
    </w:p>
    <w:p w14:paraId="422C16C8" w14:textId="601831DC" w:rsidR="00B7625C" w:rsidRDefault="002F4506">
      <w:pPr>
        <w:pStyle w:val="Inhopg3"/>
        <w:rPr>
          <w:rFonts w:eastAsiaTheme="minorEastAsia"/>
          <w:noProof/>
          <w:lang w:eastAsia="nl-BE"/>
        </w:rPr>
      </w:pPr>
      <w:hyperlink w:anchor="_Toc107210870" w:history="1">
        <w:r w:rsidR="00B7625C" w:rsidRPr="007C4372">
          <w:rPr>
            <w:rStyle w:val="Hyperlink"/>
            <w:noProof/>
          </w:rPr>
          <w:t>1.)</w:t>
        </w:r>
        <w:r w:rsidR="00B7625C">
          <w:rPr>
            <w:rFonts w:eastAsiaTheme="minorEastAsia"/>
            <w:noProof/>
            <w:lang w:eastAsia="nl-BE"/>
          </w:rPr>
          <w:tab/>
        </w:r>
        <w:r w:rsidR="00B7625C" w:rsidRPr="007C4372">
          <w:rPr>
            <w:rStyle w:val="Hyperlink"/>
            <w:noProof/>
          </w:rPr>
          <w:t>Federale bevoegdheid</w:t>
        </w:r>
        <w:r w:rsidR="00B7625C">
          <w:rPr>
            <w:noProof/>
            <w:webHidden/>
          </w:rPr>
          <w:tab/>
        </w:r>
        <w:r w:rsidR="00B7625C">
          <w:rPr>
            <w:noProof/>
            <w:webHidden/>
          </w:rPr>
          <w:fldChar w:fldCharType="begin"/>
        </w:r>
        <w:r w:rsidR="00B7625C">
          <w:rPr>
            <w:noProof/>
            <w:webHidden/>
          </w:rPr>
          <w:instrText xml:space="preserve"> PAGEREF _Toc107210870 \h </w:instrText>
        </w:r>
        <w:r w:rsidR="00B7625C">
          <w:rPr>
            <w:noProof/>
            <w:webHidden/>
          </w:rPr>
        </w:r>
        <w:r w:rsidR="00B7625C">
          <w:rPr>
            <w:noProof/>
            <w:webHidden/>
          </w:rPr>
          <w:fldChar w:fldCharType="separate"/>
        </w:r>
        <w:r w:rsidR="00B7625C">
          <w:rPr>
            <w:noProof/>
            <w:webHidden/>
          </w:rPr>
          <w:t>13</w:t>
        </w:r>
        <w:r w:rsidR="00B7625C">
          <w:rPr>
            <w:noProof/>
            <w:webHidden/>
          </w:rPr>
          <w:fldChar w:fldCharType="end"/>
        </w:r>
      </w:hyperlink>
    </w:p>
    <w:p w14:paraId="3072CD93" w14:textId="486D1996" w:rsidR="00B7625C" w:rsidRDefault="002F4506">
      <w:pPr>
        <w:pStyle w:val="Inhopg3"/>
        <w:rPr>
          <w:rFonts w:eastAsiaTheme="minorEastAsia"/>
          <w:noProof/>
          <w:lang w:eastAsia="nl-BE"/>
        </w:rPr>
      </w:pPr>
      <w:hyperlink w:anchor="_Toc107210871" w:history="1">
        <w:r w:rsidR="00B7625C" w:rsidRPr="007C4372">
          <w:rPr>
            <w:rStyle w:val="Hyperlink"/>
            <w:noProof/>
          </w:rPr>
          <w:t>2.)</w:t>
        </w:r>
        <w:r w:rsidR="00B7625C">
          <w:rPr>
            <w:rFonts w:eastAsiaTheme="minorEastAsia"/>
            <w:noProof/>
            <w:lang w:eastAsia="nl-BE"/>
          </w:rPr>
          <w:tab/>
        </w:r>
        <w:r w:rsidR="00B7625C" w:rsidRPr="007C4372">
          <w:rPr>
            <w:rStyle w:val="Hyperlink"/>
            <w:noProof/>
          </w:rPr>
          <w:t>Fiscaliteit / parafiscaliteit</w:t>
        </w:r>
        <w:r w:rsidR="00B7625C">
          <w:rPr>
            <w:noProof/>
            <w:webHidden/>
          </w:rPr>
          <w:tab/>
        </w:r>
        <w:r w:rsidR="00B7625C">
          <w:rPr>
            <w:noProof/>
            <w:webHidden/>
          </w:rPr>
          <w:fldChar w:fldCharType="begin"/>
        </w:r>
        <w:r w:rsidR="00B7625C">
          <w:rPr>
            <w:noProof/>
            <w:webHidden/>
          </w:rPr>
          <w:instrText xml:space="preserve"> PAGEREF _Toc107210871 \h </w:instrText>
        </w:r>
        <w:r w:rsidR="00B7625C">
          <w:rPr>
            <w:noProof/>
            <w:webHidden/>
          </w:rPr>
        </w:r>
        <w:r w:rsidR="00B7625C">
          <w:rPr>
            <w:noProof/>
            <w:webHidden/>
          </w:rPr>
          <w:fldChar w:fldCharType="separate"/>
        </w:r>
        <w:r w:rsidR="00B7625C">
          <w:rPr>
            <w:noProof/>
            <w:webHidden/>
          </w:rPr>
          <w:t>14</w:t>
        </w:r>
        <w:r w:rsidR="00B7625C">
          <w:rPr>
            <w:noProof/>
            <w:webHidden/>
          </w:rPr>
          <w:fldChar w:fldCharType="end"/>
        </w:r>
      </w:hyperlink>
    </w:p>
    <w:p w14:paraId="3F454EDA" w14:textId="6EEB7075" w:rsidR="00B7625C" w:rsidRDefault="002F4506">
      <w:pPr>
        <w:pStyle w:val="Inhopg3"/>
        <w:rPr>
          <w:rFonts w:eastAsiaTheme="minorEastAsia"/>
          <w:noProof/>
          <w:lang w:eastAsia="nl-BE"/>
        </w:rPr>
      </w:pPr>
      <w:hyperlink w:anchor="_Toc107210872" w:history="1">
        <w:r w:rsidR="00B7625C" w:rsidRPr="007C4372">
          <w:rPr>
            <w:rStyle w:val="Hyperlink"/>
            <w:noProof/>
          </w:rPr>
          <w:t>3.)</w:t>
        </w:r>
        <w:r w:rsidR="00B7625C">
          <w:rPr>
            <w:rFonts w:eastAsiaTheme="minorEastAsia"/>
            <w:noProof/>
            <w:lang w:eastAsia="nl-BE"/>
          </w:rPr>
          <w:tab/>
        </w:r>
        <w:r w:rsidR="00B7625C" w:rsidRPr="007C4372">
          <w:rPr>
            <w:rStyle w:val="Hyperlink"/>
            <w:noProof/>
          </w:rPr>
          <w:t>Budgettaire ruimte</w:t>
        </w:r>
        <w:r w:rsidR="00B7625C">
          <w:rPr>
            <w:noProof/>
            <w:webHidden/>
          </w:rPr>
          <w:tab/>
        </w:r>
        <w:r w:rsidR="00B7625C">
          <w:rPr>
            <w:noProof/>
            <w:webHidden/>
          </w:rPr>
          <w:fldChar w:fldCharType="begin"/>
        </w:r>
        <w:r w:rsidR="00B7625C">
          <w:rPr>
            <w:noProof/>
            <w:webHidden/>
          </w:rPr>
          <w:instrText xml:space="preserve"> PAGEREF _Toc107210872 \h </w:instrText>
        </w:r>
        <w:r w:rsidR="00B7625C">
          <w:rPr>
            <w:noProof/>
            <w:webHidden/>
          </w:rPr>
        </w:r>
        <w:r w:rsidR="00B7625C">
          <w:rPr>
            <w:noProof/>
            <w:webHidden/>
          </w:rPr>
          <w:fldChar w:fldCharType="separate"/>
        </w:r>
        <w:r w:rsidR="00B7625C">
          <w:rPr>
            <w:noProof/>
            <w:webHidden/>
          </w:rPr>
          <w:t>14</w:t>
        </w:r>
        <w:r w:rsidR="00B7625C">
          <w:rPr>
            <w:noProof/>
            <w:webHidden/>
          </w:rPr>
          <w:fldChar w:fldCharType="end"/>
        </w:r>
      </w:hyperlink>
    </w:p>
    <w:p w14:paraId="60EEE1DA" w14:textId="17AEE451" w:rsidR="00B7625C" w:rsidRDefault="002F4506">
      <w:pPr>
        <w:pStyle w:val="Inhopg2"/>
        <w:rPr>
          <w:rFonts w:eastAsiaTheme="minorEastAsia"/>
          <w:noProof/>
          <w:lang w:eastAsia="nl-BE"/>
        </w:rPr>
      </w:pPr>
      <w:hyperlink w:anchor="_Toc107210873" w:history="1">
        <w:r w:rsidR="00B7625C" w:rsidRPr="007C4372">
          <w:rPr>
            <w:rStyle w:val="Hyperlink"/>
            <w:noProof/>
          </w:rPr>
          <w:t>C.</w:t>
        </w:r>
        <w:r w:rsidR="00B7625C">
          <w:rPr>
            <w:rFonts w:eastAsiaTheme="minorEastAsia"/>
            <w:noProof/>
            <w:lang w:eastAsia="nl-BE"/>
          </w:rPr>
          <w:tab/>
        </w:r>
        <w:r w:rsidR="00B7625C" w:rsidRPr="007C4372">
          <w:rPr>
            <w:rStyle w:val="Hyperlink"/>
            <w:noProof/>
          </w:rPr>
          <w:t>Context van de hervorming</w:t>
        </w:r>
        <w:r w:rsidR="00B7625C">
          <w:rPr>
            <w:noProof/>
            <w:webHidden/>
          </w:rPr>
          <w:tab/>
        </w:r>
        <w:r w:rsidR="00B7625C">
          <w:rPr>
            <w:noProof/>
            <w:webHidden/>
          </w:rPr>
          <w:fldChar w:fldCharType="begin"/>
        </w:r>
        <w:r w:rsidR="00B7625C">
          <w:rPr>
            <w:noProof/>
            <w:webHidden/>
          </w:rPr>
          <w:instrText xml:space="preserve"> PAGEREF _Toc107210873 \h </w:instrText>
        </w:r>
        <w:r w:rsidR="00B7625C">
          <w:rPr>
            <w:noProof/>
            <w:webHidden/>
          </w:rPr>
        </w:r>
        <w:r w:rsidR="00B7625C">
          <w:rPr>
            <w:noProof/>
            <w:webHidden/>
          </w:rPr>
          <w:fldChar w:fldCharType="separate"/>
        </w:r>
        <w:r w:rsidR="00B7625C">
          <w:rPr>
            <w:noProof/>
            <w:webHidden/>
          </w:rPr>
          <w:t>16</w:t>
        </w:r>
        <w:r w:rsidR="00B7625C">
          <w:rPr>
            <w:noProof/>
            <w:webHidden/>
          </w:rPr>
          <w:fldChar w:fldCharType="end"/>
        </w:r>
      </w:hyperlink>
    </w:p>
    <w:p w14:paraId="475B4E2C" w14:textId="586CAF9E" w:rsidR="00B7625C" w:rsidRDefault="002F4506">
      <w:pPr>
        <w:pStyle w:val="Inhopg1"/>
        <w:rPr>
          <w:rFonts w:eastAsiaTheme="minorEastAsia"/>
          <w:noProof/>
          <w:lang w:eastAsia="nl-BE"/>
        </w:rPr>
      </w:pPr>
      <w:hyperlink w:anchor="_Toc107210874" w:history="1">
        <w:r w:rsidR="00B7625C" w:rsidRPr="007C4372">
          <w:rPr>
            <w:rStyle w:val="Hyperlink"/>
            <w:smallCaps/>
            <w:noProof/>
          </w:rPr>
          <w:t>III.</w:t>
        </w:r>
        <w:r w:rsidR="00B7625C">
          <w:rPr>
            <w:rFonts w:eastAsiaTheme="minorEastAsia"/>
            <w:noProof/>
            <w:lang w:eastAsia="nl-BE"/>
          </w:rPr>
          <w:tab/>
        </w:r>
        <w:r w:rsidR="00B7625C" w:rsidRPr="007C4372">
          <w:rPr>
            <w:rStyle w:val="Hyperlink"/>
            <w:smallCaps/>
            <w:noProof/>
          </w:rPr>
          <w:t>Algemene uitgangspunten van de hervorming</w:t>
        </w:r>
        <w:r w:rsidR="00B7625C">
          <w:rPr>
            <w:noProof/>
            <w:webHidden/>
          </w:rPr>
          <w:tab/>
        </w:r>
        <w:r w:rsidR="00B7625C">
          <w:rPr>
            <w:noProof/>
            <w:webHidden/>
          </w:rPr>
          <w:fldChar w:fldCharType="begin"/>
        </w:r>
        <w:r w:rsidR="00B7625C">
          <w:rPr>
            <w:noProof/>
            <w:webHidden/>
          </w:rPr>
          <w:instrText xml:space="preserve"> PAGEREF _Toc107210874 \h </w:instrText>
        </w:r>
        <w:r w:rsidR="00B7625C">
          <w:rPr>
            <w:noProof/>
            <w:webHidden/>
          </w:rPr>
        </w:r>
        <w:r w:rsidR="00B7625C">
          <w:rPr>
            <w:noProof/>
            <w:webHidden/>
          </w:rPr>
          <w:fldChar w:fldCharType="separate"/>
        </w:r>
        <w:r w:rsidR="00B7625C">
          <w:rPr>
            <w:noProof/>
            <w:webHidden/>
          </w:rPr>
          <w:t>19</w:t>
        </w:r>
        <w:r w:rsidR="00B7625C">
          <w:rPr>
            <w:noProof/>
            <w:webHidden/>
          </w:rPr>
          <w:fldChar w:fldCharType="end"/>
        </w:r>
      </w:hyperlink>
    </w:p>
    <w:p w14:paraId="14D2CFFE" w14:textId="352D4144" w:rsidR="00B7625C" w:rsidRDefault="002F4506">
      <w:pPr>
        <w:pStyle w:val="Inhopg2"/>
        <w:rPr>
          <w:rFonts w:eastAsiaTheme="minorEastAsia"/>
          <w:noProof/>
          <w:lang w:eastAsia="nl-BE"/>
        </w:rPr>
      </w:pPr>
      <w:hyperlink w:anchor="_Toc107210875" w:history="1">
        <w:r w:rsidR="00B7625C" w:rsidRPr="007C4372">
          <w:rPr>
            <w:rStyle w:val="Hyperlink"/>
            <w:noProof/>
          </w:rPr>
          <w:t>A.</w:t>
        </w:r>
        <w:r w:rsidR="00B7625C">
          <w:rPr>
            <w:rFonts w:eastAsiaTheme="minorEastAsia"/>
            <w:noProof/>
            <w:lang w:eastAsia="nl-BE"/>
          </w:rPr>
          <w:tab/>
        </w:r>
        <w:r w:rsidR="00B7625C" w:rsidRPr="007C4372">
          <w:rPr>
            <w:rStyle w:val="Hyperlink"/>
            <w:noProof/>
          </w:rPr>
          <w:t>Algemeen – het Regeerakkoord</w:t>
        </w:r>
        <w:r w:rsidR="00B7625C">
          <w:rPr>
            <w:noProof/>
            <w:webHidden/>
          </w:rPr>
          <w:tab/>
        </w:r>
        <w:r w:rsidR="00B7625C">
          <w:rPr>
            <w:noProof/>
            <w:webHidden/>
          </w:rPr>
          <w:fldChar w:fldCharType="begin"/>
        </w:r>
        <w:r w:rsidR="00B7625C">
          <w:rPr>
            <w:noProof/>
            <w:webHidden/>
          </w:rPr>
          <w:instrText xml:space="preserve"> PAGEREF _Toc107210875 \h </w:instrText>
        </w:r>
        <w:r w:rsidR="00B7625C">
          <w:rPr>
            <w:noProof/>
            <w:webHidden/>
          </w:rPr>
        </w:r>
        <w:r w:rsidR="00B7625C">
          <w:rPr>
            <w:noProof/>
            <w:webHidden/>
          </w:rPr>
          <w:fldChar w:fldCharType="separate"/>
        </w:r>
        <w:r w:rsidR="00B7625C">
          <w:rPr>
            <w:noProof/>
            <w:webHidden/>
          </w:rPr>
          <w:t>19</w:t>
        </w:r>
        <w:r w:rsidR="00B7625C">
          <w:rPr>
            <w:noProof/>
            <w:webHidden/>
          </w:rPr>
          <w:fldChar w:fldCharType="end"/>
        </w:r>
      </w:hyperlink>
    </w:p>
    <w:p w14:paraId="76820D3A" w14:textId="252A25FE" w:rsidR="00B7625C" w:rsidRDefault="002F4506">
      <w:pPr>
        <w:pStyle w:val="Inhopg2"/>
        <w:rPr>
          <w:rFonts w:eastAsiaTheme="minorEastAsia"/>
          <w:noProof/>
          <w:lang w:eastAsia="nl-BE"/>
        </w:rPr>
      </w:pPr>
      <w:hyperlink w:anchor="_Toc107210876" w:history="1">
        <w:r w:rsidR="00B7625C" w:rsidRPr="007C4372">
          <w:rPr>
            <w:rStyle w:val="Hyperlink"/>
            <w:noProof/>
          </w:rPr>
          <w:t>B.</w:t>
        </w:r>
        <w:r w:rsidR="00B7625C">
          <w:rPr>
            <w:rFonts w:eastAsiaTheme="minorEastAsia"/>
            <w:noProof/>
            <w:lang w:eastAsia="nl-BE"/>
          </w:rPr>
          <w:tab/>
        </w:r>
        <w:r w:rsidR="00B7625C" w:rsidRPr="007C4372">
          <w:rPr>
            <w:rStyle w:val="Hyperlink"/>
            <w:noProof/>
          </w:rPr>
          <w:t>Hervorming rond vier assen</w:t>
        </w:r>
        <w:r w:rsidR="00B7625C">
          <w:rPr>
            <w:noProof/>
            <w:webHidden/>
          </w:rPr>
          <w:tab/>
        </w:r>
        <w:r w:rsidR="00B7625C">
          <w:rPr>
            <w:noProof/>
            <w:webHidden/>
          </w:rPr>
          <w:fldChar w:fldCharType="begin"/>
        </w:r>
        <w:r w:rsidR="00B7625C">
          <w:rPr>
            <w:noProof/>
            <w:webHidden/>
          </w:rPr>
          <w:instrText xml:space="preserve"> PAGEREF _Toc107210876 \h </w:instrText>
        </w:r>
        <w:r w:rsidR="00B7625C">
          <w:rPr>
            <w:noProof/>
            <w:webHidden/>
          </w:rPr>
        </w:r>
        <w:r w:rsidR="00B7625C">
          <w:rPr>
            <w:noProof/>
            <w:webHidden/>
          </w:rPr>
          <w:fldChar w:fldCharType="separate"/>
        </w:r>
        <w:r w:rsidR="00B7625C">
          <w:rPr>
            <w:noProof/>
            <w:webHidden/>
          </w:rPr>
          <w:t>22</w:t>
        </w:r>
        <w:r w:rsidR="00B7625C">
          <w:rPr>
            <w:noProof/>
            <w:webHidden/>
          </w:rPr>
          <w:fldChar w:fldCharType="end"/>
        </w:r>
      </w:hyperlink>
    </w:p>
    <w:p w14:paraId="76424E9F" w14:textId="41C009E1" w:rsidR="00B7625C" w:rsidRDefault="002F4506">
      <w:pPr>
        <w:pStyle w:val="Inhopg2"/>
        <w:rPr>
          <w:rFonts w:eastAsiaTheme="minorEastAsia"/>
          <w:noProof/>
          <w:lang w:eastAsia="nl-BE"/>
        </w:rPr>
      </w:pPr>
      <w:hyperlink w:anchor="_Toc107210877" w:history="1">
        <w:r w:rsidR="00B7625C" w:rsidRPr="007C4372">
          <w:rPr>
            <w:rStyle w:val="Hyperlink"/>
            <w:noProof/>
          </w:rPr>
          <w:t>C.</w:t>
        </w:r>
        <w:r w:rsidR="00B7625C">
          <w:rPr>
            <w:rFonts w:eastAsiaTheme="minorEastAsia"/>
            <w:noProof/>
            <w:lang w:eastAsia="nl-BE"/>
          </w:rPr>
          <w:tab/>
        </w:r>
        <w:r w:rsidR="00B7625C" w:rsidRPr="007C4372">
          <w:rPr>
            <w:rStyle w:val="Hyperlink"/>
            <w:noProof/>
          </w:rPr>
          <w:t>Hervorming vanuit vier pijlers</w:t>
        </w:r>
        <w:r w:rsidR="00B7625C">
          <w:rPr>
            <w:noProof/>
            <w:webHidden/>
          </w:rPr>
          <w:tab/>
        </w:r>
        <w:r w:rsidR="00B7625C">
          <w:rPr>
            <w:noProof/>
            <w:webHidden/>
          </w:rPr>
          <w:fldChar w:fldCharType="begin"/>
        </w:r>
        <w:r w:rsidR="00B7625C">
          <w:rPr>
            <w:noProof/>
            <w:webHidden/>
          </w:rPr>
          <w:instrText xml:space="preserve"> PAGEREF _Toc107210877 \h </w:instrText>
        </w:r>
        <w:r w:rsidR="00B7625C">
          <w:rPr>
            <w:noProof/>
            <w:webHidden/>
          </w:rPr>
        </w:r>
        <w:r w:rsidR="00B7625C">
          <w:rPr>
            <w:noProof/>
            <w:webHidden/>
          </w:rPr>
          <w:fldChar w:fldCharType="separate"/>
        </w:r>
        <w:r w:rsidR="00B7625C">
          <w:rPr>
            <w:noProof/>
            <w:webHidden/>
          </w:rPr>
          <w:t>23</w:t>
        </w:r>
        <w:r w:rsidR="00B7625C">
          <w:rPr>
            <w:noProof/>
            <w:webHidden/>
          </w:rPr>
          <w:fldChar w:fldCharType="end"/>
        </w:r>
      </w:hyperlink>
    </w:p>
    <w:p w14:paraId="68CF20F8" w14:textId="2AA61488" w:rsidR="00B7625C" w:rsidRDefault="002F4506">
      <w:pPr>
        <w:pStyle w:val="Inhopg3"/>
        <w:rPr>
          <w:rFonts w:eastAsiaTheme="minorEastAsia"/>
          <w:noProof/>
          <w:lang w:eastAsia="nl-BE"/>
        </w:rPr>
      </w:pPr>
      <w:hyperlink w:anchor="_Toc107210878" w:history="1">
        <w:r w:rsidR="00B7625C" w:rsidRPr="007C4372">
          <w:rPr>
            <w:rStyle w:val="Hyperlink"/>
            <w:noProof/>
          </w:rPr>
          <w:t>1.)</w:t>
        </w:r>
        <w:r w:rsidR="00B7625C">
          <w:rPr>
            <w:rFonts w:eastAsiaTheme="minorEastAsia"/>
            <w:noProof/>
            <w:lang w:eastAsia="nl-BE"/>
          </w:rPr>
          <w:tab/>
        </w:r>
        <w:r w:rsidR="00B7625C" w:rsidRPr="007C4372">
          <w:rPr>
            <w:rStyle w:val="Hyperlink"/>
            <w:noProof/>
          </w:rPr>
          <w:t>Efficiëntie en neutraliteit</w:t>
        </w:r>
        <w:r w:rsidR="00B7625C">
          <w:rPr>
            <w:noProof/>
            <w:webHidden/>
          </w:rPr>
          <w:tab/>
        </w:r>
        <w:r w:rsidR="00B7625C">
          <w:rPr>
            <w:noProof/>
            <w:webHidden/>
          </w:rPr>
          <w:fldChar w:fldCharType="begin"/>
        </w:r>
        <w:r w:rsidR="00B7625C">
          <w:rPr>
            <w:noProof/>
            <w:webHidden/>
          </w:rPr>
          <w:instrText xml:space="preserve"> PAGEREF _Toc107210878 \h </w:instrText>
        </w:r>
        <w:r w:rsidR="00B7625C">
          <w:rPr>
            <w:noProof/>
            <w:webHidden/>
          </w:rPr>
        </w:r>
        <w:r w:rsidR="00B7625C">
          <w:rPr>
            <w:noProof/>
            <w:webHidden/>
          </w:rPr>
          <w:fldChar w:fldCharType="separate"/>
        </w:r>
        <w:r w:rsidR="00B7625C">
          <w:rPr>
            <w:noProof/>
            <w:webHidden/>
          </w:rPr>
          <w:t>23</w:t>
        </w:r>
        <w:r w:rsidR="00B7625C">
          <w:rPr>
            <w:noProof/>
            <w:webHidden/>
          </w:rPr>
          <w:fldChar w:fldCharType="end"/>
        </w:r>
      </w:hyperlink>
    </w:p>
    <w:p w14:paraId="6D30C9FE" w14:textId="2B771D90" w:rsidR="00B7625C" w:rsidRDefault="002F4506">
      <w:pPr>
        <w:pStyle w:val="Inhopg3"/>
        <w:rPr>
          <w:rFonts w:eastAsiaTheme="minorEastAsia"/>
          <w:noProof/>
          <w:lang w:eastAsia="nl-BE"/>
        </w:rPr>
      </w:pPr>
      <w:hyperlink w:anchor="_Toc107210879" w:history="1">
        <w:r w:rsidR="00B7625C" w:rsidRPr="007C4372">
          <w:rPr>
            <w:rStyle w:val="Hyperlink"/>
            <w:noProof/>
          </w:rPr>
          <w:t>2.)</w:t>
        </w:r>
        <w:r w:rsidR="00B7625C">
          <w:rPr>
            <w:rFonts w:eastAsiaTheme="minorEastAsia"/>
            <w:noProof/>
            <w:lang w:eastAsia="nl-BE"/>
          </w:rPr>
          <w:tab/>
        </w:r>
        <w:r w:rsidR="00B7625C" w:rsidRPr="007C4372">
          <w:rPr>
            <w:rStyle w:val="Hyperlink"/>
            <w:noProof/>
          </w:rPr>
          <w:t>Herverdeling</w:t>
        </w:r>
        <w:r w:rsidR="00B7625C">
          <w:rPr>
            <w:noProof/>
            <w:webHidden/>
          </w:rPr>
          <w:tab/>
        </w:r>
        <w:r w:rsidR="00B7625C">
          <w:rPr>
            <w:noProof/>
            <w:webHidden/>
          </w:rPr>
          <w:fldChar w:fldCharType="begin"/>
        </w:r>
        <w:r w:rsidR="00B7625C">
          <w:rPr>
            <w:noProof/>
            <w:webHidden/>
          </w:rPr>
          <w:instrText xml:space="preserve"> PAGEREF _Toc107210879 \h </w:instrText>
        </w:r>
        <w:r w:rsidR="00B7625C">
          <w:rPr>
            <w:noProof/>
            <w:webHidden/>
          </w:rPr>
        </w:r>
        <w:r w:rsidR="00B7625C">
          <w:rPr>
            <w:noProof/>
            <w:webHidden/>
          </w:rPr>
          <w:fldChar w:fldCharType="separate"/>
        </w:r>
        <w:r w:rsidR="00B7625C">
          <w:rPr>
            <w:noProof/>
            <w:webHidden/>
          </w:rPr>
          <w:t>31</w:t>
        </w:r>
        <w:r w:rsidR="00B7625C">
          <w:rPr>
            <w:noProof/>
            <w:webHidden/>
          </w:rPr>
          <w:fldChar w:fldCharType="end"/>
        </w:r>
      </w:hyperlink>
    </w:p>
    <w:p w14:paraId="03C217CD" w14:textId="4186887B" w:rsidR="00B7625C" w:rsidRDefault="002F4506">
      <w:pPr>
        <w:pStyle w:val="Inhopg3"/>
        <w:rPr>
          <w:rFonts w:eastAsiaTheme="minorEastAsia"/>
          <w:noProof/>
          <w:lang w:eastAsia="nl-BE"/>
        </w:rPr>
      </w:pPr>
      <w:hyperlink w:anchor="_Toc107210880" w:history="1">
        <w:r w:rsidR="00B7625C" w:rsidRPr="007C4372">
          <w:rPr>
            <w:rStyle w:val="Hyperlink"/>
            <w:noProof/>
          </w:rPr>
          <w:t>3.)</w:t>
        </w:r>
        <w:r w:rsidR="00B7625C">
          <w:rPr>
            <w:rFonts w:eastAsiaTheme="minorEastAsia"/>
            <w:noProof/>
            <w:lang w:eastAsia="nl-BE"/>
          </w:rPr>
          <w:tab/>
        </w:r>
        <w:r w:rsidR="00B7625C" w:rsidRPr="007C4372">
          <w:rPr>
            <w:rStyle w:val="Hyperlink"/>
            <w:noProof/>
          </w:rPr>
          <w:t>Eenvoud</w:t>
        </w:r>
        <w:r w:rsidR="00B7625C">
          <w:rPr>
            <w:noProof/>
            <w:webHidden/>
          </w:rPr>
          <w:tab/>
        </w:r>
        <w:r w:rsidR="00B7625C">
          <w:rPr>
            <w:noProof/>
            <w:webHidden/>
          </w:rPr>
          <w:fldChar w:fldCharType="begin"/>
        </w:r>
        <w:r w:rsidR="00B7625C">
          <w:rPr>
            <w:noProof/>
            <w:webHidden/>
          </w:rPr>
          <w:instrText xml:space="preserve"> PAGEREF _Toc107210880 \h </w:instrText>
        </w:r>
        <w:r w:rsidR="00B7625C">
          <w:rPr>
            <w:noProof/>
            <w:webHidden/>
          </w:rPr>
        </w:r>
        <w:r w:rsidR="00B7625C">
          <w:rPr>
            <w:noProof/>
            <w:webHidden/>
          </w:rPr>
          <w:fldChar w:fldCharType="separate"/>
        </w:r>
        <w:r w:rsidR="00B7625C">
          <w:rPr>
            <w:noProof/>
            <w:webHidden/>
          </w:rPr>
          <w:t>34</w:t>
        </w:r>
        <w:r w:rsidR="00B7625C">
          <w:rPr>
            <w:noProof/>
            <w:webHidden/>
          </w:rPr>
          <w:fldChar w:fldCharType="end"/>
        </w:r>
      </w:hyperlink>
    </w:p>
    <w:p w14:paraId="4817D722" w14:textId="0384ECA8" w:rsidR="00B7625C" w:rsidRDefault="002F4506">
      <w:pPr>
        <w:pStyle w:val="Inhopg3"/>
        <w:rPr>
          <w:rFonts w:eastAsiaTheme="minorEastAsia"/>
          <w:noProof/>
          <w:lang w:eastAsia="nl-BE"/>
        </w:rPr>
      </w:pPr>
      <w:hyperlink w:anchor="_Toc107210881" w:history="1">
        <w:r w:rsidR="00B7625C" w:rsidRPr="007C4372">
          <w:rPr>
            <w:rStyle w:val="Hyperlink"/>
            <w:noProof/>
            <w:lang w:val="en-GB"/>
          </w:rPr>
          <w:t>4.)</w:t>
        </w:r>
        <w:r w:rsidR="00B7625C">
          <w:rPr>
            <w:rFonts w:eastAsiaTheme="minorEastAsia"/>
            <w:noProof/>
            <w:lang w:eastAsia="nl-BE"/>
          </w:rPr>
          <w:tab/>
        </w:r>
        <w:r w:rsidR="00B7625C" w:rsidRPr="007C4372">
          <w:rPr>
            <w:rStyle w:val="Hyperlink"/>
            <w:noProof/>
            <w:lang w:val="en-GB"/>
          </w:rPr>
          <w:t>Rechtszekerheid</w:t>
        </w:r>
        <w:r w:rsidR="00B7625C">
          <w:rPr>
            <w:noProof/>
            <w:webHidden/>
          </w:rPr>
          <w:tab/>
        </w:r>
        <w:r w:rsidR="00B7625C">
          <w:rPr>
            <w:noProof/>
            <w:webHidden/>
          </w:rPr>
          <w:fldChar w:fldCharType="begin"/>
        </w:r>
        <w:r w:rsidR="00B7625C">
          <w:rPr>
            <w:noProof/>
            <w:webHidden/>
          </w:rPr>
          <w:instrText xml:space="preserve"> PAGEREF _Toc107210881 \h </w:instrText>
        </w:r>
        <w:r w:rsidR="00B7625C">
          <w:rPr>
            <w:noProof/>
            <w:webHidden/>
          </w:rPr>
        </w:r>
        <w:r w:rsidR="00B7625C">
          <w:rPr>
            <w:noProof/>
            <w:webHidden/>
          </w:rPr>
          <w:fldChar w:fldCharType="separate"/>
        </w:r>
        <w:r w:rsidR="00B7625C">
          <w:rPr>
            <w:noProof/>
            <w:webHidden/>
          </w:rPr>
          <w:t>34</w:t>
        </w:r>
        <w:r w:rsidR="00B7625C">
          <w:rPr>
            <w:noProof/>
            <w:webHidden/>
          </w:rPr>
          <w:fldChar w:fldCharType="end"/>
        </w:r>
      </w:hyperlink>
    </w:p>
    <w:p w14:paraId="55A50E04" w14:textId="177D6B4E" w:rsidR="00B7625C" w:rsidRDefault="002F4506">
      <w:pPr>
        <w:pStyle w:val="Inhopg1"/>
        <w:rPr>
          <w:rFonts w:eastAsiaTheme="minorEastAsia"/>
          <w:noProof/>
          <w:lang w:eastAsia="nl-BE"/>
        </w:rPr>
      </w:pPr>
      <w:hyperlink w:anchor="_Toc107210882" w:history="1">
        <w:r w:rsidR="00B7625C" w:rsidRPr="007C4372">
          <w:rPr>
            <w:rStyle w:val="Hyperlink"/>
            <w:smallCaps/>
            <w:noProof/>
          </w:rPr>
          <w:t>IV.</w:t>
        </w:r>
        <w:r w:rsidR="00B7625C">
          <w:rPr>
            <w:rFonts w:eastAsiaTheme="minorEastAsia"/>
            <w:noProof/>
            <w:lang w:eastAsia="nl-BE"/>
          </w:rPr>
          <w:tab/>
        </w:r>
        <w:r w:rsidR="00B7625C" w:rsidRPr="007C4372">
          <w:rPr>
            <w:rStyle w:val="Hyperlink"/>
            <w:smallCaps/>
            <w:noProof/>
          </w:rPr>
          <w:t>De architectuur van de toekomst</w:t>
        </w:r>
        <w:r w:rsidR="00B7625C">
          <w:rPr>
            <w:noProof/>
            <w:webHidden/>
          </w:rPr>
          <w:tab/>
        </w:r>
        <w:r w:rsidR="00B7625C">
          <w:rPr>
            <w:noProof/>
            <w:webHidden/>
          </w:rPr>
          <w:fldChar w:fldCharType="begin"/>
        </w:r>
        <w:r w:rsidR="00B7625C">
          <w:rPr>
            <w:noProof/>
            <w:webHidden/>
          </w:rPr>
          <w:instrText xml:space="preserve"> PAGEREF _Toc107210882 \h </w:instrText>
        </w:r>
        <w:r w:rsidR="00B7625C">
          <w:rPr>
            <w:noProof/>
            <w:webHidden/>
          </w:rPr>
        </w:r>
        <w:r w:rsidR="00B7625C">
          <w:rPr>
            <w:noProof/>
            <w:webHidden/>
          </w:rPr>
          <w:fldChar w:fldCharType="separate"/>
        </w:r>
        <w:r w:rsidR="00B7625C">
          <w:rPr>
            <w:noProof/>
            <w:webHidden/>
          </w:rPr>
          <w:t>35</w:t>
        </w:r>
        <w:r w:rsidR="00B7625C">
          <w:rPr>
            <w:noProof/>
            <w:webHidden/>
          </w:rPr>
          <w:fldChar w:fldCharType="end"/>
        </w:r>
      </w:hyperlink>
    </w:p>
    <w:p w14:paraId="3817810D" w14:textId="771739FC" w:rsidR="00B7625C" w:rsidRDefault="002F4506">
      <w:pPr>
        <w:pStyle w:val="Inhopg2"/>
        <w:rPr>
          <w:rFonts w:eastAsiaTheme="minorEastAsia"/>
          <w:noProof/>
          <w:lang w:eastAsia="nl-BE"/>
        </w:rPr>
      </w:pPr>
      <w:hyperlink w:anchor="_Toc107210883" w:history="1">
        <w:r w:rsidR="00B7625C" w:rsidRPr="007C4372">
          <w:rPr>
            <w:rStyle w:val="Hyperlink"/>
            <w:noProof/>
          </w:rPr>
          <w:t>A.</w:t>
        </w:r>
        <w:r w:rsidR="00B7625C">
          <w:rPr>
            <w:rFonts w:eastAsiaTheme="minorEastAsia"/>
            <w:noProof/>
            <w:lang w:eastAsia="nl-BE"/>
          </w:rPr>
          <w:tab/>
        </w:r>
        <w:r w:rsidR="00B7625C" w:rsidRPr="007C4372">
          <w:rPr>
            <w:rStyle w:val="Hyperlink"/>
            <w:noProof/>
          </w:rPr>
          <w:t>Het uitgangspunt</w:t>
        </w:r>
        <w:r w:rsidR="00B7625C">
          <w:rPr>
            <w:noProof/>
            <w:webHidden/>
          </w:rPr>
          <w:tab/>
        </w:r>
        <w:r w:rsidR="00B7625C">
          <w:rPr>
            <w:noProof/>
            <w:webHidden/>
          </w:rPr>
          <w:fldChar w:fldCharType="begin"/>
        </w:r>
        <w:r w:rsidR="00B7625C">
          <w:rPr>
            <w:noProof/>
            <w:webHidden/>
          </w:rPr>
          <w:instrText xml:space="preserve"> PAGEREF _Toc107210883 \h </w:instrText>
        </w:r>
        <w:r w:rsidR="00B7625C">
          <w:rPr>
            <w:noProof/>
            <w:webHidden/>
          </w:rPr>
        </w:r>
        <w:r w:rsidR="00B7625C">
          <w:rPr>
            <w:noProof/>
            <w:webHidden/>
          </w:rPr>
          <w:fldChar w:fldCharType="separate"/>
        </w:r>
        <w:r w:rsidR="00B7625C">
          <w:rPr>
            <w:noProof/>
            <w:webHidden/>
          </w:rPr>
          <w:t>35</w:t>
        </w:r>
        <w:r w:rsidR="00B7625C">
          <w:rPr>
            <w:noProof/>
            <w:webHidden/>
          </w:rPr>
          <w:fldChar w:fldCharType="end"/>
        </w:r>
      </w:hyperlink>
    </w:p>
    <w:p w14:paraId="78BEA224" w14:textId="5586533E" w:rsidR="00B7625C" w:rsidRDefault="002F4506">
      <w:pPr>
        <w:pStyle w:val="Inhopg2"/>
        <w:rPr>
          <w:rFonts w:eastAsiaTheme="minorEastAsia"/>
          <w:noProof/>
          <w:lang w:eastAsia="nl-BE"/>
        </w:rPr>
      </w:pPr>
      <w:hyperlink w:anchor="_Toc107210884" w:history="1">
        <w:r w:rsidR="00B7625C" w:rsidRPr="007C4372">
          <w:rPr>
            <w:rStyle w:val="Hyperlink"/>
            <w:noProof/>
          </w:rPr>
          <w:t>B.</w:t>
        </w:r>
        <w:r w:rsidR="00B7625C">
          <w:rPr>
            <w:rFonts w:eastAsiaTheme="minorEastAsia"/>
            <w:noProof/>
            <w:lang w:eastAsia="nl-BE"/>
          </w:rPr>
          <w:tab/>
        </w:r>
        <w:r w:rsidR="00B7625C" w:rsidRPr="007C4372">
          <w:rPr>
            <w:rStyle w:val="Hyperlink"/>
            <w:noProof/>
          </w:rPr>
          <w:t>Het streefdoel</w:t>
        </w:r>
        <w:r w:rsidR="00B7625C">
          <w:rPr>
            <w:noProof/>
            <w:webHidden/>
          </w:rPr>
          <w:tab/>
        </w:r>
        <w:r w:rsidR="00B7625C">
          <w:rPr>
            <w:noProof/>
            <w:webHidden/>
          </w:rPr>
          <w:fldChar w:fldCharType="begin"/>
        </w:r>
        <w:r w:rsidR="00B7625C">
          <w:rPr>
            <w:noProof/>
            <w:webHidden/>
          </w:rPr>
          <w:instrText xml:space="preserve"> PAGEREF _Toc107210884 \h </w:instrText>
        </w:r>
        <w:r w:rsidR="00B7625C">
          <w:rPr>
            <w:noProof/>
            <w:webHidden/>
          </w:rPr>
        </w:r>
        <w:r w:rsidR="00B7625C">
          <w:rPr>
            <w:noProof/>
            <w:webHidden/>
          </w:rPr>
          <w:fldChar w:fldCharType="separate"/>
        </w:r>
        <w:r w:rsidR="00B7625C">
          <w:rPr>
            <w:noProof/>
            <w:webHidden/>
          </w:rPr>
          <w:t>37</w:t>
        </w:r>
        <w:r w:rsidR="00B7625C">
          <w:rPr>
            <w:noProof/>
            <w:webHidden/>
          </w:rPr>
          <w:fldChar w:fldCharType="end"/>
        </w:r>
      </w:hyperlink>
    </w:p>
    <w:p w14:paraId="445F37CA" w14:textId="0BB5D475" w:rsidR="00B7625C" w:rsidRDefault="002F4506">
      <w:pPr>
        <w:pStyle w:val="Inhopg2"/>
        <w:rPr>
          <w:rFonts w:eastAsiaTheme="minorEastAsia"/>
          <w:noProof/>
          <w:lang w:eastAsia="nl-BE"/>
        </w:rPr>
      </w:pPr>
      <w:hyperlink w:anchor="_Toc107210885" w:history="1">
        <w:r w:rsidR="00B7625C" w:rsidRPr="007C4372">
          <w:rPr>
            <w:rStyle w:val="Hyperlink"/>
            <w:noProof/>
          </w:rPr>
          <w:t>C.</w:t>
        </w:r>
        <w:r w:rsidR="00B7625C">
          <w:rPr>
            <w:rFonts w:eastAsiaTheme="minorEastAsia"/>
            <w:noProof/>
            <w:lang w:eastAsia="nl-BE"/>
          </w:rPr>
          <w:tab/>
        </w:r>
        <w:r w:rsidR="00B7625C" w:rsidRPr="007C4372">
          <w:rPr>
            <w:rStyle w:val="Hyperlink"/>
            <w:noProof/>
          </w:rPr>
          <w:t>De bouwstenen</w:t>
        </w:r>
        <w:r w:rsidR="00B7625C">
          <w:rPr>
            <w:noProof/>
            <w:webHidden/>
          </w:rPr>
          <w:tab/>
        </w:r>
        <w:r w:rsidR="00B7625C">
          <w:rPr>
            <w:noProof/>
            <w:webHidden/>
          </w:rPr>
          <w:fldChar w:fldCharType="begin"/>
        </w:r>
        <w:r w:rsidR="00B7625C">
          <w:rPr>
            <w:noProof/>
            <w:webHidden/>
          </w:rPr>
          <w:instrText xml:space="preserve"> PAGEREF _Toc107210885 \h </w:instrText>
        </w:r>
        <w:r w:rsidR="00B7625C">
          <w:rPr>
            <w:noProof/>
            <w:webHidden/>
          </w:rPr>
        </w:r>
        <w:r w:rsidR="00B7625C">
          <w:rPr>
            <w:noProof/>
            <w:webHidden/>
          </w:rPr>
          <w:fldChar w:fldCharType="separate"/>
        </w:r>
        <w:r w:rsidR="00B7625C">
          <w:rPr>
            <w:noProof/>
            <w:webHidden/>
          </w:rPr>
          <w:t>38</w:t>
        </w:r>
        <w:r w:rsidR="00B7625C">
          <w:rPr>
            <w:noProof/>
            <w:webHidden/>
          </w:rPr>
          <w:fldChar w:fldCharType="end"/>
        </w:r>
      </w:hyperlink>
    </w:p>
    <w:p w14:paraId="13EC0BD7" w14:textId="2E161EEA" w:rsidR="00B7625C" w:rsidRDefault="002F4506">
      <w:pPr>
        <w:pStyle w:val="Inhopg3"/>
        <w:rPr>
          <w:rFonts w:eastAsiaTheme="minorEastAsia"/>
          <w:noProof/>
          <w:lang w:eastAsia="nl-BE"/>
        </w:rPr>
      </w:pPr>
      <w:hyperlink w:anchor="_Toc107210886" w:history="1">
        <w:r w:rsidR="00B7625C" w:rsidRPr="007C4372">
          <w:rPr>
            <w:rStyle w:val="Hyperlink"/>
            <w:noProof/>
          </w:rPr>
          <w:t>1.)</w:t>
        </w:r>
        <w:r w:rsidR="00B7625C">
          <w:rPr>
            <w:rFonts w:eastAsiaTheme="minorEastAsia"/>
            <w:noProof/>
            <w:lang w:eastAsia="nl-BE"/>
          </w:rPr>
          <w:tab/>
        </w:r>
        <w:r w:rsidR="00B7625C" w:rsidRPr="007C4372">
          <w:rPr>
            <w:rStyle w:val="Hyperlink"/>
            <w:noProof/>
          </w:rPr>
          <w:t>Belastbare eenheid</w:t>
        </w:r>
        <w:r w:rsidR="00B7625C">
          <w:rPr>
            <w:noProof/>
            <w:webHidden/>
          </w:rPr>
          <w:tab/>
        </w:r>
        <w:r w:rsidR="00B7625C">
          <w:rPr>
            <w:noProof/>
            <w:webHidden/>
          </w:rPr>
          <w:fldChar w:fldCharType="begin"/>
        </w:r>
        <w:r w:rsidR="00B7625C">
          <w:rPr>
            <w:noProof/>
            <w:webHidden/>
          </w:rPr>
          <w:instrText xml:space="preserve"> PAGEREF _Toc107210886 \h </w:instrText>
        </w:r>
        <w:r w:rsidR="00B7625C">
          <w:rPr>
            <w:noProof/>
            <w:webHidden/>
          </w:rPr>
        </w:r>
        <w:r w:rsidR="00B7625C">
          <w:rPr>
            <w:noProof/>
            <w:webHidden/>
          </w:rPr>
          <w:fldChar w:fldCharType="separate"/>
        </w:r>
        <w:r w:rsidR="00B7625C">
          <w:rPr>
            <w:noProof/>
            <w:webHidden/>
          </w:rPr>
          <w:t>38</w:t>
        </w:r>
        <w:r w:rsidR="00B7625C">
          <w:rPr>
            <w:noProof/>
            <w:webHidden/>
          </w:rPr>
          <w:fldChar w:fldCharType="end"/>
        </w:r>
      </w:hyperlink>
    </w:p>
    <w:p w14:paraId="618EE735" w14:textId="7E24A506" w:rsidR="00B7625C" w:rsidRDefault="002F4506">
      <w:pPr>
        <w:pStyle w:val="Inhopg3"/>
        <w:rPr>
          <w:rFonts w:eastAsiaTheme="minorEastAsia"/>
          <w:noProof/>
          <w:lang w:eastAsia="nl-BE"/>
        </w:rPr>
      </w:pPr>
      <w:hyperlink w:anchor="_Toc107210887" w:history="1">
        <w:r w:rsidR="00B7625C" w:rsidRPr="007C4372">
          <w:rPr>
            <w:rStyle w:val="Hyperlink"/>
            <w:noProof/>
          </w:rPr>
          <w:t>2.)</w:t>
        </w:r>
        <w:r w:rsidR="00B7625C">
          <w:rPr>
            <w:rFonts w:eastAsiaTheme="minorEastAsia"/>
            <w:noProof/>
            <w:lang w:eastAsia="nl-BE"/>
          </w:rPr>
          <w:tab/>
        </w:r>
        <w:r w:rsidR="00B7625C" w:rsidRPr="007C4372">
          <w:rPr>
            <w:rStyle w:val="Hyperlink"/>
            <w:noProof/>
          </w:rPr>
          <w:t>Belaste bestanddelen</w:t>
        </w:r>
        <w:r w:rsidR="00B7625C">
          <w:rPr>
            <w:noProof/>
            <w:webHidden/>
          </w:rPr>
          <w:tab/>
        </w:r>
        <w:r w:rsidR="00B7625C">
          <w:rPr>
            <w:noProof/>
            <w:webHidden/>
          </w:rPr>
          <w:fldChar w:fldCharType="begin"/>
        </w:r>
        <w:r w:rsidR="00B7625C">
          <w:rPr>
            <w:noProof/>
            <w:webHidden/>
          </w:rPr>
          <w:instrText xml:space="preserve"> PAGEREF _Toc107210887 \h </w:instrText>
        </w:r>
        <w:r w:rsidR="00B7625C">
          <w:rPr>
            <w:noProof/>
            <w:webHidden/>
          </w:rPr>
        </w:r>
        <w:r w:rsidR="00B7625C">
          <w:rPr>
            <w:noProof/>
            <w:webHidden/>
          </w:rPr>
          <w:fldChar w:fldCharType="separate"/>
        </w:r>
        <w:r w:rsidR="00B7625C">
          <w:rPr>
            <w:noProof/>
            <w:webHidden/>
          </w:rPr>
          <w:t>39</w:t>
        </w:r>
        <w:r w:rsidR="00B7625C">
          <w:rPr>
            <w:noProof/>
            <w:webHidden/>
          </w:rPr>
          <w:fldChar w:fldCharType="end"/>
        </w:r>
      </w:hyperlink>
    </w:p>
    <w:p w14:paraId="4248CD9F" w14:textId="1EC92FF3" w:rsidR="00B7625C" w:rsidRDefault="002F4506">
      <w:pPr>
        <w:pStyle w:val="Inhopg3"/>
        <w:rPr>
          <w:rFonts w:eastAsiaTheme="minorEastAsia"/>
          <w:noProof/>
          <w:lang w:eastAsia="nl-BE"/>
        </w:rPr>
      </w:pPr>
      <w:hyperlink w:anchor="_Toc107210888" w:history="1">
        <w:r w:rsidR="00B7625C" w:rsidRPr="007C4372">
          <w:rPr>
            <w:rStyle w:val="Hyperlink"/>
            <w:noProof/>
          </w:rPr>
          <w:t>3.)</w:t>
        </w:r>
        <w:r w:rsidR="00B7625C">
          <w:rPr>
            <w:rFonts w:eastAsiaTheme="minorEastAsia"/>
            <w:noProof/>
            <w:lang w:eastAsia="nl-BE"/>
          </w:rPr>
          <w:tab/>
        </w:r>
        <w:r w:rsidR="00B7625C" w:rsidRPr="007C4372">
          <w:rPr>
            <w:rStyle w:val="Hyperlink"/>
            <w:noProof/>
          </w:rPr>
          <w:t>Niet-belaste bestanddelen</w:t>
        </w:r>
        <w:r w:rsidR="00B7625C">
          <w:rPr>
            <w:noProof/>
            <w:webHidden/>
          </w:rPr>
          <w:tab/>
        </w:r>
        <w:r w:rsidR="00B7625C">
          <w:rPr>
            <w:noProof/>
            <w:webHidden/>
          </w:rPr>
          <w:fldChar w:fldCharType="begin"/>
        </w:r>
        <w:r w:rsidR="00B7625C">
          <w:rPr>
            <w:noProof/>
            <w:webHidden/>
          </w:rPr>
          <w:instrText xml:space="preserve"> PAGEREF _Toc107210888 \h </w:instrText>
        </w:r>
        <w:r w:rsidR="00B7625C">
          <w:rPr>
            <w:noProof/>
            <w:webHidden/>
          </w:rPr>
        </w:r>
        <w:r w:rsidR="00B7625C">
          <w:rPr>
            <w:noProof/>
            <w:webHidden/>
          </w:rPr>
          <w:fldChar w:fldCharType="separate"/>
        </w:r>
        <w:r w:rsidR="00B7625C">
          <w:rPr>
            <w:noProof/>
            <w:webHidden/>
          </w:rPr>
          <w:t>40</w:t>
        </w:r>
        <w:r w:rsidR="00B7625C">
          <w:rPr>
            <w:noProof/>
            <w:webHidden/>
          </w:rPr>
          <w:fldChar w:fldCharType="end"/>
        </w:r>
      </w:hyperlink>
    </w:p>
    <w:p w14:paraId="7E051FC7" w14:textId="7E8F8FCD" w:rsidR="00B7625C" w:rsidRDefault="002F4506">
      <w:pPr>
        <w:pStyle w:val="Inhopg3"/>
        <w:rPr>
          <w:rFonts w:eastAsiaTheme="minorEastAsia"/>
          <w:noProof/>
          <w:lang w:eastAsia="nl-BE"/>
        </w:rPr>
      </w:pPr>
      <w:hyperlink w:anchor="_Toc107210889" w:history="1">
        <w:r w:rsidR="00B7625C" w:rsidRPr="007C4372">
          <w:rPr>
            <w:rStyle w:val="Hyperlink"/>
            <w:noProof/>
          </w:rPr>
          <w:t>4.)</w:t>
        </w:r>
        <w:r w:rsidR="00B7625C">
          <w:rPr>
            <w:rFonts w:eastAsiaTheme="minorEastAsia"/>
            <w:noProof/>
            <w:lang w:eastAsia="nl-BE"/>
          </w:rPr>
          <w:tab/>
        </w:r>
        <w:r w:rsidR="00B7625C" w:rsidRPr="007C4372">
          <w:rPr>
            <w:rStyle w:val="Hyperlink"/>
            <w:noProof/>
          </w:rPr>
          <w:t>Tariefstructuur</w:t>
        </w:r>
        <w:r w:rsidR="00B7625C">
          <w:rPr>
            <w:noProof/>
            <w:webHidden/>
          </w:rPr>
          <w:tab/>
        </w:r>
        <w:r w:rsidR="00B7625C">
          <w:rPr>
            <w:noProof/>
            <w:webHidden/>
          </w:rPr>
          <w:fldChar w:fldCharType="begin"/>
        </w:r>
        <w:r w:rsidR="00B7625C">
          <w:rPr>
            <w:noProof/>
            <w:webHidden/>
          </w:rPr>
          <w:instrText xml:space="preserve"> PAGEREF _Toc107210889 \h </w:instrText>
        </w:r>
        <w:r w:rsidR="00B7625C">
          <w:rPr>
            <w:noProof/>
            <w:webHidden/>
          </w:rPr>
        </w:r>
        <w:r w:rsidR="00B7625C">
          <w:rPr>
            <w:noProof/>
            <w:webHidden/>
          </w:rPr>
          <w:fldChar w:fldCharType="separate"/>
        </w:r>
        <w:r w:rsidR="00B7625C">
          <w:rPr>
            <w:noProof/>
            <w:webHidden/>
          </w:rPr>
          <w:t>41</w:t>
        </w:r>
        <w:r w:rsidR="00B7625C">
          <w:rPr>
            <w:noProof/>
            <w:webHidden/>
          </w:rPr>
          <w:fldChar w:fldCharType="end"/>
        </w:r>
      </w:hyperlink>
    </w:p>
    <w:p w14:paraId="25A11F63" w14:textId="337F87FA" w:rsidR="00B7625C" w:rsidRDefault="002F4506">
      <w:pPr>
        <w:pStyle w:val="Inhopg3"/>
        <w:rPr>
          <w:rFonts w:eastAsiaTheme="minorEastAsia"/>
          <w:noProof/>
          <w:lang w:eastAsia="nl-BE"/>
        </w:rPr>
      </w:pPr>
      <w:hyperlink w:anchor="_Toc107210890" w:history="1">
        <w:r w:rsidR="00B7625C" w:rsidRPr="007C4372">
          <w:rPr>
            <w:rStyle w:val="Hyperlink"/>
            <w:noProof/>
          </w:rPr>
          <w:t>5.)</w:t>
        </w:r>
        <w:r w:rsidR="00B7625C">
          <w:rPr>
            <w:rFonts w:eastAsiaTheme="minorEastAsia"/>
            <w:noProof/>
            <w:lang w:eastAsia="nl-BE"/>
          </w:rPr>
          <w:tab/>
        </w:r>
        <w:r w:rsidR="00B7625C" w:rsidRPr="007C4372">
          <w:rPr>
            <w:rStyle w:val="Hyperlink"/>
            <w:noProof/>
          </w:rPr>
          <w:t>Heffingsprincipes</w:t>
        </w:r>
        <w:r w:rsidR="00B7625C">
          <w:rPr>
            <w:noProof/>
            <w:webHidden/>
          </w:rPr>
          <w:tab/>
        </w:r>
        <w:r w:rsidR="00B7625C">
          <w:rPr>
            <w:noProof/>
            <w:webHidden/>
          </w:rPr>
          <w:fldChar w:fldCharType="begin"/>
        </w:r>
        <w:r w:rsidR="00B7625C">
          <w:rPr>
            <w:noProof/>
            <w:webHidden/>
          </w:rPr>
          <w:instrText xml:space="preserve"> PAGEREF _Toc107210890 \h </w:instrText>
        </w:r>
        <w:r w:rsidR="00B7625C">
          <w:rPr>
            <w:noProof/>
            <w:webHidden/>
          </w:rPr>
        </w:r>
        <w:r w:rsidR="00B7625C">
          <w:rPr>
            <w:noProof/>
            <w:webHidden/>
          </w:rPr>
          <w:fldChar w:fldCharType="separate"/>
        </w:r>
        <w:r w:rsidR="00B7625C">
          <w:rPr>
            <w:noProof/>
            <w:webHidden/>
          </w:rPr>
          <w:t>42</w:t>
        </w:r>
        <w:r w:rsidR="00B7625C">
          <w:rPr>
            <w:noProof/>
            <w:webHidden/>
          </w:rPr>
          <w:fldChar w:fldCharType="end"/>
        </w:r>
      </w:hyperlink>
    </w:p>
    <w:p w14:paraId="313DE9D0" w14:textId="6A1B623F" w:rsidR="00B7625C" w:rsidRDefault="002F4506">
      <w:pPr>
        <w:pStyle w:val="Inhopg3"/>
        <w:rPr>
          <w:rFonts w:eastAsiaTheme="minorEastAsia"/>
          <w:noProof/>
          <w:lang w:eastAsia="nl-BE"/>
        </w:rPr>
      </w:pPr>
      <w:hyperlink w:anchor="_Toc107210891" w:history="1">
        <w:r w:rsidR="00B7625C" w:rsidRPr="007C4372">
          <w:rPr>
            <w:rStyle w:val="Hyperlink"/>
            <w:noProof/>
          </w:rPr>
          <w:t>6.)</w:t>
        </w:r>
        <w:r w:rsidR="00B7625C">
          <w:rPr>
            <w:rFonts w:eastAsiaTheme="minorEastAsia"/>
            <w:noProof/>
            <w:lang w:eastAsia="nl-BE"/>
          </w:rPr>
          <w:tab/>
        </w:r>
        <w:r w:rsidR="00B7625C" w:rsidRPr="007C4372">
          <w:rPr>
            <w:rStyle w:val="Hyperlink"/>
            <w:noProof/>
          </w:rPr>
          <w:t>Wisselwerking met de deelentiteiten</w:t>
        </w:r>
        <w:r w:rsidR="00B7625C">
          <w:rPr>
            <w:noProof/>
            <w:webHidden/>
          </w:rPr>
          <w:tab/>
        </w:r>
        <w:r w:rsidR="00B7625C">
          <w:rPr>
            <w:noProof/>
            <w:webHidden/>
          </w:rPr>
          <w:fldChar w:fldCharType="begin"/>
        </w:r>
        <w:r w:rsidR="00B7625C">
          <w:rPr>
            <w:noProof/>
            <w:webHidden/>
          </w:rPr>
          <w:instrText xml:space="preserve"> PAGEREF _Toc107210891 \h </w:instrText>
        </w:r>
        <w:r w:rsidR="00B7625C">
          <w:rPr>
            <w:noProof/>
            <w:webHidden/>
          </w:rPr>
        </w:r>
        <w:r w:rsidR="00B7625C">
          <w:rPr>
            <w:noProof/>
            <w:webHidden/>
          </w:rPr>
          <w:fldChar w:fldCharType="separate"/>
        </w:r>
        <w:r w:rsidR="00B7625C">
          <w:rPr>
            <w:noProof/>
            <w:webHidden/>
          </w:rPr>
          <w:t>42</w:t>
        </w:r>
        <w:r w:rsidR="00B7625C">
          <w:rPr>
            <w:noProof/>
            <w:webHidden/>
          </w:rPr>
          <w:fldChar w:fldCharType="end"/>
        </w:r>
      </w:hyperlink>
    </w:p>
    <w:p w14:paraId="2F3FAA07" w14:textId="58F04BB8" w:rsidR="00B7625C" w:rsidRDefault="002F4506">
      <w:pPr>
        <w:pStyle w:val="Inhopg1"/>
        <w:rPr>
          <w:rFonts w:eastAsiaTheme="minorEastAsia"/>
          <w:noProof/>
          <w:lang w:eastAsia="nl-BE"/>
        </w:rPr>
      </w:pPr>
      <w:hyperlink w:anchor="_Toc107210892" w:history="1">
        <w:r w:rsidR="00B7625C" w:rsidRPr="007C4372">
          <w:rPr>
            <w:rStyle w:val="Hyperlink"/>
            <w:smallCaps/>
            <w:noProof/>
          </w:rPr>
          <w:t>V.</w:t>
        </w:r>
        <w:r w:rsidR="00B7625C">
          <w:rPr>
            <w:rFonts w:eastAsiaTheme="minorEastAsia"/>
            <w:noProof/>
            <w:lang w:eastAsia="nl-BE"/>
          </w:rPr>
          <w:tab/>
        </w:r>
        <w:r w:rsidR="00B7625C" w:rsidRPr="007C4372">
          <w:rPr>
            <w:rStyle w:val="Hyperlink"/>
            <w:smallCaps/>
            <w:noProof/>
          </w:rPr>
          <w:t>Fiscaliteit van de samenlevingsvormen</w:t>
        </w:r>
        <w:r w:rsidR="00B7625C">
          <w:rPr>
            <w:noProof/>
            <w:webHidden/>
          </w:rPr>
          <w:tab/>
        </w:r>
        <w:r w:rsidR="00B7625C">
          <w:rPr>
            <w:noProof/>
            <w:webHidden/>
          </w:rPr>
          <w:fldChar w:fldCharType="begin"/>
        </w:r>
        <w:r w:rsidR="00B7625C">
          <w:rPr>
            <w:noProof/>
            <w:webHidden/>
          </w:rPr>
          <w:instrText xml:space="preserve"> PAGEREF _Toc107210892 \h </w:instrText>
        </w:r>
        <w:r w:rsidR="00B7625C">
          <w:rPr>
            <w:noProof/>
            <w:webHidden/>
          </w:rPr>
        </w:r>
        <w:r w:rsidR="00B7625C">
          <w:rPr>
            <w:noProof/>
            <w:webHidden/>
          </w:rPr>
          <w:fldChar w:fldCharType="separate"/>
        </w:r>
        <w:r w:rsidR="00B7625C">
          <w:rPr>
            <w:noProof/>
            <w:webHidden/>
          </w:rPr>
          <w:t>43</w:t>
        </w:r>
        <w:r w:rsidR="00B7625C">
          <w:rPr>
            <w:noProof/>
            <w:webHidden/>
          </w:rPr>
          <w:fldChar w:fldCharType="end"/>
        </w:r>
      </w:hyperlink>
    </w:p>
    <w:p w14:paraId="386AA3BD" w14:textId="62E13353" w:rsidR="00B7625C" w:rsidRDefault="002F4506">
      <w:pPr>
        <w:pStyle w:val="Inhopg2"/>
        <w:rPr>
          <w:rFonts w:eastAsiaTheme="minorEastAsia"/>
          <w:noProof/>
          <w:lang w:eastAsia="nl-BE"/>
        </w:rPr>
      </w:pPr>
      <w:hyperlink w:anchor="_Toc107210893" w:history="1">
        <w:r w:rsidR="00B7625C" w:rsidRPr="007C4372">
          <w:rPr>
            <w:rStyle w:val="Hyperlink"/>
            <w:noProof/>
          </w:rPr>
          <w:t>A.</w:t>
        </w:r>
        <w:r w:rsidR="00B7625C">
          <w:rPr>
            <w:rFonts w:eastAsiaTheme="minorEastAsia"/>
            <w:noProof/>
            <w:lang w:eastAsia="nl-BE"/>
          </w:rPr>
          <w:tab/>
        </w:r>
        <w:r w:rsidR="00B7625C" w:rsidRPr="007C4372">
          <w:rPr>
            <w:rStyle w:val="Hyperlink"/>
            <w:noProof/>
          </w:rPr>
          <w:t>Algemene toelichting</w:t>
        </w:r>
        <w:r w:rsidR="00B7625C">
          <w:rPr>
            <w:noProof/>
            <w:webHidden/>
          </w:rPr>
          <w:tab/>
        </w:r>
        <w:r w:rsidR="00B7625C">
          <w:rPr>
            <w:noProof/>
            <w:webHidden/>
          </w:rPr>
          <w:fldChar w:fldCharType="begin"/>
        </w:r>
        <w:r w:rsidR="00B7625C">
          <w:rPr>
            <w:noProof/>
            <w:webHidden/>
          </w:rPr>
          <w:instrText xml:space="preserve"> PAGEREF _Toc107210893 \h </w:instrText>
        </w:r>
        <w:r w:rsidR="00B7625C">
          <w:rPr>
            <w:noProof/>
            <w:webHidden/>
          </w:rPr>
        </w:r>
        <w:r w:rsidR="00B7625C">
          <w:rPr>
            <w:noProof/>
            <w:webHidden/>
          </w:rPr>
          <w:fldChar w:fldCharType="separate"/>
        </w:r>
        <w:r w:rsidR="00B7625C">
          <w:rPr>
            <w:noProof/>
            <w:webHidden/>
          </w:rPr>
          <w:t>43</w:t>
        </w:r>
        <w:r w:rsidR="00B7625C">
          <w:rPr>
            <w:noProof/>
            <w:webHidden/>
          </w:rPr>
          <w:fldChar w:fldCharType="end"/>
        </w:r>
      </w:hyperlink>
    </w:p>
    <w:p w14:paraId="6E18514A" w14:textId="728CC760" w:rsidR="00B7625C" w:rsidRDefault="002F4506">
      <w:pPr>
        <w:pStyle w:val="Inhopg2"/>
        <w:rPr>
          <w:rFonts w:eastAsiaTheme="minorEastAsia"/>
          <w:noProof/>
          <w:lang w:eastAsia="nl-BE"/>
        </w:rPr>
      </w:pPr>
      <w:hyperlink w:anchor="_Toc107210894" w:history="1">
        <w:r w:rsidR="00B7625C" w:rsidRPr="007C4372">
          <w:rPr>
            <w:rStyle w:val="Hyperlink"/>
            <w:noProof/>
          </w:rPr>
          <w:t>B.</w:t>
        </w:r>
        <w:r w:rsidR="00B7625C">
          <w:rPr>
            <w:rFonts w:eastAsiaTheme="minorEastAsia"/>
            <w:noProof/>
            <w:lang w:eastAsia="nl-BE"/>
          </w:rPr>
          <w:tab/>
        </w:r>
        <w:r w:rsidR="00B7625C" w:rsidRPr="007C4372">
          <w:rPr>
            <w:rStyle w:val="Hyperlink"/>
            <w:noProof/>
          </w:rPr>
          <w:t>Voorgestelde wijzigingen</w:t>
        </w:r>
        <w:r w:rsidR="00B7625C">
          <w:rPr>
            <w:noProof/>
            <w:webHidden/>
          </w:rPr>
          <w:tab/>
        </w:r>
        <w:r w:rsidR="00B7625C">
          <w:rPr>
            <w:noProof/>
            <w:webHidden/>
          </w:rPr>
          <w:fldChar w:fldCharType="begin"/>
        </w:r>
        <w:r w:rsidR="00B7625C">
          <w:rPr>
            <w:noProof/>
            <w:webHidden/>
          </w:rPr>
          <w:instrText xml:space="preserve"> PAGEREF _Toc107210894 \h </w:instrText>
        </w:r>
        <w:r w:rsidR="00B7625C">
          <w:rPr>
            <w:noProof/>
            <w:webHidden/>
          </w:rPr>
        </w:r>
        <w:r w:rsidR="00B7625C">
          <w:rPr>
            <w:noProof/>
            <w:webHidden/>
          </w:rPr>
          <w:fldChar w:fldCharType="separate"/>
        </w:r>
        <w:r w:rsidR="00B7625C">
          <w:rPr>
            <w:noProof/>
            <w:webHidden/>
          </w:rPr>
          <w:t>45</w:t>
        </w:r>
        <w:r w:rsidR="00B7625C">
          <w:rPr>
            <w:noProof/>
            <w:webHidden/>
          </w:rPr>
          <w:fldChar w:fldCharType="end"/>
        </w:r>
      </w:hyperlink>
    </w:p>
    <w:p w14:paraId="35F37699" w14:textId="3F9C3170" w:rsidR="00B7625C" w:rsidRDefault="002F4506">
      <w:pPr>
        <w:pStyle w:val="Inhopg2"/>
        <w:rPr>
          <w:rFonts w:eastAsiaTheme="minorEastAsia"/>
          <w:noProof/>
          <w:lang w:eastAsia="nl-BE"/>
        </w:rPr>
      </w:pPr>
      <w:hyperlink w:anchor="_Toc107210895" w:history="1">
        <w:r w:rsidR="00B7625C" w:rsidRPr="007C4372">
          <w:rPr>
            <w:rStyle w:val="Hyperlink"/>
            <w:noProof/>
          </w:rPr>
          <w:t>C.</w:t>
        </w:r>
        <w:r w:rsidR="00B7625C">
          <w:rPr>
            <w:rFonts w:eastAsiaTheme="minorEastAsia"/>
            <w:noProof/>
            <w:lang w:eastAsia="nl-BE"/>
          </w:rPr>
          <w:tab/>
        </w:r>
        <w:r w:rsidR="00B7625C" w:rsidRPr="007C4372">
          <w:rPr>
            <w:rStyle w:val="Hyperlink"/>
            <w:noProof/>
          </w:rPr>
          <w:t>Aangifte en aanslag</w:t>
        </w:r>
        <w:r w:rsidR="00B7625C">
          <w:rPr>
            <w:noProof/>
            <w:webHidden/>
          </w:rPr>
          <w:tab/>
        </w:r>
        <w:r w:rsidR="00B7625C">
          <w:rPr>
            <w:noProof/>
            <w:webHidden/>
          </w:rPr>
          <w:fldChar w:fldCharType="begin"/>
        </w:r>
        <w:r w:rsidR="00B7625C">
          <w:rPr>
            <w:noProof/>
            <w:webHidden/>
          </w:rPr>
          <w:instrText xml:space="preserve"> PAGEREF _Toc107210895 \h </w:instrText>
        </w:r>
        <w:r w:rsidR="00B7625C">
          <w:rPr>
            <w:noProof/>
            <w:webHidden/>
          </w:rPr>
        </w:r>
        <w:r w:rsidR="00B7625C">
          <w:rPr>
            <w:noProof/>
            <w:webHidden/>
          </w:rPr>
          <w:fldChar w:fldCharType="separate"/>
        </w:r>
        <w:r w:rsidR="00B7625C">
          <w:rPr>
            <w:noProof/>
            <w:webHidden/>
          </w:rPr>
          <w:t>48</w:t>
        </w:r>
        <w:r w:rsidR="00B7625C">
          <w:rPr>
            <w:noProof/>
            <w:webHidden/>
          </w:rPr>
          <w:fldChar w:fldCharType="end"/>
        </w:r>
      </w:hyperlink>
    </w:p>
    <w:p w14:paraId="5819A904" w14:textId="03372B4B" w:rsidR="00B7625C" w:rsidRDefault="002F4506">
      <w:pPr>
        <w:pStyle w:val="Inhopg2"/>
        <w:rPr>
          <w:rFonts w:eastAsiaTheme="minorEastAsia"/>
          <w:noProof/>
          <w:lang w:eastAsia="nl-BE"/>
        </w:rPr>
      </w:pPr>
      <w:hyperlink w:anchor="_Toc107210896" w:history="1">
        <w:r w:rsidR="00B7625C" w:rsidRPr="007C4372">
          <w:rPr>
            <w:rStyle w:val="Hyperlink"/>
            <w:noProof/>
          </w:rPr>
          <w:t>D.</w:t>
        </w:r>
        <w:r w:rsidR="00B7625C">
          <w:rPr>
            <w:rFonts w:eastAsiaTheme="minorEastAsia"/>
            <w:noProof/>
            <w:lang w:eastAsia="nl-BE"/>
          </w:rPr>
          <w:tab/>
        </w:r>
        <w:r w:rsidR="00B7625C" w:rsidRPr="007C4372">
          <w:rPr>
            <w:rStyle w:val="Hyperlink"/>
            <w:noProof/>
          </w:rPr>
          <w:t>Belastingvrije som - heffingskorting</w:t>
        </w:r>
        <w:r w:rsidR="00B7625C">
          <w:rPr>
            <w:noProof/>
            <w:webHidden/>
          </w:rPr>
          <w:tab/>
        </w:r>
        <w:r w:rsidR="00B7625C">
          <w:rPr>
            <w:noProof/>
            <w:webHidden/>
          </w:rPr>
          <w:fldChar w:fldCharType="begin"/>
        </w:r>
        <w:r w:rsidR="00B7625C">
          <w:rPr>
            <w:noProof/>
            <w:webHidden/>
          </w:rPr>
          <w:instrText xml:space="preserve"> PAGEREF _Toc107210896 \h </w:instrText>
        </w:r>
        <w:r w:rsidR="00B7625C">
          <w:rPr>
            <w:noProof/>
            <w:webHidden/>
          </w:rPr>
        </w:r>
        <w:r w:rsidR="00B7625C">
          <w:rPr>
            <w:noProof/>
            <w:webHidden/>
          </w:rPr>
          <w:fldChar w:fldCharType="separate"/>
        </w:r>
        <w:r w:rsidR="00B7625C">
          <w:rPr>
            <w:noProof/>
            <w:webHidden/>
          </w:rPr>
          <w:t>50</w:t>
        </w:r>
        <w:r w:rsidR="00B7625C">
          <w:rPr>
            <w:noProof/>
            <w:webHidden/>
          </w:rPr>
          <w:fldChar w:fldCharType="end"/>
        </w:r>
      </w:hyperlink>
    </w:p>
    <w:p w14:paraId="6B75EBB2" w14:textId="3572FF9F" w:rsidR="00B7625C" w:rsidRDefault="002F4506">
      <w:pPr>
        <w:pStyle w:val="Inhopg3"/>
        <w:rPr>
          <w:rFonts w:eastAsiaTheme="minorEastAsia"/>
          <w:noProof/>
          <w:lang w:eastAsia="nl-BE"/>
        </w:rPr>
      </w:pPr>
      <w:hyperlink w:anchor="_Toc107210897" w:history="1">
        <w:r w:rsidR="00B7625C" w:rsidRPr="007C4372">
          <w:rPr>
            <w:rStyle w:val="Hyperlink"/>
            <w:noProof/>
          </w:rPr>
          <w:t>1.</w:t>
        </w:r>
        <w:r w:rsidR="00B7625C">
          <w:rPr>
            <w:rFonts w:eastAsiaTheme="minorEastAsia"/>
            <w:noProof/>
            <w:lang w:eastAsia="nl-BE"/>
          </w:rPr>
          <w:tab/>
        </w:r>
        <w:r w:rsidR="00B7625C" w:rsidRPr="007C4372">
          <w:rPr>
            <w:rStyle w:val="Hyperlink"/>
            <w:noProof/>
          </w:rPr>
          <w:t>Basisbedrag</w:t>
        </w:r>
        <w:r w:rsidR="00B7625C">
          <w:rPr>
            <w:noProof/>
            <w:webHidden/>
          </w:rPr>
          <w:tab/>
        </w:r>
        <w:r w:rsidR="00B7625C">
          <w:rPr>
            <w:noProof/>
            <w:webHidden/>
          </w:rPr>
          <w:fldChar w:fldCharType="begin"/>
        </w:r>
        <w:r w:rsidR="00B7625C">
          <w:rPr>
            <w:noProof/>
            <w:webHidden/>
          </w:rPr>
          <w:instrText xml:space="preserve"> PAGEREF _Toc107210897 \h </w:instrText>
        </w:r>
        <w:r w:rsidR="00B7625C">
          <w:rPr>
            <w:noProof/>
            <w:webHidden/>
          </w:rPr>
        </w:r>
        <w:r w:rsidR="00B7625C">
          <w:rPr>
            <w:noProof/>
            <w:webHidden/>
          </w:rPr>
          <w:fldChar w:fldCharType="separate"/>
        </w:r>
        <w:r w:rsidR="00B7625C">
          <w:rPr>
            <w:noProof/>
            <w:webHidden/>
          </w:rPr>
          <w:t>50</w:t>
        </w:r>
        <w:r w:rsidR="00B7625C">
          <w:rPr>
            <w:noProof/>
            <w:webHidden/>
          </w:rPr>
          <w:fldChar w:fldCharType="end"/>
        </w:r>
      </w:hyperlink>
    </w:p>
    <w:p w14:paraId="25E0056D" w14:textId="2B74FD7E" w:rsidR="00B7625C" w:rsidRDefault="002F4506">
      <w:pPr>
        <w:pStyle w:val="Inhopg3"/>
        <w:rPr>
          <w:rFonts w:eastAsiaTheme="minorEastAsia"/>
          <w:noProof/>
          <w:lang w:eastAsia="nl-BE"/>
        </w:rPr>
      </w:pPr>
      <w:hyperlink w:anchor="_Toc107210898" w:history="1">
        <w:r w:rsidR="00B7625C" w:rsidRPr="007C4372">
          <w:rPr>
            <w:rStyle w:val="Hyperlink"/>
            <w:noProof/>
          </w:rPr>
          <w:t>2.</w:t>
        </w:r>
        <w:r w:rsidR="00B7625C">
          <w:rPr>
            <w:rFonts w:eastAsiaTheme="minorEastAsia"/>
            <w:noProof/>
            <w:lang w:eastAsia="nl-BE"/>
          </w:rPr>
          <w:tab/>
        </w:r>
        <w:r w:rsidR="00B7625C" w:rsidRPr="007C4372">
          <w:rPr>
            <w:rStyle w:val="Hyperlink"/>
            <w:noProof/>
          </w:rPr>
          <w:t>Toeslagen</w:t>
        </w:r>
        <w:r w:rsidR="00B7625C">
          <w:rPr>
            <w:noProof/>
            <w:webHidden/>
          </w:rPr>
          <w:tab/>
        </w:r>
        <w:r w:rsidR="00B7625C">
          <w:rPr>
            <w:noProof/>
            <w:webHidden/>
          </w:rPr>
          <w:fldChar w:fldCharType="begin"/>
        </w:r>
        <w:r w:rsidR="00B7625C">
          <w:rPr>
            <w:noProof/>
            <w:webHidden/>
          </w:rPr>
          <w:instrText xml:space="preserve"> PAGEREF _Toc107210898 \h </w:instrText>
        </w:r>
        <w:r w:rsidR="00B7625C">
          <w:rPr>
            <w:noProof/>
            <w:webHidden/>
          </w:rPr>
        </w:r>
        <w:r w:rsidR="00B7625C">
          <w:rPr>
            <w:noProof/>
            <w:webHidden/>
          </w:rPr>
          <w:fldChar w:fldCharType="separate"/>
        </w:r>
        <w:r w:rsidR="00B7625C">
          <w:rPr>
            <w:noProof/>
            <w:webHidden/>
          </w:rPr>
          <w:t>51</w:t>
        </w:r>
        <w:r w:rsidR="00B7625C">
          <w:rPr>
            <w:noProof/>
            <w:webHidden/>
          </w:rPr>
          <w:fldChar w:fldCharType="end"/>
        </w:r>
      </w:hyperlink>
    </w:p>
    <w:p w14:paraId="1E3CE085" w14:textId="27A6991B" w:rsidR="00B7625C" w:rsidRDefault="002F4506">
      <w:pPr>
        <w:pStyle w:val="Inhopg2"/>
        <w:rPr>
          <w:rFonts w:eastAsiaTheme="minorEastAsia"/>
          <w:noProof/>
          <w:lang w:eastAsia="nl-BE"/>
        </w:rPr>
      </w:pPr>
      <w:hyperlink w:anchor="_Toc107210899" w:history="1">
        <w:r w:rsidR="00B7625C" w:rsidRPr="007C4372">
          <w:rPr>
            <w:rStyle w:val="Hyperlink"/>
            <w:noProof/>
          </w:rPr>
          <w:t>E.</w:t>
        </w:r>
        <w:r w:rsidR="00B7625C">
          <w:rPr>
            <w:rFonts w:eastAsiaTheme="minorEastAsia"/>
            <w:noProof/>
            <w:lang w:eastAsia="nl-BE"/>
          </w:rPr>
          <w:tab/>
        </w:r>
        <w:r w:rsidR="00B7625C" w:rsidRPr="007C4372">
          <w:rPr>
            <w:rStyle w:val="Hyperlink"/>
            <w:noProof/>
          </w:rPr>
          <w:t>Huwelijksquotiënt</w:t>
        </w:r>
        <w:r w:rsidR="00B7625C">
          <w:rPr>
            <w:noProof/>
            <w:webHidden/>
          </w:rPr>
          <w:tab/>
        </w:r>
        <w:r w:rsidR="00B7625C">
          <w:rPr>
            <w:noProof/>
            <w:webHidden/>
          </w:rPr>
          <w:fldChar w:fldCharType="begin"/>
        </w:r>
        <w:r w:rsidR="00B7625C">
          <w:rPr>
            <w:noProof/>
            <w:webHidden/>
          </w:rPr>
          <w:instrText xml:space="preserve"> PAGEREF _Toc107210899 \h </w:instrText>
        </w:r>
        <w:r w:rsidR="00B7625C">
          <w:rPr>
            <w:noProof/>
            <w:webHidden/>
          </w:rPr>
        </w:r>
        <w:r w:rsidR="00B7625C">
          <w:rPr>
            <w:noProof/>
            <w:webHidden/>
          </w:rPr>
          <w:fldChar w:fldCharType="separate"/>
        </w:r>
        <w:r w:rsidR="00B7625C">
          <w:rPr>
            <w:noProof/>
            <w:webHidden/>
          </w:rPr>
          <w:t>54</w:t>
        </w:r>
        <w:r w:rsidR="00B7625C">
          <w:rPr>
            <w:noProof/>
            <w:webHidden/>
          </w:rPr>
          <w:fldChar w:fldCharType="end"/>
        </w:r>
      </w:hyperlink>
    </w:p>
    <w:p w14:paraId="207E1174" w14:textId="0B444CF0" w:rsidR="00B7625C" w:rsidRDefault="002F4506">
      <w:pPr>
        <w:pStyle w:val="Inhopg2"/>
        <w:rPr>
          <w:rFonts w:eastAsiaTheme="minorEastAsia"/>
          <w:noProof/>
          <w:lang w:eastAsia="nl-BE"/>
        </w:rPr>
      </w:pPr>
      <w:hyperlink w:anchor="_Toc107210900" w:history="1">
        <w:r w:rsidR="00B7625C" w:rsidRPr="007C4372">
          <w:rPr>
            <w:rStyle w:val="Hyperlink"/>
            <w:noProof/>
          </w:rPr>
          <w:t>F.</w:t>
        </w:r>
        <w:r w:rsidR="00B7625C">
          <w:rPr>
            <w:rFonts w:eastAsiaTheme="minorEastAsia"/>
            <w:noProof/>
            <w:lang w:eastAsia="nl-BE"/>
          </w:rPr>
          <w:tab/>
        </w:r>
        <w:r w:rsidR="00B7625C" w:rsidRPr="007C4372">
          <w:rPr>
            <w:rStyle w:val="Hyperlink"/>
            <w:noProof/>
          </w:rPr>
          <w:t>Onderhoudsgelden</w:t>
        </w:r>
        <w:r w:rsidR="00B7625C">
          <w:rPr>
            <w:noProof/>
            <w:webHidden/>
          </w:rPr>
          <w:tab/>
        </w:r>
        <w:r w:rsidR="00B7625C">
          <w:rPr>
            <w:noProof/>
            <w:webHidden/>
          </w:rPr>
          <w:fldChar w:fldCharType="begin"/>
        </w:r>
        <w:r w:rsidR="00B7625C">
          <w:rPr>
            <w:noProof/>
            <w:webHidden/>
          </w:rPr>
          <w:instrText xml:space="preserve"> PAGEREF _Toc107210900 \h </w:instrText>
        </w:r>
        <w:r w:rsidR="00B7625C">
          <w:rPr>
            <w:noProof/>
            <w:webHidden/>
          </w:rPr>
        </w:r>
        <w:r w:rsidR="00B7625C">
          <w:rPr>
            <w:noProof/>
            <w:webHidden/>
          </w:rPr>
          <w:fldChar w:fldCharType="separate"/>
        </w:r>
        <w:r w:rsidR="00B7625C">
          <w:rPr>
            <w:noProof/>
            <w:webHidden/>
          </w:rPr>
          <w:t>55</w:t>
        </w:r>
        <w:r w:rsidR="00B7625C">
          <w:rPr>
            <w:noProof/>
            <w:webHidden/>
          </w:rPr>
          <w:fldChar w:fldCharType="end"/>
        </w:r>
      </w:hyperlink>
    </w:p>
    <w:p w14:paraId="1F705F64" w14:textId="4EE54CD0" w:rsidR="00B7625C" w:rsidRDefault="002F4506">
      <w:pPr>
        <w:pStyle w:val="Inhopg2"/>
        <w:rPr>
          <w:rFonts w:eastAsiaTheme="minorEastAsia"/>
          <w:noProof/>
          <w:lang w:eastAsia="nl-BE"/>
        </w:rPr>
      </w:pPr>
      <w:hyperlink w:anchor="_Toc107210901" w:history="1">
        <w:r w:rsidR="00B7625C" w:rsidRPr="007C4372">
          <w:rPr>
            <w:rStyle w:val="Hyperlink"/>
            <w:noProof/>
          </w:rPr>
          <w:t>G.</w:t>
        </w:r>
        <w:r w:rsidR="00B7625C">
          <w:rPr>
            <w:rFonts w:eastAsiaTheme="minorEastAsia"/>
            <w:noProof/>
            <w:lang w:eastAsia="nl-BE"/>
          </w:rPr>
          <w:tab/>
        </w:r>
        <w:r w:rsidR="00B7625C" w:rsidRPr="007C4372">
          <w:rPr>
            <w:rStyle w:val="Hyperlink"/>
            <w:noProof/>
          </w:rPr>
          <w:t>Belastingvermindering voor kinderoppas</w:t>
        </w:r>
        <w:r w:rsidR="00B7625C">
          <w:rPr>
            <w:noProof/>
            <w:webHidden/>
          </w:rPr>
          <w:tab/>
        </w:r>
        <w:r w:rsidR="00B7625C">
          <w:rPr>
            <w:noProof/>
            <w:webHidden/>
          </w:rPr>
          <w:fldChar w:fldCharType="begin"/>
        </w:r>
        <w:r w:rsidR="00B7625C">
          <w:rPr>
            <w:noProof/>
            <w:webHidden/>
          </w:rPr>
          <w:instrText xml:space="preserve"> PAGEREF _Toc107210901 \h </w:instrText>
        </w:r>
        <w:r w:rsidR="00B7625C">
          <w:rPr>
            <w:noProof/>
            <w:webHidden/>
          </w:rPr>
        </w:r>
        <w:r w:rsidR="00B7625C">
          <w:rPr>
            <w:noProof/>
            <w:webHidden/>
          </w:rPr>
          <w:fldChar w:fldCharType="separate"/>
        </w:r>
        <w:r w:rsidR="00B7625C">
          <w:rPr>
            <w:noProof/>
            <w:webHidden/>
          </w:rPr>
          <w:t>56</w:t>
        </w:r>
        <w:r w:rsidR="00B7625C">
          <w:rPr>
            <w:noProof/>
            <w:webHidden/>
          </w:rPr>
          <w:fldChar w:fldCharType="end"/>
        </w:r>
      </w:hyperlink>
    </w:p>
    <w:p w14:paraId="35084769" w14:textId="1AC9BDE7" w:rsidR="00B7625C" w:rsidRDefault="002F4506">
      <w:pPr>
        <w:pStyle w:val="Inhopg2"/>
        <w:rPr>
          <w:rFonts w:eastAsiaTheme="minorEastAsia"/>
          <w:noProof/>
          <w:lang w:eastAsia="nl-BE"/>
        </w:rPr>
      </w:pPr>
      <w:hyperlink w:anchor="_Toc107210902" w:history="1">
        <w:r w:rsidR="00B7625C" w:rsidRPr="007C4372">
          <w:rPr>
            <w:rStyle w:val="Hyperlink"/>
            <w:noProof/>
          </w:rPr>
          <w:t>H.</w:t>
        </w:r>
        <w:r w:rsidR="00B7625C">
          <w:rPr>
            <w:rFonts w:eastAsiaTheme="minorEastAsia"/>
            <w:noProof/>
            <w:lang w:eastAsia="nl-BE"/>
          </w:rPr>
          <w:tab/>
        </w:r>
        <w:r w:rsidR="00B7625C" w:rsidRPr="007C4372">
          <w:rPr>
            <w:rStyle w:val="Hyperlink"/>
            <w:noProof/>
          </w:rPr>
          <w:t>Bijzondere bijdrage Sociale Zekerheid</w:t>
        </w:r>
        <w:r w:rsidR="00B7625C">
          <w:rPr>
            <w:noProof/>
            <w:webHidden/>
          </w:rPr>
          <w:tab/>
        </w:r>
        <w:r w:rsidR="00B7625C">
          <w:rPr>
            <w:noProof/>
            <w:webHidden/>
          </w:rPr>
          <w:fldChar w:fldCharType="begin"/>
        </w:r>
        <w:r w:rsidR="00B7625C">
          <w:rPr>
            <w:noProof/>
            <w:webHidden/>
          </w:rPr>
          <w:instrText xml:space="preserve"> PAGEREF _Toc107210902 \h </w:instrText>
        </w:r>
        <w:r w:rsidR="00B7625C">
          <w:rPr>
            <w:noProof/>
            <w:webHidden/>
          </w:rPr>
        </w:r>
        <w:r w:rsidR="00B7625C">
          <w:rPr>
            <w:noProof/>
            <w:webHidden/>
          </w:rPr>
          <w:fldChar w:fldCharType="separate"/>
        </w:r>
        <w:r w:rsidR="00B7625C">
          <w:rPr>
            <w:noProof/>
            <w:webHidden/>
          </w:rPr>
          <w:t>57</w:t>
        </w:r>
        <w:r w:rsidR="00B7625C">
          <w:rPr>
            <w:noProof/>
            <w:webHidden/>
          </w:rPr>
          <w:fldChar w:fldCharType="end"/>
        </w:r>
      </w:hyperlink>
    </w:p>
    <w:p w14:paraId="19A856F2" w14:textId="516EF8FA" w:rsidR="00B7625C" w:rsidRDefault="002F4506">
      <w:pPr>
        <w:pStyle w:val="Inhopg1"/>
        <w:rPr>
          <w:rFonts w:eastAsiaTheme="minorEastAsia"/>
          <w:noProof/>
          <w:lang w:eastAsia="nl-BE"/>
        </w:rPr>
      </w:pPr>
      <w:hyperlink w:anchor="_Toc107210903" w:history="1">
        <w:r w:rsidR="00B7625C" w:rsidRPr="007C4372">
          <w:rPr>
            <w:rStyle w:val="Hyperlink"/>
            <w:smallCaps/>
            <w:noProof/>
          </w:rPr>
          <w:t>VI.</w:t>
        </w:r>
        <w:r w:rsidR="00B7625C">
          <w:rPr>
            <w:rFonts w:eastAsiaTheme="minorEastAsia"/>
            <w:noProof/>
            <w:lang w:eastAsia="nl-BE"/>
          </w:rPr>
          <w:tab/>
        </w:r>
        <w:r w:rsidR="00B7625C" w:rsidRPr="007C4372">
          <w:rPr>
            <w:rStyle w:val="Hyperlink"/>
            <w:smallCaps/>
            <w:noProof/>
          </w:rPr>
          <w:t>Lasten op activiteitsinkomsten</w:t>
        </w:r>
        <w:r w:rsidR="00B7625C">
          <w:rPr>
            <w:noProof/>
            <w:webHidden/>
          </w:rPr>
          <w:tab/>
        </w:r>
        <w:r w:rsidR="00B7625C">
          <w:rPr>
            <w:noProof/>
            <w:webHidden/>
          </w:rPr>
          <w:fldChar w:fldCharType="begin"/>
        </w:r>
        <w:r w:rsidR="00B7625C">
          <w:rPr>
            <w:noProof/>
            <w:webHidden/>
          </w:rPr>
          <w:instrText xml:space="preserve"> PAGEREF _Toc107210903 \h </w:instrText>
        </w:r>
        <w:r w:rsidR="00B7625C">
          <w:rPr>
            <w:noProof/>
            <w:webHidden/>
          </w:rPr>
        </w:r>
        <w:r w:rsidR="00B7625C">
          <w:rPr>
            <w:noProof/>
            <w:webHidden/>
          </w:rPr>
          <w:fldChar w:fldCharType="separate"/>
        </w:r>
        <w:r w:rsidR="00B7625C">
          <w:rPr>
            <w:noProof/>
            <w:webHidden/>
          </w:rPr>
          <w:t>59</w:t>
        </w:r>
        <w:r w:rsidR="00B7625C">
          <w:rPr>
            <w:noProof/>
            <w:webHidden/>
          </w:rPr>
          <w:fldChar w:fldCharType="end"/>
        </w:r>
      </w:hyperlink>
    </w:p>
    <w:p w14:paraId="6A1C468C" w14:textId="61BCB3F3" w:rsidR="00B7625C" w:rsidRDefault="002F4506">
      <w:pPr>
        <w:pStyle w:val="Inhopg2"/>
        <w:rPr>
          <w:rFonts w:eastAsiaTheme="minorEastAsia"/>
          <w:noProof/>
          <w:lang w:eastAsia="nl-BE"/>
        </w:rPr>
      </w:pPr>
      <w:hyperlink w:anchor="_Toc107210904" w:history="1">
        <w:r w:rsidR="00B7625C" w:rsidRPr="007C4372">
          <w:rPr>
            <w:rStyle w:val="Hyperlink"/>
            <w:noProof/>
          </w:rPr>
          <w:t>A.</w:t>
        </w:r>
        <w:r w:rsidR="00B7625C">
          <w:rPr>
            <w:rFonts w:eastAsiaTheme="minorEastAsia"/>
            <w:noProof/>
            <w:lang w:eastAsia="nl-BE"/>
          </w:rPr>
          <w:tab/>
        </w:r>
        <w:r w:rsidR="00B7625C" w:rsidRPr="007C4372">
          <w:rPr>
            <w:rStyle w:val="Hyperlink"/>
            <w:noProof/>
          </w:rPr>
          <w:t>Visuele voorstelling</w:t>
        </w:r>
        <w:r w:rsidR="00B7625C">
          <w:rPr>
            <w:noProof/>
            <w:webHidden/>
          </w:rPr>
          <w:tab/>
        </w:r>
        <w:r w:rsidR="00B7625C">
          <w:rPr>
            <w:noProof/>
            <w:webHidden/>
          </w:rPr>
          <w:fldChar w:fldCharType="begin"/>
        </w:r>
        <w:r w:rsidR="00B7625C">
          <w:rPr>
            <w:noProof/>
            <w:webHidden/>
          </w:rPr>
          <w:instrText xml:space="preserve"> PAGEREF _Toc107210904 \h </w:instrText>
        </w:r>
        <w:r w:rsidR="00B7625C">
          <w:rPr>
            <w:noProof/>
            <w:webHidden/>
          </w:rPr>
        </w:r>
        <w:r w:rsidR="00B7625C">
          <w:rPr>
            <w:noProof/>
            <w:webHidden/>
          </w:rPr>
          <w:fldChar w:fldCharType="separate"/>
        </w:r>
        <w:r w:rsidR="00B7625C">
          <w:rPr>
            <w:noProof/>
            <w:webHidden/>
          </w:rPr>
          <w:t>60</w:t>
        </w:r>
        <w:r w:rsidR="00B7625C">
          <w:rPr>
            <w:noProof/>
            <w:webHidden/>
          </w:rPr>
          <w:fldChar w:fldCharType="end"/>
        </w:r>
      </w:hyperlink>
    </w:p>
    <w:p w14:paraId="59CB5162" w14:textId="378AA03F" w:rsidR="00B7625C" w:rsidRDefault="002F4506">
      <w:pPr>
        <w:pStyle w:val="Inhopg2"/>
        <w:rPr>
          <w:rFonts w:eastAsiaTheme="minorEastAsia"/>
          <w:noProof/>
          <w:lang w:eastAsia="nl-BE"/>
        </w:rPr>
      </w:pPr>
      <w:hyperlink w:anchor="_Toc107210905" w:history="1">
        <w:r w:rsidR="00B7625C" w:rsidRPr="007C4372">
          <w:rPr>
            <w:rStyle w:val="Hyperlink"/>
            <w:noProof/>
          </w:rPr>
          <w:t>B.</w:t>
        </w:r>
        <w:r w:rsidR="00B7625C">
          <w:rPr>
            <w:rFonts w:eastAsiaTheme="minorEastAsia"/>
            <w:noProof/>
            <w:lang w:eastAsia="nl-BE"/>
          </w:rPr>
          <w:tab/>
        </w:r>
        <w:r w:rsidR="00B7625C" w:rsidRPr="007C4372">
          <w:rPr>
            <w:rStyle w:val="Hyperlink"/>
            <w:noProof/>
          </w:rPr>
          <w:t>Tariefstructuur</w:t>
        </w:r>
        <w:r w:rsidR="00B7625C">
          <w:rPr>
            <w:noProof/>
            <w:webHidden/>
          </w:rPr>
          <w:tab/>
        </w:r>
        <w:r w:rsidR="00B7625C">
          <w:rPr>
            <w:noProof/>
            <w:webHidden/>
          </w:rPr>
          <w:fldChar w:fldCharType="begin"/>
        </w:r>
        <w:r w:rsidR="00B7625C">
          <w:rPr>
            <w:noProof/>
            <w:webHidden/>
          </w:rPr>
          <w:instrText xml:space="preserve"> PAGEREF _Toc107210905 \h </w:instrText>
        </w:r>
        <w:r w:rsidR="00B7625C">
          <w:rPr>
            <w:noProof/>
            <w:webHidden/>
          </w:rPr>
        </w:r>
        <w:r w:rsidR="00B7625C">
          <w:rPr>
            <w:noProof/>
            <w:webHidden/>
          </w:rPr>
          <w:fldChar w:fldCharType="separate"/>
        </w:r>
        <w:r w:rsidR="00B7625C">
          <w:rPr>
            <w:noProof/>
            <w:webHidden/>
          </w:rPr>
          <w:t>61</w:t>
        </w:r>
        <w:r w:rsidR="00B7625C">
          <w:rPr>
            <w:noProof/>
            <w:webHidden/>
          </w:rPr>
          <w:fldChar w:fldCharType="end"/>
        </w:r>
      </w:hyperlink>
    </w:p>
    <w:p w14:paraId="67FE0559" w14:textId="3247B37D" w:rsidR="00B7625C" w:rsidRDefault="002F4506">
      <w:pPr>
        <w:pStyle w:val="Inhopg2"/>
        <w:rPr>
          <w:rFonts w:eastAsiaTheme="minorEastAsia"/>
          <w:noProof/>
          <w:lang w:eastAsia="nl-BE"/>
        </w:rPr>
      </w:pPr>
      <w:hyperlink w:anchor="_Toc107210906" w:history="1">
        <w:r w:rsidR="00B7625C" w:rsidRPr="007C4372">
          <w:rPr>
            <w:rStyle w:val="Hyperlink"/>
            <w:noProof/>
          </w:rPr>
          <w:t>C.</w:t>
        </w:r>
        <w:r w:rsidR="00B7625C">
          <w:rPr>
            <w:rFonts w:eastAsiaTheme="minorEastAsia"/>
            <w:noProof/>
            <w:lang w:eastAsia="nl-BE"/>
          </w:rPr>
          <w:tab/>
        </w:r>
        <w:r w:rsidR="00B7625C" w:rsidRPr="007C4372">
          <w:rPr>
            <w:rStyle w:val="Hyperlink"/>
            <w:noProof/>
          </w:rPr>
          <w:t>Werkloosheids- en promotieval</w:t>
        </w:r>
        <w:r w:rsidR="00B7625C">
          <w:rPr>
            <w:noProof/>
            <w:webHidden/>
          </w:rPr>
          <w:tab/>
        </w:r>
        <w:r w:rsidR="00B7625C">
          <w:rPr>
            <w:noProof/>
            <w:webHidden/>
          </w:rPr>
          <w:fldChar w:fldCharType="begin"/>
        </w:r>
        <w:r w:rsidR="00B7625C">
          <w:rPr>
            <w:noProof/>
            <w:webHidden/>
          </w:rPr>
          <w:instrText xml:space="preserve"> PAGEREF _Toc107210906 \h </w:instrText>
        </w:r>
        <w:r w:rsidR="00B7625C">
          <w:rPr>
            <w:noProof/>
            <w:webHidden/>
          </w:rPr>
        </w:r>
        <w:r w:rsidR="00B7625C">
          <w:rPr>
            <w:noProof/>
            <w:webHidden/>
          </w:rPr>
          <w:fldChar w:fldCharType="separate"/>
        </w:r>
        <w:r w:rsidR="00B7625C">
          <w:rPr>
            <w:noProof/>
            <w:webHidden/>
          </w:rPr>
          <w:t>73</w:t>
        </w:r>
        <w:r w:rsidR="00B7625C">
          <w:rPr>
            <w:noProof/>
            <w:webHidden/>
          </w:rPr>
          <w:fldChar w:fldCharType="end"/>
        </w:r>
      </w:hyperlink>
    </w:p>
    <w:p w14:paraId="172024FD" w14:textId="7198BB5D" w:rsidR="00B7625C" w:rsidRDefault="002F4506">
      <w:pPr>
        <w:pStyle w:val="Inhopg2"/>
        <w:rPr>
          <w:rFonts w:eastAsiaTheme="minorEastAsia"/>
          <w:noProof/>
          <w:lang w:eastAsia="nl-BE"/>
        </w:rPr>
      </w:pPr>
      <w:hyperlink w:anchor="_Toc107210907" w:history="1">
        <w:r w:rsidR="00B7625C" w:rsidRPr="007C4372">
          <w:rPr>
            <w:rStyle w:val="Hyperlink"/>
            <w:noProof/>
          </w:rPr>
          <w:t>D.</w:t>
        </w:r>
        <w:r w:rsidR="00B7625C">
          <w:rPr>
            <w:rFonts w:eastAsiaTheme="minorEastAsia"/>
            <w:noProof/>
            <w:lang w:eastAsia="nl-BE"/>
          </w:rPr>
          <w:tab/>
        </w:r>
        <w:r w:rsidR="00B7625C" w:rsidRPr="007C4372">
          <w:rPr>
            <w:rStyle w:val="Hyperlink"/>
            <w:noProof/>
          </w:rPr>
          <w:t>Herstel van neutraliteit</w:t>
        </w:r>
        <w:r w:rsidR="00B7625C">
          <w:rPr>
            <w:noProof/>
            <w:webHidden/>
          </w:rPr>
          <w:tab/>
        </w:r>
        <w:r w:rsidR="00B7625C">
          <w:rPr>
            <w:noProof/>
            <w:webHidden/>
          </w:rPr>
          <w:fldChar w:fldCharType="begin"/>
        </w:r>
        <w:r w:rsidR="00B7625C">
          <w:rPr>
            <w:noProof/>
            <w:webHidden/>
          </w:rPr>
          <w:instrText xml:space="preserve"> PAGEREF _Toc107210907 \h </w:instrText>
        </w:r>
        <w:r w:rsidR="00B7625C">
          <w:rPr>
            <w:noProof/>
            <w:webHidden/>
          </w:rPr>
        </w:r>
        <w:r w:rsidR="00B7625C">
          <w:rPr>
            <w:noProof/>
            <w:webHidden/>
          </w:rPr>
          <w:fldChar w:fldCharType="separate"/>
        </w:r>
        <w:r w:rsidR="00B7625C">
          <w:rPr>
            <w:noProof/>
            <w:webHidden/>
          </w:rPr>
          <w:t>75</w:t>
        </w:r>
        <w:r w:rsidR="00B7625C">
          <w:rPr>
            <w:noProof/>
            <w:webHidden/>
          </w:rPr>
          <w:fldChar w:fldCharType="end"/>
        </w:r>
      </w:hyperlink>
    </w:p>
    <w:p w14:paraId="4737C8D7" w14:textId="458358E0" w:rsidR="00B7625C" w:rsidRDefault="002F4506">
      <w:pPr>
        <w:pStyle w:val="Inhopg2"/>
        <w:rPr>
          <w:rFonts w:eastAsiaTheme="minorEastAsia"/>
          <w:noProof/>
          <w:lang w:eastAsia="nl-BE"/>
        </w:rPr>
      </w:pPr>
      <w:hyperlink w:anchor="_Toc107210908" w:history="1">
        <w:r w:rsidR="00B7625C" w:rsidRPr="007C4372">
          <w:rPr>
            <w:rStyle w:val="Hyperlink"/>
            <w:noProof/>
          </w:rPr>
          <w:t>E.</w:t>
        </w:r>
        <w:r w:rsidR="00B7625C">
          <w:rPr>
            <w:rFonts w:eastAsiaTheme="minorEastAsia"/>
            <w:noProof/>
            <w:lang w:eastAsia="nl-BE"/>
          </w:rPr>
          <w:tab/>
        </w:r>
        <w:r w:rsidR="00B7625C" w:rsidRPr="007C4372">
          <w:rPr>
            <w:rStyle w:val="Hyperlink"/>
            <w:noProof/>
          </w:rPr>
          <w:t>Wisselwerking met de vermogensinkomsten</w:t>
        </w:r>
        <w:r w:rsidR="00B7625C">
          <w:rPr>
            <w:noProof/>
            <w:webHidden/>
          </w:rPr>
          <w:tab/>
        </w:r>
        <w:r w:rsidR="00B7625C">
          <w:rPr>
            <w:noProof/>
            <w:webHidden/>
          </w:rPr>
          <w:fldChar w:fldCharType="begin"/>
        </w:r>
        <w:r w:rsidR="00B7625C">
          <w:rPr>
            <w:noProof/>
            <w:webHidden/>
          </w:rPr>
          <w:instrText xml:space="preserve"> PAGEREF _Toc107210908 \h </w:instrText>
        </w:r>
        <w:r w:rsidR="00B7625C">
          <w:rPr>
            <w:noProof/>
            <w:webHidden/>
          </w:rPr>
        </w:r>
        <w:r w:rsidR="00B7625C">
          <w:rPr>
            <w:noProof/>
            <w:webHidden/>
          </w:rPr>
          <w:fldChar w:fldCharType="separate"/>
        </w:r>
        <w:r w:rsidR="00B7625C">
          <w:rPr>
            <w:noProof/>
            <w:webHidden/>
          </w:rPr>
          <w:t>80</w:t>
        </w:r>
        <w:r w:rsidR="00B7625C">
          <w:rPr>
            <w:noProof/>
            <w:webHidden/>
          </w:rPr>
          <w:fldChar w:fldCharType="end"/>
        </w:r>
      </w:hyperlink>
    </w:p>
    <w:p w14:paraId="4220AC28" w14:textId="60D9947D" w:rsidR="00B7625C" w:rsidRDefault="002F4506">
      <w:pPr>
        <w:pStyle w:val="Inhopg3"/>
        <w:rPr>
          <w:rFonts w:eastAsiaTheme="minorEastAsia"/>
          <w:noProof/>
          <w:lang w:eastAsia="nl-BE"/>
        </w:rPr>
      </w:pPr>
      <w:hyperlink w:anchor="_Toc107210909" w:history="1">
        <w:r w:rsidR="00B7625C" w:rsidRPr="007C4372">
          <w:rPr>
            <w:rStyle w:val="Hyperlink"/>
            <w:noProof/>
          </w:rPr>
          <w:t>1.</w:t>
        </w:r>
        <w:r w:rsidR="00B7625C">
          <w:rPr>
            <w:rFonts w:eastAsiaTheme="minorEastAsia"/>
            <w:noProof/>
            <w:lang w:eastAsia="nl-BE"/>
          </w:rPr>
          <w:tab/>
        </w:r>
        <w:r w:rsidR="00B7625C" w:rsidRPr="007C4372">
          <w:rPr>
            <w:rStyle w:val="Hyperlink"/>
            <w:noProof/>
          </w:rPr>
          <w:t>Vermijden van conversie van activiteitsinkomsten in vermogensinkomsten</w:t>
        </w:r>
        <w:r w:rsidR="00B7625C">
          <w:rPr>
            <w:noProof/>
            <w:webHidden/>
          </w:rPr>
          <w:tab/>
        </w:r>
        <w:r w:rsidR="00B7625C">
          <w:rPr>
            <w:noProof/>
            <w:webHidden/>
          </w:rPr>
          <w:fldChar w:fldCharType="begin"/>
        </w:r>
        <w:r w:rsidR="00B7625C">
          <w:rPr>
            <w:noProof/>
            <w:webHidden/>
          </w:rPr>
          <w:instrText xml:space="preserve"> PAGEREF _Toc107210909 \h </w:instrText>
        </w:r>
        <w:r w:rsidR="00B7625C">
          <w:rPr>
            <w:noProof/>
            <w:webHidden/>
          </w:rPr>
        </w:r>
        <w:r w:rsidR="00B7625C">
          <w:rPr>
            <w:noProof/>
            <w:webHidden/>
          </w:rPr>
          <w:fldChar w:fldCharType="separate"/>
        </w:r>
        <w:r w:rsidR="00B7625C">
          <w:rPr>
            <w:noProof/>
            <w:webHidden/>
          </w:rPr>
          <w:t>80</w:t>
        </w:r>
        <w:r w:rsidR="00B7625C">
          <w:rPr>
            <w:noProof/>
            <w:webHidden/>
          </w:rPr>
          <w:fldChar w:fldCharType="end"/>
        </w:r>
      </w:hyperlink>
    </w:p>
    <w:p w14:paraId="7A796261" w14:textId="0F01210B" w:rsidR="00B7625C" w:rsidRDefault="002F4506">
      <w:pPr>
        <w:pStyle w:val="Inhopg3"/>
        <w:rPr>
          <w:rFonts w:eastAsiaTheme="minorEastAsia"/>
          <w:noProof/>
          <w:lang w:eastAsia="nl-BE"/>
        </w:rPr>
      </w:pPr>
      <w:hyperlink w:anchor="_Toc107210910" w:history="1">
        <w:r w:rsidR="00B7625C" w:rsidRPr="007C4372">
          <w:rPr>
            <w:rStyle w:val="Hyperlink"/>
            <w:noProof/>
          </w:rPr>
          <w:t>2.</w:t>
        </w:r>
        <w:r w:rsidR="00B7625C">
          <w:rPr>
            <w:rFonts w:eastAsiaTheme="minorEastAsia"/>
            <w:noProof/>
            <w:lang w:eastAsia="nl-BE"/>
          </w:rPr>
          <w:tab/>
        </w:r>
        <w:r w:rsidR="00B7625C" w:rsidRPr="007C4372">
          <w:rPr>
            <w:rStyle w:val="Hyperlink"/>
            <w:noProof/>
          </w:rPr>
          <w:t>Vermogensrendement</w:t>
        </w:r>
        <w:r w:rsidR="00B7625C">
          <w:rPr>
            <w:noProof/>
            <w:webHidden/>
          </w:rPr>
          <w:tab/>
        </w:r>
        <w:r w:rsidR="00B7625C">
          <w:rPr>
            <w:noProof/>
            <w:webHidden/>
          </w:rPr>
          <w:fldChar w:fldCharType="begin"/>
        </w:r>
        <w:r w:rsidR="00B7625C">
          <w:rPr>
            <w:noProof/>
            <w:webHidden/>
          </w:rPr>
          <w:instrText xml:space="preserve"> PAGEREF _Toc107210910 \h </w:instrText>
        </w:r>
        <w:r w:rsidR="00B7625C">
          <w:rPr>
            <w:noProof/>
            <w:webHidden/>
          </w:rPr>
        </w:r>
        <w:r w:rsidR="00B7625C">
          <w:rPr>
            <w:noProof/>
            <w:webHidden/>
          </w:rPr>
          <w:fldChar w:fldCharType="separate"/>
        </w:r>
        <w:r w:rsidR="00B7625C">
          <w:rPr>
            <w:noProof/>
            <w:webHidden/>
          </w:rPr>
          <w:t>81</w:t>
        </w:r>
        <w:r w:rsidR="00B7625C">
          <w:rPr>
            <w:noProof/>
            <w:webHidden/>
          </w:rPr>
          <w:fldChar w:fldCharType="end"/>
        </w:r>
      </w:hyperlink>
    </w:p>
    <w:p w14:paraId="1DC01A01" w14:textId="6E043940" w:rsidR="00B7625C" w:rsidRDefault="002F4506">
      <w:pPr>
        <w:pStyle w:val="Inhopg3"/>
        <w:rPr>
          <w:rFonts w:eastAsiaTheme="minorEastAsia"/>
          <w:noProof/>
          <w:lang w:eastAsia="nl-BE"/>
        </w:rPr>
      </w:pPr>
      <w:hyperlink w:anchor="_Toc107210911" w:history="1">
        <w:r w:rsidR="00B7625C" w:rsidRPr="007C4372">
          <w:rPr>
            <w:rStyle w:val="Hyperlink"/>
            <w:noProof/>
          </w:rPr>
          <w:t>3.</w:t>
        </w:r>
        <w:r w:rsidR="00B7625C">
          <w:rPr>
            <w:rFonts w:eastAsiaTheme="minorEastAsia"/>
            <w:noProof/>
            <w:lang w:eastAsia="nl-BE"/>
          </w:rPr>
          <w:tab/>
        </w:r>
        <w:r w:rsidR="00B7625C" w:rsidRPr="007C4372">
          <w:rPr>
            <w:rStyle w:val="Hyperlink"/>
            <w:noProof/>
          </w:rPr>
          <w:t>Meerwaarden</w:t>
        </w:r>
        <w:r w:rsidR="00B7625C">
          <w:rPr>
            <w:noProof/>
            <w:webHidden/>
          </w:rPr>
          <w:tab/>
        </w:r>
        <w:r w:rsidR="00B7625C">
          <w:rPr>
            <w:noProof/>
            <w:webHidden/>
          </w:rPr>
          <w:fldChar w:fldCharType="begin"/>
        </w:r>
        <w:r w:rsidR="00B7625C">
          <w:rPr>
            <w:noProof/>
            <w:webHidden/>
          </w:rPr>
          <w:instrText xml:space="preserve"> PAGEREF _Toc107210911 \h </w:instrText>
        </w:r>
        <w:r w:rsidR="00B7625C">
          <w:rPr>
            <w:noProof/>
            <w:webHidden/>
          </w:rPr>
        </w:r>
        <w:r w:rsidR="00B7625C">
          <w:rPr>
            <w:noProof/>
            <w:webHidden/>
          </w:rPr>
          <w:fldChar w:fldCharType="separate"/>
        </w:r>
        <w:r w:rsidR="00B7625C">
          <w:rPr>
            <w:noProof/>
            <w:webHidden/>
          </w:rPr>
          <w:t>82</w:t>
        </w:r>
        <w:r w:rsidR="00B7625C">
          <w:rPr>
            <w:noProof/>
            <w:webHidden/>
          </w:rPr>
          <w:fldChar w:fldCharType="end"/>
        </w:r>
      </w:hyperlink>
    </w:p>
    <w:p w14:paraId="6DB24817" w14:textId="65F0D602" w:rsidR="00B7625C" w:rsidRDefault="002F4506">
      <w:pPr>
        <w:pStyle w:val="Inhopg2"/>
        <w:rPr>
          <w:rFonts w:eastAsiaTheme="minorEastAsia"/>
          <w:noProof/>
          <w:lang w:eastAsia="nl-BE"/>
        </w:rPr>
      </w:pPr>
      <w:hyperlink w:anchor="_Toc107210912" w:history="1">
        <w:r w:rsidR="00B7625C" w:rsidRPr="007C4372">
          <w:rPr>
            <w:rStyle w:val="Hyperlink"/>
            <w:noProof/>
          </w:rPr>
          <w:t>F.</w:t>
        </w:r>
        <w:r w:rsidR="00B7625C">
          <w:rPr>
            <w:rFonts w:eastAsiaTheme="minorEastAsia"/>
            <w:noProof/>
            <w:lang w:eastAsia="nl-BE"/>
          </w:rPr>
          <w:tab/>
        </w:r>
        <w:r w:rsidR="00B7625C" w:rsidRPr="007C4372">
          <w:rPr>
            <w:rStyle w:val="Hyperlink"/>
            <w:noProof/>
          </w:rPr>
          <w:t>Specifieke regels van toepassing op winst</w:t>
        </w:r>
        <w:r w:rsidR="00B7625C">
          <w:rPr>
            <w:noProof/>
            <w:webHidden/>
          </w:rPr>
          <w:tab/>
        </w:r>
        <w:r w:rsidR="00B7625C">
          <w:rPr>
            <w:noProof/>
            <w:webHidden/>
          </w:rPr>
          <w:fldChar w:fldCharType="begin"/>
        </w:r>
        <w:r w:rsidR="00B7625C">
          <w:rPr>
            <w:noProof/>
            <w:webHidden/>
          </w:rPr>
          <w:instrText xml:space="preserve"> PAGEREF _Toc107210912 \h </w:instrText>
        </w:r>
        <w:r w:rsidR="00B7625C">
          <w:rPr>
            <w:noProof/>
            <w:webHidden/>
          </w:rPr>
        </w:r>
        <w:r w:rsidR="00B7625C">
          <w:rPr>
            <w:noProof/>
            <w:webHidden/>
          </w:rPr>
          <w:fldChar w:fldCharType="separate"/>
        </w:r>
        <w:r w:rsidR="00B7625C">
          <w:rPr>
            <w:noProof/>
            <w:webHidden/>
          </w:rPr>
          <w:t>83</w:t>
        </w:r>
        <w:r w:rsidR="00B7625C">
          <w:rPr>
            <w:noProof/>
            <w:webHidden/>
          </w:rPr>
          <w:fldChar w:fldCharType="end"/>
        </w:r>
      </w:hyperlink>
    </w:p>
    <w:p w14:paraId="6B848F3E" w14:textId="2CEFAAC1" w:rsidR="00B7625C" w:rsidRDefault="002F4506">
      <w:pPr>
        <w:pStyle w:val="Inhopg2"/>
        <w:rPr>
          <w:rFonts w:eastAsiaTheme="minorEastAsia"/>
          <w:noProof/>
          <w:lang w:eastAsia="nl-BE"/>
        </w:rPr>
      </w:pPr>
      <w:hyperlink w:anchor="_Toc107210913" w:history="1">
        <w:r w:rsidR="00B7625C" w:rsidRPr="007C4372">
          <w:rPr>
            <w:rStyle w:val="Hyperlink"/>
            <w:noProof/>
          </w:rPr>
          <w:t>G.</w:t>
        </w:r>
        <w:r w:rsidR="00B7625C">
          <w:rPr>
            <w:rFonts w:eastAsiaTheme="minorEastAsia"/>
            <w:noProof/>
            <w:lang w:eastAsia="nl-BE"/>
          </w:rPr>
          <w:tab/>
        </w:r>
        <w:r w:rsidR="00B7625C" w:rsidRPr="007C4372">
          <w:rPr>
            <w:rStyle w:val="Hyperlink"/>
            <w:noProof/>
          </w:rPr>
          <w:t>Specifieke regels van toepassing op bezoldigingen</w:t>
        </w:r>
        <w:r w:rsidR="00B7625C">
          <w:rPr>
            <w:noProof/>
            <w:webHidden/>
          </w:rPr>
          <w:tab/>
        </w:r>
        <w:r w:rsidR="00B7625C">
          <w:rPr>
            <w:noProof/>
            <w:webHidden/>
          </w:rPr>
          <w:fldChar w:fldCharType="begin"/>
        </w:r>
        <w:r w:rsidR="00B7625C">
          <w:rPr>
            <w:noProof/>
            <w:webHidden/>
          </w:rPr>
          <w:instrText xml:space="preserve"> PAGEREF _Toc107210913 \h </w:instrText>
        </w:r>
        <w:r w:rsidR="00B7625C">
          <w:rPr>
            <w:noProof/>
            <w:webHidden/>
          </w:rPr>
        </w:r>
        <w:r w:rsidR="00B7625C">
          <w:rPr>
            <w:noProof/>
            <w:webHidden/>
          </w:rPr>
          <w:fldChar w:fldCharType="separate"/>
        </w:r>
        <w:r w:rsidR="00B7625C">
          <w:rPr>
            <w:noProof/>
            <w:webHidden/>
          </w:rPr>
          <w:t>86</w:t>
        </w:r>
        <w:r w:rsidR="00B7625C">
          <w:rPr>
            <w:noProof/>
            <w:webHidden/>
          </w:rPr>
          <w:fldChar w:fldCharType="end"/>
        </w:r>
      </w:hyperlink>
    </w:p>
    <w:p w14:paraId="57782526" w14:textId="46A0EF9E" w:rsidR="00B7625C" w:rsidRDefault="002F4506">
      <w:pPr>
        <w:pStyle w:val="Inhopg2"/>
        <w:rPr>
          <w:rFonts w:eastAsiaTheme="minorEastAsia"/>
          <w:noProof/>
          <w:lang w:eastAsia="nl-BE"/>
        </w:rPr>
      </w:pPr>
      <w:hyperlink w:anchor="_Toc107210914" w:history="1">
        <w:r w:rsidR="00B7625C" w:rsidRPr="007C4372">
          <w:rPr>
            <w:rStyle w:val="Hyperlink"/>
            <w:noProof/>
          </w:rPr>
          <w:t>H.</w:t>
        </w:r>
        <w:r w:rsidR="00B7625C">
          <w:rPr>
            <w:rFonts w:eastAsiaTheme="minorEastAsia"/>
            <w:noProof/>
            <w:lang w:eastAsia="nl-BE"/>
          </w:rPr>
          <w:tab/>
        </w:r>
        <w:r w:rsidR="00B7625C" w:rsidRPr="007C4372">
          <w:rPr>
            <w:rStyle w:val="Hyperlink"/>
            <w:noProof/>
          </w:rPr>
          <w:t>Vrijstelling doorstorting bedrijfsvoorheffing</w:t>
        </w:r>
        <w:r w:rsidR="00B7625C">
          <w:rPr>
            <w:noProof/>
            <w:webHidden/>
          </w:rPr>
          <w:tab/>
        </w:r>
        <w:r w:rsidR="00B7625C">
          <w:rPr>
            <w:noProof/>
            <w:webHidden/>
          </w:rPr>
          <w:fldChar w:fldCharType="begin"/>
        </w:r>
        <w:r w:rsidR="00B7625C">
          <w:rPr>
            <w:noProof/>
            <w:webHidden/>
          </w:rPr>
          <w:instrText xml:space="preserve"> PAGEREF _Toc107210914 \h </w:instrText>
        </w:r>
        <w:r w:rsidR="00B7625C">
          <w:rPr>
            <w:noProof/>
            <w:webHidden/>
          </w:rPr>
        </w:r>
        <w:r w:rsidR="00B7625C">
          <w:rPr>
            <w:noProof/>
            <w:webHidden/>
          </w:rPr>
          <w:fldChar w:fldCharType="separate"/>
        </w:r>
        <w:r w:rsidR="00B7625C">
          <w:rPr>
            <w:noProof/>
            <w:webHidden/>
          </w:rPr>
          <w:t>88</w:t>
        </w:r>
        <w:r w:rsidR="00B7625C">
          <w:rPr>
            <w:noProof/>
            <w:webHidden/>
          </w:rPr>
          <w:fldChar w:fldCharType="end"/>
        </w:r>
      </w:hyperlink>
    </w:p>
    <w:p w14:paraId="373604BD" w14:textId="22CF7118" w:rsidR="00B7625C" w:rsidRDefault="002F4506">
      <w:pPr>
        <w:pStyle w:val="Inhopg1"/>
        <w:rPr>
          <w:rFonts w:eastAsiaTheme="minorEastAsia"/>
          <w:noProof/>
          <w:lang w:eastAsia="nl-BE"/>
        </w:rPr>
      </w:pPr>
      <w:hyperlink w:anchor="_Toc107210915" w:history="1">
        <w:r w:rsidR="00B7625C" w:rsidRPr="007C4372">
          <w:rPr>
            <w:rStyle w:val="Hyperlink"/>
            <w:smallCaps/>
            <w:noProof/>
          </w:rPr>
          <w:t>VII.</w:t>
        </w:r>
        <w:r w:rsidR="00B7625C">
          <w:rPr>
            <w:rFonts w:eastAsiaTheme="minorEastAsia"/>
            <w:noProof/>
            <w:lang w:eastAsia="nl-BE"/>
          </w:rPr>
          <w:tab/>
        </w:r>
        <w:r w:rsidR="00B7625C" w:rsidRPr="007C4372">
          <w:rPr>
            <w:rStyle w:val="Hyperlink"/>
            <w:smallCaps/>
            <w:noProof/>
          </w:rPr>
          <w:t>Lasten op pensioen- en vervangingsinkomsten</w:t>
        </w:r>
        <w:r w:rsidR="00B7625C">
          <w:rPr>
            <w:noProof/>
            <w:webHidden/>
          </w:rPr>
          <w:tab/>
        </w:r>
        <w:r w:rsidR="00B7625C">
          <w:rPr>
            <w:noProof/>
            <w:webHidden/>
          </w:rPr>
          <w:fldChar w:fldCharType="begin"/>
        </w:r>
        <w:r w:rsidR="00B7625C">
          <w:rPr>
            <w:noProof/>
            <w:webHidden/>
          </w:rPr>
          <w:instrText xml:space="preserve"> PAGEREF _Toc107210915 \h </w:instrText>
        </w:r>
        <w:r w:rsidR="00B7625C">
          <w:rPr>
            <w:noProof/>
            <w:webHidden/>
          </w:rPr>
        </w:r>
        <w:r w:rsidR="00B7625C">
          <w:rPr>
            <w:noProof/>
            <w:webHidden/>
          </w:rPr>
          <w:fldChar w:fldCharType="separate"/>
        </w:r>
        <w:r w:rsidR="00B7625C">
          <w:rPr>
            <w:noProof/>
            <w:webHidden/>
          </w:rPr>
          <w:t>89</w:t>
        </w:r>
        <w:r w:rsidR="00B7625C">
          <w:rPr>
            <w:noProof/>
            <w:webHidden/>
          </w:rPr>
          <w:fldChar w:fldCharType="end"/>
        </w:r>
      </w:hyperlink>
    </w:p>
    <w:p w14:paraId="2E6089A6" w14:textId="408B8391" w:rsidR="00B7625C" w:rsidRDefault="002F4506">
      <w:pPr>
        <w:pStyle w:val="Inhopg2"/>
        <w:rPr>
          <w:rFonts w:eastAsiaTheme="minorEastAsia"/>
          <w:noProof/>
          <w:lang w:eastAsia="nl-BE"/>
        </w:rPr>
      </w:pPr>
      <w:hyperlink w:anchor="_Toc107210916" w:history="1">
        <w:r w:rsidR="00B7625C" w:rsidRPr="007C4372">
          <w:rPr>
            <w:rStyle w:val="Hyperlink"/>
            <w:noProof/>
          </w:rPr>
          <w:t>A.</w:t>
        </w:r>
        <w:r w:rsidR="00B7625C">
          <w:rPr>
            <w:rFonts w:eastAsiaTheme="minorEastAsia"/>
            <w:noProof/>
            <w:lang w:eastAsia="nl-BE"/>
          </w:rPr>
          <w:tab/>
        </w:r>
        <w:r w:rsidR="00B7625C" w:rsidRPr="007C4372">
          <w:rPr>
            <w:rStyle w:val="Hyperlink"/>
            <w:noProof/>
          </w:rPr>
          <w:t>Eerste pijler</w:t>
        </w:r>
        <w:r w:rsidR="00B7625C">
          <w:rPr>
            <w:noProof/>
            <w:webHidden/>
          </w:rPr>
          <w:tab/>
        </w:r>
        <w:r w:rsidR="00B7625C">
          <w:rPr>
            <w:noProof/>
            <w:webHidden/>
          </w:rPr>
          <w:fldChar w:fldCharType="begin"/>
        </w:r>
        <w:r w:rsidR="00B7625C">
          <w:rPr>
            <w:noProof/>
            <w:webHidden/>
          </w:rPr>
          <w:instrText xml:space="preserve"> PAGEREF _Toc107210916 \h </w:instrText>
        </w:r>
        <w:r w:rsidR="00B7625C">
          <w:rPr>
            <w:noProof/>
            <w:webHidden/>
          </w:rPr>
        </w:r>
        <w:r w:rsidR="00B7625C">
          <w:rPr>
            <w:noProof/>
            <w:webHidden/>
          </w:rPr>
          <w:fldChar w:fldCharType="separate"/>
        </w:r>
        <w:r w:rsidR="00B7625C">
          <w:rPr>
            <w:noProof/>
            <w:webHidden/>
          </w:rPr>
          <w:t>89</w:t>
        </w:r>
        <w:r w:rsidR="00B7625C">
          <w:rPr>
            <w:noProof/>
            <w:webHidden/>
          </w:rPr>
          <w:fldChar w:fldCharType="end"/>
        </w:r>
      </w:hyperlink>
    </w:p>
    <w:p w14:paraId="488D679E" w14:textId="4871454A" w:rsidR="00B7625C" w:rsidRDefault="002F4506">
      <w:pPr>
        <w:pStyle w:val="Inhopg2"/>
        <w:rPr>
          <w:rFonts w:eastAsiaTheme="minorEastAsia"/>
          <w:noProof/>
          <w:lang w:eastAsia="nl-BE"/>
        </w:rPr>
      </w:pPr>
      <w:hyperlink w:anchor="_Toc107210917" w:history="1">
        <w:r w:rsidR="00B7625C" w:rsidRPr="007C4372">
          <w:rPr>
            <w:rStyle w:val="Hyperlink"/>
            <w:noProof/>
          </w:rPr>
          <w:t>B.</w:t>
        </w:r>
        <w:r w:rsidR="00B7625C">
          <w:rPr>
            <w:rFonts w:eastAsiaTheme="minorEastAsia"/>
            <w:noProof/>
            <w:lang w:eastAsia="nl-BE"/>
          </w:rPr>
          <w:tab/>
        </w:r>
        <w:r w:rsidR="00B7625C" w:rsidRPr="007C4372">
          <w:rPr>
            <w:rStyle w:val="Hyperlink"/>
            <w:noProof/>
          </w:rPr>
          <w:t>Tweede pijler</w:t>
        </w:r>
        <w:r w:rsidR="00B7625C">
          <w:rPr>
            <w:noProof/>
            <w:webHidden/>
          </w:rPr>
          <w:tab/>
        </w:r>
        <w:r w:rsidR="00B7625C">
          <w:rPr>
            <w:noProof/>
            <w:webHidden/>
          </w:rPr>
          <w:fldChar w:fldCharType="begin"/>
        </w:r>
        <w:r w:rsidR="00B7625C">
          <w:rPr>
            <w:noProof/>
            <w:webHidden/>
          </w:rPr>
          <w:instrText xml:space="preserve"> PAGEREF _Toc107210917 \h </w:instrText>
        </w:r>
        <w:r w:rsidR="00B7625C">
          <w:rPr>
            <w:noProof/>
            <w:webHidden/>
          </w:rPr>
        </w:r>
        <w:r w:rsidR="00B7625C">
          <w:rPr>
            <w:noProof/>
            <w:webHidden/>
          </w:rPr>
          <w:fldChar w:fldCharType="separate"/>
        </w:r>
        <w:r w:rsidR="00B7625C">
          <w:rPr>
            <w:noProof/>
            <w:webHidden/>
          </w:rPr>
          <w:t>91</w:t>
        </w:r>
        <w:r w:rsidR="00B7625C">
          <w:rPr>
            <w:noProof/>
            <w:webHidden/>
          </w:rPr>
          <w:fldChar w:fldCharType="end"/>
        </w:r>
      </w:hyperlink>
    </w:p>
    <w:p w14:paraId="73CCE8B8" w14:textId="00BF9477" w:rsidR="00B7625C" w:rsidRDefault="002F4506">
      <w:pPr>
        <w:pStyle w:val="Inhopg2"/>
        <w:rPr>
          <w:rFonts w:eastAsiaTheme="minorEastAsia"/>
          <w:noProof/>
          <w:lang w:eastAsia="nl-BE"/>
        </w:rPr>
      </w:pPr>
      <w:hyperlink w:anchor="_Toc107210918" w:history="1">
        <w:r w:rsidR="00B7625C" w:rsidRPr="007C4372">
          <w:rPr>
            <w:rStyle w:val="Hyperlink"/>
            <w:noProof/>
            <w:lang w:val="nl-NL"/>
          </w:rPr>
          <w:t>C.</w:t>
        </w:r>
        <w:r w:rsidR="00B7625C">
          <w:rPr>
            <w:rFonts w:eastAsiaTheme="minorEastAsia"/>
            <w:noProof/>
            <w:lang w:eastAsia="nl-BE"/>
          </w:rPr>
          <w:tab/>
        </w:r>
        <w:r w:rsidR="00B7625C" w:rsidRPr="007C4372">
          <w:rPr>
            <w:rStyle w:val="Hyperlink"/>
            <w:noProof/>
            <w:lang w:val="nl-NL"/>
          </w:rPr>
          <w:t>Derde pijler</w:t>
        </w:r>
        <w:r w:rsidR="00B7625C">
          <w:rPr>
            <w:noProof/>
            <w:webHidden/>
          </w:rPr>
          <w:tab/>
        </w:r>
        <w:r w:rsidR="00B7625C">
          <w:rPr>
            <w:noProof/>
            <w:webHidden/>
          </w:rPr>
          <w:fldChar w:fldCharType="begin"/>
        </w:r>
        <w:r w:rsidR="00B7625C">
          <w:rPr>
            <w:noProof/>
            <w:webHidden/>
          </w:rPr>
          <w:instrText xml:space="preserve"> PAGEREF _Toc107210918 \h </w:instrText>
        </w:r>
        <w:r w:rsidR="00B7625C">
          <w:rPr>
            <w:noProof/>
            <w:webHidden/>
          </w:rPr>
        </w:r>
        <w:r w:rsidR="00B7625C">
          <w:rPr>
            <w:noProof/>
            <w:webHidden/>
          </w:rPr>
          <w:fldChar w:fldCharType="separate"/>
        </w:r>
        <w:r w:rsidR="00B7625C">
          <w:rPr>
            <w:noProof/>
            <w:webHidden/>
          </w:rPr>
          <w:t>93</w:t>
        </w:r>
        <w:r w:rsidR="00B7625C">
          <w:rPr>
            <w:noProof/>
            <w:webHidden/>
          </w:rPr>
          <w:fldChar w:fldCharType="end"/>
        </w:r>
      </w:hyperlink>
    </w:p>
    <w:p w14:paraId="1708D042" w14:textId="5F71B87D" w:rsidR="00B7625C" w:rsidRDefault="002F4506">
      <w:pPr>
        <w:pStyle w:val="Inhopg1"/>
        <w:rPr>
          <w:rFonts w:eastAsiaTheme="minorEastAsia"/>
          <w:noProof/>
          <w:lang w:eastAsia="nl-BE"/>
        </w:rPr>
      </w:pPr>
      <w:hyperlink w:anchor="_Toc107210919" w:history="1">
        <w:r w:rsidR="00B7625C" w:rsidRPr="007C4372">
          <w:rPr>
            <w:rStyle w:val="Hyperlink"/>
            <w:smallCaps/>
            <w:noProof/>
          </w:rPr>
          <w:t>VIII.</w:t>
        </w:r>
        <w:r w:rsidR="00B7625C">
          <w:rPr>
            <w:rFonts w:eastAsiaTheme="minorEastAsia"/>
            <w:noProof/>
            <w:lang w:eastAsia="nl-BE"/>
          </w:rPr>
          <w:tab/>
        </w:r>
        <w:r w:rsidR="00B7625C" w:rsidRPr="007C4372">
          <w:rPr>
            <w:rStyle w:val="Hyperlink"/>
            <w:smallCaps/>
            <w:noProof/>
          </w:rPr>
          <w:t>Lasten op vermogensinkomsten</w:t>
        </w:r>
        <w:r w:rsidR="00B7625C">
          <w:rPr>
            <w:noProof/>
            <w:webHidden/>
          </w:rPr>
          <w:tab/>
        </w:r>
        <w:r w:rsidR="00B7625C">
          <w:rPr>
            <w:noProof/>
            <w:webHidden/>
          </w:rPr>
          <w:fldChar w:fldCharType="begin"/>
        </w:r>
        <w:r w:rsidR="00B7625C">
          <w:rPr>
            <w:noProof/>
            <w:webHidden/>
          </w:rPr>
          <w:instrText xml:space="preserve"> PAGEREF _Toc107210919 \h </w:instrText>
        </w:r>
        <w:r w:rsidR="00B7625C">
          <w:rPr>
            <w:noProof/>
            <w:webHidden/>
          </w:rPr>
        </w:r>
        <w:r w:rsidR="00B7625C">
          <w:rPr>
            <w:noProof/>
            <w:webHidden/>
          </w:rPr>
          <w:fldChar w:fldCharType="separate"/>
        </w:r>
        <w:r w:rsidR="00B7625C">
          <w:rPr>
            <w:noProof/>
            <w:webHidden/>
          </w:rPr>
          <w:t>95</w:t>
        </w:r>
        <w:r w:rsidR="00B7625C">
          <w:rPr>
            <w:noProof/>
            <w:webHidden/>
          </w:rPr>
          <w:fldChar w:fldCharType="end"/>
        </w:r>
      </w:hyperlink>
    </w:p>
    <w:p w14:paraId="482A3FBB" w14:textId="2181EB70" w:rsidR="00B7625C" w:rsidRDefault="002F4506">
      <w:pPr>
        <w:pStyle w:val="Inhopg2"/>
        <w:rPr>
          <w:rFonts w:eastAsiaTheme="minorEastAsia"/>
          <w:noProof/>
          <w:lang w:eastAsia="nl-BE"/>
        </w:rPr>
      </w:pPr>
      <w:hyperlink w:anchor="_Toc107210920" w:history="1">
        <w:r w:rsidR="00B7625C" w:rsidRPr="007C4372">
          <w:rPr>
            <w:rStyle w:val="Hyperlink"/>
            <w:noProof/>
          </w:rPr>
          <w:t>A.</w:t>
        </w:r>
        <w:r w:rsidR="00B7625C">
          <w:rPr>
            <w:rFonts w:eastAsiaTheme="minorEastAsia"/>
            <w:noProof/>
            <w:lang w:eastAsia="nl-BE"/>
          </w:rPr>
          <w:tab/>
        </w:r>
        <w:r w:rsidR="00B7625C" w:rsidRPr="007C4372">
          <w:rPr>
            <w:rStyle w:val="Hyperlink"/>
            <w:noProof/>
          </w:rPr>
          <w:t>Visuele voorstelling</w:t>
        </w:r>
        <w:r w:rsidR="00B7625C">
          <w:rPr>
            <w:noProof/>
            <w:webHidden/>
          </w:rPr>
          <w:tab/>
        </w:r>
        <w:r w:rsidR="00B7625C">
          <w:rPr>
            <w:noProof/>
            <w:webHidden/>
          </w:rPr>
          <w:fldChar w:fldCharType="begin"/>
        </w:r>
        <w:r w:rsidR="00B7625C">
          <w:rPr>
            <w:noProof/>
            <w:webHidden/>
          </w:rPr>
          <w:instrText xml:space="preserve"> PAGEREF _Toc107210920 \h </w:instrText>
        </w:r>
        <w:r w:rsidR="00B7625C">
          <w:rPr>
            <w:noProof/>
            <w:webHidden/>
          </w:rPr>
        </w:r>
        <w:r w:rsidR="00B7625C">
          <w:rPr>
            <w:noProof/>
            <w:webHidden/>
          </w:rPr>
          <w:fldChar w:fldCharType="separate"/>
        </w:r>
        <w:r w:rsidR="00B7625C">
          <w:rPr>
            <w:noProof/>
            <w:webHidden/>
          </w:rPr>
          <w:t>96</w:t>
        </w:r>
        <w:r w:rsidR="00B7625C">
          <w:rPr>
            <w:noProof/>
            <w:webHidden/>
          </w:rPr>
          <w:fldChar w:fldCharType="end"/>
        </w:r>
      </w:hyperlink>
    </w:p>
    <w:p w14:paraId="17DBB4EA" w14:textId="0F234022" w:rsidR="00B7625C" w:rsidRDefault="002F4506">
      <w:pPr>
        <w:pStyle w:val="Inhopg2"/>
        <w:rPr>
          <w:rFonts w:eastAsiaTheme="minorEastAsia"/>
          <w:noProof/>
          <w:lang w:eastAsia="nl-BE"/>
        </w:rPr>
      </w:pPr>
      <w:hyperlink w:anchor="_Toc107210921" w:history="1">
        <w:r w:rsidR="00B7625C" w:rsidRPr="007C4372">
          <w:rPr>
            <w:rStyle w:val="Hyperlink"/>
            <w:noProof/>
          </w:rPr>
          <w:t>B.</w:t>
        </w:r>
        <w:r w:rsidR="00B7625C">
          <w:rPr>
            <w:rFonts w:eastAsiaTheme="minorEastAsia"/>
            <w:noProof/>
            <w:lang w:eastAsia="nl-BE"/>
          </w:rPr>
          <w:tab/>
        </w:r>
        <w:r w:rsidR="00B7625C" w:rsidRPr="007C4372">
          <w:rPr>
            <w:rStyle w:val="Hyperlink"/>
            <w:noProof/>
          </w:rPr>
          <w:t>De krachtlijnen van de hervorming</w:t>
        </w:r>
        <w:r w:rsidR="00B7625C">
          <w:rPr>
            <w:noProof/>
            <w:webHidden/>
          </w:rPr>
          <w:tab/>
        </w:r>
        <w:r w:rsidR="00B7625C">
          <w:rPr>
            <w:noProof/>
            <w:webHidden/>
          </w:rPr>
          <w:fldChar w:fldCharType="begin"/>
        </w:r>
        <w:r w:rsidR="00B7625C">
          <w:rPr>
            <w:noProof/>
            <w:webHidden/>
          </w:rPr>
          <w:instrText xml:space="preserve"> PAGEREF _Toc107210921 \h </w:instrText>
        </w:r>
        <w:r w:rsidR="00B7625C">
          <w:rPr>
            <w:noProof/>
            <w:webHidden/>
          </w:rPr>
        </w:r>
        <w:r w:rsidR="00B7625C">
          <w:rPr>
            <w:noProof/>
            <w:webHidden/>
          </w:rPr>
          <w:fldChar w:fldCharType="separate"/>
        </w:r>
        <w:r w:rsidR="00B7625C">
          <w:rPr>
            <w:noProof/>
            <w:webHidden/>
          </w:rPr>
          <w:t>97</w:t>
        </w:r>
        <w:r w:rsidR="00B7625C">
          <w:rPr>
            <w:noProof/>
            <w:webHidden/>
          </w:rPr>
          <w:fldChar w:fldCharType="end"/>
        </w:r>
      </w:hyperlink>
    </w:p>
    <w:p w14:paraId="62B82F86" w14:textId="1F85EE84" w:rsidR="00B7625C" w:rsidRDefault="002F4506">
      <w:pPr>
        <w:pStyle w:val="Inhopg3"/>
        <w:rPr>
          <w:rFonts w:eastAsiaTheme="minorEastAsia"/>
          <w:noProof/>
          <w:lang w:eastAsia="nl-BE"/>
        </w:rPr>
      </w:pPr>
      <w:hyperlink w:anchor="_Toc107210922" w:history="1">
        <w:r w:rsidR="00B7625C" w:rsidRPr="007C4372">
          <w:rPr>
            <w:rStyle w:val="Hyperlink"/>
            <w:noProof/>
          </w:rPr>
          <w:t>1.</w:t>
        </w:r>
        <w:r w:rsidR="00B7625C">
          <w:rPr>
            <w:rFonts w:eastAsiaTheme="minorEastAsia"/>
            <w:noProof/>
            <w:lang w:eastAsia="nl-BE"/>
          </w:rPr>
          <w:tab/>
        </w:r>
        <w:r w:rsidR="00B7625C" w:rsidRPr="007C4372">
          <w:rPr>
            <w:rStyle w:val="Hyperlink"/>
            <w:noProof/>
          </w:rPr>
          <w:t>De onderwerping van alle vermogensinkomsten aan een uniek belastingstelsel</w:t>
        </w:r>
        <w:r w:rsidR="00B7625C">
          <w:rPr>
            <w:noProof/>
            <w:webHidden/>
          </w:rPr>
          <w:tab/>
        </w:r>
        <w:r w:rsidR="00B7625C">
          <w:rPr>
            <w:noProof/>
            <w:webHidden/>
          </w:rPr>
          <w:fldChar w:fldCharType="begin"/>
        </w:r>
        <w:r w:rsidR="00B7625C">
          <w:rPr>
            <w:noProof/>
            <w:webHidden/>
          </w:rPr>
          <w:instrText xml:space="preserve"> PAGEREF _Toc107210922 \h </w:instrText>
        </w:r>
        <w:r w:rsidR="00B7625C">
          <w:rPr>
            <w:noProof/>
            <w:webHidden/>
          </w:rPr>
        </w:r>
        <w:r w:rsidR="00B7625C">
          <w:rPr>
            <w:noProof/>
            <w:webHidden/>
          </w:rPr>
          <w:fldChar w:fldCharType="separate"/>
        </w:r>
        <w:r w:rsidR="00B7625C">
          <w:rPr>
            <w:noProof/>
            <w:webHidden/>
          </w:rPr>
          <w:t>97</w:t>
        </w:r>
        <w:r w:rsidR="00B7625C">
          <w:rPr>
            <w:noProof/>
            <w:webHidden/>
          </w:rPr>
          <w:fldChar w:fldCharType="end"/>
        </w:r>
      </w:hyperlink>
    </w:p>
    <w:p w14:paraId="4F042290" w14:textId="111ABCB5" w:rsidR="00B7625C" w:rsidRDefault="002F4506">
      <w:pPr>
        <w:pStyle w:val="Inhopg3"/>
        <w:rPr>
          <w:rFonts w:eastAsiaTheme="minorEastAsia"/>
          <w:noProof/>
          <w:lang w:eastAsia="nl-BE"/>
        </w:rPr>
      </w:pPr>
      <w:hyperlink w:anchor="_Toc107210923" w:history="1">
        <w:r w:rsidR="00B7625C" w:rsidRPr="007C4372">
          <w:rPr>
            <w:rStyle w:val="Hyperlink"/>
            <w:noProof/>
          </w:rPr>
          <w:t>2.</w:t>
        </w:r>
        <w:r w:rsidR="00B7625C">
          <w:rPr>
            <w:rFonts w:eastAsiaTheme="minorEastAsia"/>
            <w:noProof/>
            <w:lang w:eastAsia="nl-BE"/>
          </w:rPr>
          <w:tab/>
        </w:r>
        <w:r w:rsidR="00B7625C" w:rsidRPr="007C4372">
          <w:rPr>
            <w:rStyle w:val="Hyperlink"/>
            <w:noProof/>
          </w:rPr>
          <w:t>De principiële onderwerping van alle vermogensinkomsten aan belastingheffing, m.i.v. meerwaarden</w:t>
        </w:r>
        <w:r w:rsidR="00B7625C">
          <w:rPr>
            <w:noProof/>
            <w:webHidden/>
          </w:rPr>
          <w:tab/>
        </w:r>
        <w:r w:rsidR="00B7625C">
          <w:rPr>
            <w:noProof/>
            <w:webHidden/>
          </w:rPr>
          <w:fldChar w:fldCharType="begin"/>
        </w:r>
        <w:r w:rsidR="00B7625C">
          <w:rPr>
            <w:noProof/>
            <w:webHidden/>
          </w:rPr>
          <w:instrText xml:space="preserve"> PAGEREF _Toc107210923 \h </w:instrText>
        </w:r>
        <w:r w:rsidR="00B7625C">
          <w:rPr>
            <w:noProof/>
            <w:webHidden/>
          </w:rPr>
        </w:r>
        <w:r w:rsidR="00B7625C">
          <w:rPr>
            <w:noProof/>
            <w:webHidden/>
          </w:rPr>
          <w:fldChar w:fldCharType="separate"/>
        </w:r>
        <w:r w:rsidR="00B7625C">
          <w:rPr>
            <w:noProof/>
            <w:webHidden/>
          </w:rPr>
          <w:t>98</w:t>
        </w:r>
        <w:r w:rsidR="00B7625C">
          <w:rPr>
            <w:noProof/>
            <w:webHidden/>
          </w:rPr>
          <w:fldChar w:fldCharType="end"/>
        </w:r>
      </w:hyperlink>
    </w:p>
    <w:p w14:paraId="6CAEC3F4" w14:textId="5C601632" w:rsidR="00B7625C" w:rsidRDefault="002F4506">
      <w:pPr>
        <w:pStyle w:val="Inhopg3"/>
        <w:rPr>
          <w:rFonts w:eastAsiaTheme="minorEastAsia"/>
          <w:noProof/>
          <w:lang w:eastAsia="nl-BE"/>
        </w:rPr>
      </w:pPr>
      <w:hyperlink w:anchor="_Toc107210924" w:history="1">
        <w:r w:rsidR="00B7625C" w:rsidRPr="007C4372">
          <w:rPr>
            <w:rStyle w:val="Hyperlink"/>
            <w:noProof/>
          </w:rPr>
          <w:t>3.</w:t>
        </w:r>
        <w:r w:rsidR="00B7625C">
          <w:rPr>
            <w:rFonts w:eastAsiaTheme="minorEastAsia"/>
            <w:noProof/>
            <w:lang w:eastAsia="nl-BE"/>
          </w:rPr>
          <w:tab/>
        </w:r>
        <w:r w:rsidR="00B7625C" w:rsidRPr="007C4372">
          <w:rPr>
            <w:rStyle w:val="Hyperlink"/>
            <w:noProof/>
          </w:rPr>
          <w:t>De veralgemening van de evenredige tarieven</w:t>
        </w:r>
        <w:r w:rsidR="00B7625C">
          <w:rPr>
            <w:noProof/>
            <w:webHidden/>
          </w:rPr>
          <w:tab/>
        </w:r>
        <w:r w:rsidR="00B7625C">
          <w:rPr>
            <w:noProof/>
            <w:webHidden/>
          </w:rPr>
          <w:fldChar w:fldCharType="begin"/>
        </w:r>
        <w:r w:rsidR="00B7625C">
          <w:rPr>
            <w:noProof/>
            <w:webHidden/>
          </w:rPr>
          <w:instrText xml:space="preserve"> PAGEREF _Toc107210924 \h </w:instrText>
        </w:r>
        <w:r w:rsidR="00B7625C">
          <w:rPr>
            <w:noProof/>
            <w:webHidden/>
          </w:rPr>
        </w:r>
        <w:r w:rsidR="00B7625C">
          <w:rPr>
            <w:noProof/>
            <w:webHidden/>
          </w:rPr>
          <w:fldChar w:fldCharType="separate"/>
        </w:r>
        <w:r w:rsidR="00B7625C">
          <w:rPr>
            <w:noProof/>
            <w:webHidden/>
          </w:rPr>
          <w:t>99</w:t>
        </w:r>
        <w:r w:rsidR="00B7625C">
          <w:rPr>
            <w:noProof/>
            <w:webHidden/>
          </w:rPr>
          <w:fldChar w:fldCharType="end"/>
        </w:r>
      </w:hyperlink>
    </w:p>
    <w:p w14:paraId="07A05916" w14:textId="08B5F128" w:rsidR="00B7625C" w:rsidRDefault="002F4506">
      <w:pPr>
        <w:pStyle w:val="Inhopg3"/>
        <w:rPr>
          <w:rFonts w:eastAsiaTheme="minorEastAsia"/>
          <w:noProof/>
          <w:lang w:eastAsia="nl-BE"/>
        </w:rPr>
      </w:pPr>
      <w:hyperlink w:anchor="_Toc107210925" w:history="1">
        <w:r w:rsidR="00B7625C" w:rsidRPr="007C4372">
          <w:rPr>
            <w:rStyle w:val="Hyperlink"/>
            <w:noProof/>
          </w:rPr>
          <w:t>4.</w:t>
        </w:r>
        <w:r w:rsidR="00B7625C">
          <w:rPr>
            <w:rFonts w:eastAsiaTheme="minorEastAsia"/>
            <w:noProof/>
            <w:lang w:eastAsia="nl-BE"/>
          </w:rPr>
          <w:tab/>
        </w:r>
        <w:r w:rsidR="00B7625C" w:rsidRPr="007C4372">
          <w:rPr>
            <w:rStyle w:val="Hyperlink"/>
            <w:noProof/>
          </w:rPr>
          <w:t>De introductie van één basistarief, met uitsluitend verantwoordbare afwijkingen</w:t>
        </w:r>
        <w:r w:rsidR="00B7625C">
          <w:rPr>
            <w:noProof/>
            <w:webHidden/>
          </w:rPr>
          <w:tab/>
        </w:r>
        <w:r w:rsidR="00B7625C">
          <w:rPr>
            <w:noProof/>
            <w:webHidden/>
          </w:rPr>
          <w:fldChar w:fldCharType="begin"/>
        </w:r>
        <w:r w:rsidR="00B7625C">
          <w:rPr>
            <w:noProof/>
            <w:webHidden/>
          </w:rPr>
          <w:instrText xml:space="preserve"> PAGEREF _Toc107210925 \h </w:instrText>
        </w:r>
        <w:r w:rsidR="00B7625C">
          <w:rPr>
            <w:noProof/>
            <w:webHidden/>
          </w:rPr>
        </w:r>
        <w:r w:rsidR="00B7625C">
          <w:rPr>
            <w:noProof/>
            <w:webHidden/>
          </w:rPr>
          <w:fldChar w:fldCharType="separate"/>
        </w:r>
        <w:r w:rsidR="00B7625C">
          <w:rPr>
            <w:noProof/>
            <w:webHidden/>
          </w:rPr>
          <w:t>100</w:t>
        </w:r>
        <w:r w:rsidR="00B7625C">
          <w:rPr>
            <w:noProof/>
            <w:webHidden/>
          </w:rPr>
          <w:fldChar w:fldCharType="end"/>
        </w:r>
      </w:hyperlink>
    </w:p>
    <w:p w14:paraId="2D8654C5" w14:textId="1EBF47CB" w:rsidR="00B7625C" w:rsidRDefault="002F4506">
      <w:pPr>
        <w:pStyle w:val="Inhopg3"/>
        <w:rPr>
          <w:rFonts w:eastAsiaTheme="minorEastAsia"/>
          <w:noProof/>
          <w:lang w:eastAsia="nl-BE"/>
        </w:rPr>
      </w:pPr>
      <w:hyperlink w:anchor="_Toc107210926" w:history="1">
        <w:r w:rsidR="00B7625C" w:rsidRPr="007C4372">
          <w:rPr>
            <w:rStyle w:val="Hyperlink"/>
            <w:noProof/>
          </w:rPr>
          <w:t>5.</w:t>
        </w:r>
        <w:r w:rsidR="00B7625C">
          <w:rPr>
            <w:rFonts w:eastAsiaTheme="minorEastAsia"/>
            <w:noProof/>
            <w:lang w:eastAsia="nl-BE"/>
          </w:rPr>
          <w:tab/>
        </w:r>
        <w:r w:rsidR="00B7625C" w:rsidRPr="007C4372">
          <w:rPr>
            <w:rStyle w:val="Hyperlink"/>
            <w:noProof/>
          </w:rPr>
          <w:t>De algemene voetvrijstelling</w:t>
        </w:r>
        <w:r w:rsidR="00B7625C">
          <w:rPr>
            <w:noProof/>
            <w:webHidden/>
          </w:rPr>
          <w:tab/>
        </w:r>
        <w:r w:rsidR="00B7625C">
          <w:rPr>
            <w:noProof/>
            <w:webHidden/>
          </w:rPr>
          <w:fldChar w:fldCharType="begin"/>
        </w:r>
        <w:r w:rsidR="00B7625C">
          <w:rPr>
            <w:noProof/>
            <w:webHidden/>
          </w:rPr>
          <w:instrText xml:space="preserve"> PAGEREF _Toc107210926 \h </w:instrText>
        </w:r>
        <w:r w:rsidR="00B7625C">
          <w:rPr>
            <w:noProof/>
            <w:webHidden/>
          </w:rPr>
        </w:r>
        <w:r w:rsidR="00B7625C">
          <w:rPr>
            <w:noProof/>
            <w:webHidden/>
          </w:rPr>
          <w:fldChar w:fldCharType="separate"/>
        </w:r>
        <w:r w:rsidR="00B7625C">
          <w:rPr>
            <w:noProof/>
            <w:webHidden/>
          </w:rPr>
          <w:t>106</w:t>
        </w:r>
        <w:r w:rsidR="00B7625C">
          <w:rPr>
            <w:noProof/>
            <w:webHidden/>
          </w:rPr>
          <w:fldChar w:fldCharType="end"/>
        </w:r>
      </w:hyperlink>
    </w:p>
    <w:p w14:paraId="156ED0C0" w14:textId="7099088D" w:rsidR="00B7625C" w:rsidRDefault="002F4506">
      <w:pPr>
        <w:pStyle w:val="Inhopg3"/>
        <w:rPr>
          <w:rFonts w:eastAsiaTheme="minorEastAsia"/>
          <w:noProof/>
          <w:lang w:eastAsia="nl-BE"/>
        </w:rPr>
      </w:pPr>
      <w:hyperlink w:anchor="_Toc107210927" w:history="1">
        <w:r w:rsidR="00B7625C" w:rsidRPr="007C4372">
          <w:rPr>
            <w:rStyle w:val="Hyperlink"/>
            <w:noProof/>
          </w:rPr>
          <w:t>6.</w:t>
        </w:r>
        <w:r w:rsidR="00B7625C">
          <w:rPr>
            <w:rFonts w:eastAsiaTheme="minorEastAsia"/>
            <w:noProof/>
            <w:lang w:eastAsia="nl-BE"/>
          </w:rPr>
          <w:tab/>
        </w:r>
        <w:r w:rsidR="00B7625C" w:rsidRPr="007C4372">
          <w:rPr>
            <w:rStyle w:val="Hyperlink"/>
            <w:noProof/>
          </w:rPr>
          <w:t>Maatregelen tegen vervennootschappelijking</w:t>
        </w:r>
        <w:r w:rsidR="00B7625C">
          <w:rPr>
            <w:noProof/>
            <w:webHidden/>
          </w:rPr>
          <w:tab/>
        </w:r>
        <w:r w:rsidR="00B7625C">
          <w:rPr>
            <w:noProof/>
            <w:webHidden/>
          </w:rPr>
          <w:fldChar w:fldCharType="begin"/>
        </w:r>
        <w:r w:rsidR="00B7625C">
          <w:rPr>
            <w:noProof/>
            <w:webHidden/>
          </w:rPr>
          <w:instrText xml:space="preserve"> PAGEREF _Toc107210927 \h </w:instrText>
        </w:r>
        <w:r w:rsidR="00B7625C">
          <w:rPr>
            <w:noProof/>
            <w:webHidden/>
          </w:rPr>
        </w:r>
        <w:r w:rsidR="00B7625C">
          <w:rPr>
            <w:noProof/>
            <w:webHidden/>
          </w:rPr>
          <w:fldChar w:fldCharType="separate"/>
        </w:r>
        <w:r w:rsidR="00B7625C">
          <w:rPr>
            <w:noProof/>
            <w:webHidden/>
          </w:rPr>
          <w:t>107</w:t>
        </w:r>
        <w:r w:rsidR="00B7625C">
          <w:rPr>
            <w:noProof/>
            <w:webHidden/>
          </w:rPr>
          <w:fldChar w:fldCharType="end"/>
        </w:r>
      </w:hyperlink>
    </w:p>
    <w:p w14:paraId="574B1EA7" w14:textId="1AC90AFE" w:rsidR="00B7625C" w:rsidRDefault="002F4506">
      <w:pPr>
        <w:pStyle w:val="Inhopg3"/>
        <w:rPr>
          <w:rFonts w:eastAsiaTheme="minorEastAsia"/>
          <w:noProof/>
          <w:lang w:eastAsia="nl-BE"/>
        </w:rPr>
      </w:pPr>
      <w:hyperlink w:anchor="_Toc107210928" w:history="1">
        <w:r w:rsidR="00B7625C" w:rsidRPr="007C4372">
          <w:rPr>
            <w:rStyle w:val="Hyperlink"/>
            <w:noProof/>
          </w:rPr>
          <w:t>7.</w:t>
        </w:r>
        <w:r w:rsidR="00B7625C">
          <w:rPr>
            <w:rFonts w:eastAsiaTheme="minorEastAsia"/>
            <w:noProof/>
            <w:lang w:eastAsia="nl-BE"/>
          </w:rPr>
          <w:tab/>
        </w:r>
        <w:r w:rsidR="00B7625C" w:rsidRPr="007C4372">
          <w:rPr>
            <w:rStyle w:val="Hyperlink"/>
            <w:noProof/>
          </w:rPr>
          <w:t>De veralgemeende aangifteverplichting</w:t>
        </w:r>
        <w:r w:rsidR="00B7625C">
          <w:rPr>
            <w:noProof/>
            <w:webHidden/>
          </w:rPr>
          <w:tab/>
        </w:r>
        <w:r w:rsidR="00B7625C">
          <w:rPr>
            <w:noProof/>
            <w:webHidden/>
          </w:rPr>
          <w:fldChar w:fldCharType="begin"/>
        </w:r>
        <w:r w:rsidR="00B7625C">
          <w:rPr>
            <w:noProof/>
            <w:webHidden/>
          </w:rPr>
          <w:instrText xml:space="preserve"> PAGEREF _Toc107210928 \h </w:instrText>
        </w:r>
        <w:r w:rsidR="00B7625C">
          <w:rPr>
            <w:noProof/>
            <w:webHidden/>
          </w:rPr>
        </w:r>
        <w:r w:rsidR="00B7625C">
          <w:rPr>
            <w:noProof/>
            <w:webHidden/>
          </w:rPr>
          <w:fldChar w:fldCharType="separate"/>
        </w:r>
        <w:r w:rsidR="00B7625C">
          <w:rPr>
            <w:noProof/>
            <w:webHidden/>
          </w:rPr>
          <w:t>109</w:t>
        </w:r>
        <w:r w:rsidR="00B7625C">
          <w:rPr>
            <w:noProof/>
            <w:webHidden/>
          </w:rPr>
          <w:fldChar w:fldCharType="end"/>
        </w:r>
      </w:hyperlink>
    </w:p>
    <w:p w14:paraId="77E3E2C0" w14:textId="3FF08D07" w:rsidR="00B7625C" w:rsidRDefault="002F4506">
      <w:pPr>
        <w:pStyle w:val="Inhopg2"/>
        <w:rPr>
          <w:rFonts w:eastAsiaTheme="minorEastAsia"/>
          <w:noProof/>
          <w:lang w:eastAsia="nl-BE"/>
        </w:rPr>
      </w:pPr>
      <w:hyperlink w:anchor="_Toc107210929" w:history="1">
        <w:r w:rsidR="00B7625C" w:rsidRPr="007C4372">
          <w:rPr>
            <w:rStyle w:val="Hyperlink"/>
            <w:noProof/>
          </w:rPr>
          <w:t>C.</w:t>
        </w:r>
        <w:r w:rsidR="00B7625C">
          <w:rPr>
            <w:rFonts w:eastAsiaTheme="minorEastAsia"/>
            <w:noProof/>
            <w:lang w:eastAsia="nl-BE"/>
          </w:rPr>
          <w:tab/>
        </w:r>
        <w:r w:rsidR="00B7625C" w:rsidRPr="007C4372">
          <w:rPr>
            <w:rStyle w:val="Hyperlink"/>
            <w:noProof/>
          </w:rPr>
          <w:t>Vruchten uit onroerende goederen</w:t>
        </w:r>
        <w:r w:rsidR="00B7625C">
          <w:rPr>
            <w:noProof/>
            <w:webHidden/>
          </w:rPr>
          <w:tab/>
        </w:r>
        <w:r w:rsidR="00B7625C">
          <w:rPr>
            <w:noProof/>
            <w:webHidden/>
          </w:rPr>
          <w:fldChar w:fldCharType="begin"/>
        </w:r>
        <w:r w:rsidR="00B7625C">
          <w:rPr>
            <w:noProof/>
            <w:webHidden/>
          </w:rPr>
          <w:instrText xml:space="preserve"> PAGEREF _Toc107210929 \h </w:instrText>
        </w:r>
        <w:r w:rsidR="00B7625C">
          <w:rPr>
            <w:noProof/>
            <w:webHidden/>
          </w:rPr>
        </w:r>
        <w:r w:rsidR="00B7625C">
          <w:rPr>
            <w:noProof/>
            <w:webHidden/>
          </w:rPr>
          <w:fldChar w:fldCharType="separate"/>
        </w:r>
        <w:r w:rsidR="00B7625C">
          <w:rPr>
            <w:noProof/>
            <w:webHidden/>
          </w:rPr>
          <w:t>110</w:t>
        </w:r>
        <w:r w:rsidR="00B7625C">
          <w:rPr>
            <w:noProof/>
            <w:webHidden/>
          </w:rPr>
          <w:fldChar w:fldCharType="end"/>
        </w:r>
      </w:hyperlink>
    </w:p>
    <w:p w14:paraId="7C7EEA24" w14:textId="4CC21234" w:rsidR="00B7625C" w:rsidRDefault="002F4506">
      <w:pPr>
        <w:pStyle w:val="Inhopg3"/>
        <w:rPr>
          <w:rFonts w:eastAsiaTheme="minorEastAsia"/>
          <w:noProof/>
          <w:lang w:eastAsia="nl-BE"/>
        </w:rPr>
      </w:pPr>
      <w:hyperlink w:anchor="_Toc107210930" w:history="1">
        <w:r w:rsidR="00B7625C" w:rsidRPr="007C4372">
          <w:rPr>
            <w:rStyle w:val="Hyperlink"/>
            <w:noProof/>
          </w:rPr>
          <w:t>1.</w:t>
        </w:r>
        <w:r w:rsidR="00B7625C">
          <w:rPr>
            <w:rFonts w:eastAsiaTheme="minorEastAsia"/>
            <w:noProof/>
            <w:lang w:eastAsia="nl-BE"/>
          </w:rPr>
          <w:tab/>
        </w:r>
        <w:r w:rsidR="00B7625C" w:rsidRPr="007C4372">
          <w:rPr>
            <w:rStyle w:val="Hyperlink"/>
            <w:noProof/>
          </w:rPr>
          <w:t>De omschrijving van het belastbaar inkomen</w:t>
        </w:r>
        <w:r w:rsidR="00B7625C">
          <w:rPr>
            <w:noProof/>
            <w:webHidden/>
          </w:rPr>
          <w:tab/>
        </w:r>
        <w:r w:rsidR="00B7625C">
          <w:rPr>
            <w:noProof/>
            <w:webHidden/>
          </w:rPr>
          <w:fldChar w:fldCharType="begin"/>
        </w:r>
        <w:r w:rsidR="00B7625C">
          <w:rPr>
            <w:noProof/>
            <w:webHidden/>
          </w:rPr>
          <w:instrText xml:space="preserve"> PAGEREF _Toc107210930 \h </w:instrText>
        </w:r>
        <w:r w:rsidR="00B7625C">
          <w:rPr>
            <w:noProof/>
            <w:webHidden/>
          </w:rPr>
        </w:r>
        <w:r w:rsidR="00B7625C">
          <w:rPr>
            <w:noProof/>
            <w:webHidden/>
          </w:rPr>
          <w:fldChar w:fldCharType="separate"/>
        </w:r>
        <w:r w:rsidR="00B7625C">
          <w:rPr>
            <w:noProof/>
            <w:webHidden/>
          </w:rPr>
          <w:t>110</w:t>
        </w:r>
        <w:r w:rsidR="00B7625C">
          <w:rPr>
            <w:noProof/>
            <w:webHidden/>
          </w:rPr>
          <w:fldChar w:fldCharType="end"/>
        </w:r>
      </w:hyperlink>
    </w:p>
    <w:p w14:paraId="2BE953CD" w14:textId="13964E2E" w:rsidR="00B7625C" w:rsidRDefault="002F4506">
      <w:pPr>
        <w:pStyle w:val="Inhopg3"/>
        <w:rPr>
          <w:rFonts w:eastAsiaTheme="minorEastAsia"/>
          <w:noProof/>
          <w:lang w:eastAsia="nl-BE"/>
        </w:rPr>
      </w:pPr>
      <w:hyperlink w:anchor="_Toc107210931" w:history="1">
        <w:r w:rsidR="00B7625C" w:rsidRPr="007C4372">
          <w:rPr>
            <w:rStyle w:val="Hyperlink"/>
            <w:noProof/>
          </w:rPr>
          <w:t>2.</w:t>
        </w:r>
        <w:r w:rsidR="00B7625C">
          <w:rPr>
            <w:rFonts w:eastAsiaTheme="minorEastAsia"/>
            <w:noProof/>
            <w:lang w:eastAsia="nl-BE"/>
          </w:rPr>
          <w:tab/>
        </w:r>
        <w:r w:rsidR="00B7625C" w:rsidRPr="007C4372">
          <w:rPr>
            <w:rStyle w:val="Hyperlink"/>
            <w:noProof/>
          </w:rPr>
          <w:t>De bepaling van de netto-belastbare grondslag</w:t>
        </w:r>
        <w:r w:rsidR="00B7625C">
          <w:rPr>
            <w:noProof/>
            <w:webHidden/>
          </w:rPr>
          <w:tab/>
        </w:r>
        <w:r w:rsidR="00B7625C">
          <w:rPr>
            <w:noProof/>
            <w:webHidden/>
          </w:rPr>
          <w:fldChar w:fldCharType="begin"/>
        </w:r>
        <w:r w:rsidR="00B7625C">
          <w:rPr>
            <w:noProof/>
            <w:webHidden/>
          </w:rPr>
          <w:instrText xml:space="preserve"> PAGEREF _Toc107210931 \h </w:instrText>
        </w:r>
        <w:r w:rsidR="00B7625C">
          <w:rPr>
            <w:noProof/>
            <w:webHidden/>
          </w:rPr>
        </w:r>
        <w:r w:rsidR="00B7625C">
          <w:rPr>
            <w:noProof/>
            <w:webHidden/>
          </w:rPr>
          <w:fldChar w:fldCharType="separate"/>
        </w:r>
        <w:r w:rsidR="00B7625C">
          <w:rPr>
            <w:noProof/>
            <w:webHidden/>
          </w:rPr>
          <w:t>112</w:t>
        </w:r>
        <w:r w:rsidR="00B7625C">
          <w:rPr>
            <w:noProof/>
            <w:webHidden/>
          </w:rPr>
          <w:fldChar w:fldCharType="end"/>
        </w:r>
      </w:hyperlink>
    </w:p>
    <w:p w14:paraId="3140A887" w14:textId="354A99BF" w:rsidR="00B7625C" w:rsidRDefault="002F4506">
      <w:pPr>
        <w:pStyle w:val="Inhopg3"/>
        <w:rPr>
          <w:rFonts w:eastAsiaTheme="minorEastAsia"/>
          <w:noProof/>
          <w:lang w:eastAsia="nl-BE"/>
        </w:rPr>
      </w:pPr>
      <w:hyperlink w:anchor="_Toc107210932" w:history="1">
        <w:r w:rsidR="00B7625C" w:rsidRPr="007C4372">
          <w:rPr>
            <w:rStyle w:val="Hyperlink"/>
            <w:noProof/>
          </w:rPr>
          <w:t>3.</w:t>
        </w:r>
        <w:r w:rsidR="00B7625C">
          <w:rPr>
            <w:rFonts w:eastAsiaTheme="minorEastAsia"/>
            <w:noProof/>
            <w:lang w:eastAsia="nl-BE"/>
          </w:rPr>
          <w:tab/>
        </w:r>
        <w:r w:rsidR="00B7625C" w:rsidRPr="007C4372">
          <w:rPr>
            <w:rStyle w:val="Hyperlink"/>
            <w:noProof/>
          </w:rPr>
          <w:t>Vrijstellingen</w:t>
        </w:r>
        <w:r w:rsidR="00B7625C">
          <w:rPr>
            <w:noProof/>
            <w:webHidden/>
          </w:rPr>
          <w:tab/>
        </w:r>
        <w:r w:rsidR="00B7625C">
          <w:rPr>
            <w:noProof/>
            <w:webHidden/>
          </w:rPr>
          <w:fldChar w:fldCharType="begin"/>
        </w:r>
        <w:r w:rsidR="00B7625C">
          <w:rPr>
            <w:noProof/>
            <w:webHidden/>
          </w:rPr>
          <w:instrText xml:space="preserve"> PAGEREF _Toc107210932 \h </w:instrText>
        </w:r>
        <w:r w:rsidR="00B7625C">
          <w:rPr>
            <w:noProof/>
            <w:webHidden/>
          </w:rPr>
        </w:r>
        <w:r w:rsidR="00B7625C">
          <w:rPr>
            <w:noProof/>
            <w:webHidden/>
          </w:rPr>
          <w:fldChar w:fldCharType="separate"/>
        </w:r>
        <w:r w:rsidR="00B7625C">
          <w:rPr>
            <w:noProof/>
            <w:webHidden/>
          </w:rPr>
          <w:t>113</w:t>
        </w:r>
        <w:r w:rsidR="00B7625C">
          <w:rPr>
            <w:noProof/>
            <w:webHidden/>
          </w:rPr>
          <w:fldChar w:fldCharType="end"/>
        </w:r>
      </w:hyperlink>
    </w:p>
    <w:p w14:paraId="188E20B5" w14:textId="04483598" w:rsidR="00B7625C" w:rsidRDefault="002F4506">
      <w:pPr>
        <w:pStyle w:val="Inhopg3"/>
        <w:rPr>
          <w:rFonts w:eastAsiaTheme="minorEastAsia"/>
          <w:noProof/>
          <w:lang w:eastAsia="nl-BE"/>
        </w:rPr>
      </w:pPr>
      <w:hyperlink w:anchor="_Toc107210933" w:history="1">
        <w:r w:rsidR="00B7625C" w:rsidRPr="007C4372">
          <w:rPr>
            <w:rStyle w:val="Hyperlink"/>
            <w:noProof/>
          </w:rPr>
          <w:t>4.</w:t>
        </w:r>
        <w:r w:rsidR="00B7625C">
          <w:rPr>
            <w:rFonts w:eastAsiaTheme="minorEastAsia"/>
            <w:noProof/>
            <w:lang w:eastAsia="nl-BE"/>
          </w:rPr>
          <w:tab/>
        </w:r>
        <w:r w:rsidR="00B7625C" w:rsidRPr="007C4372">
          <w:rPr>
            <w:rStyle w:val="Hyperlink"/>
            <w:noProof/>
          </w:rPr>
          <w:t>Tarief</w:t>
        </w:r>
        <w:r w:rsidR="00B7625C">
          <w:rPr>
            <w:noProof/>
            <w:webHidden/>
          </w:rPr>
          <w:tab/>
        </w:r>
        <w:r w:rsidR="00B7625C">
          <w:rPr>
            <w:noProof/>
            <w:webHidden/>
          </w:rPr>
          <w:fldChar w:fldCharType="begin"/>
        </w:r>
        <w:r w:rsidR="00B7625C">
          <w:rPr>
            <w:noProof/>
            <w:webHidden/>
          </w:rPr>
          <w:instrText xml:space="preserve"> PAGEREF _Toc107210933 \h </w:instrText>
        </w:r>
        <w:r w:rsidR="00B7625C">
          <w:rPr>
            <w:noProof/>
            <w:webHidden/>
          </w:rPr>
        </w:r>
        <w:r w:rsidR="00B7625C">
          <w:rPr>
            <w:noProof/>
            <w:webHidden/>
          </w:rPr>
          <w:fldChar w:fldCharType="separate"/>
        </w:r>
        <w:r w:rsidR="00B7625C">
          <w:rPr>
            <w:noProof/>
            <w:webHidden/>
          </w:rPr>
          <w:t>114</w:t>
        </w:r>
        <w:r w:rsidR="00B7625C">
          <w:rPr>
            <w:noProof/>
            <w:webHidden/>
          </w:rPr>
          <w:fldChar w:fldCharType="end"/>
        </w:r>
      </w:hyperlink>
    </w:p>
    <w:p w14:paraId="1F89752E" w14:textId="74EF7A10" w:rsidR="00B7625C" w:rsidRDefault="002F4506">
      <w:pPr>
        <w:pStyle w:val="Inhopg3"/>
        <w:rPr>
          <w:rFonts w:eastAsiaTheme="minorEastAsia"/>
          <w:noProof/>
          <w:lang w:eastAsia="nl-BE"/>
        </w:rPr>
      </w:pPr>
      <w:hyperlink w:anchor="_Toc107210934" w:history="1">
        <w:r w:rsidR="00B7625C" w:rsidRPr="007C4372">
          <w:rPr>
            <w:rStyle w:val="Hyperlink"/>
            <w:noProof/>
          </w:rPr>
          <w:t>5.</w:t>
        </w:r>
        <w:r w:rsidR="00B7625C">
          <w:rPr>
            <w:rFonts w:eastAsiaTheme="minorEastAsia"/>
            <w:noProof/>
            <w:lang w:eastAsia="nl-BE"/>
          </w:rPr>
          <w:tab/>
        </w:r>
        <w:r w:rsidR="00B7625C" w:rsidRPr="007C4372">
          <w:rPr>
            <w:rStyle w:val="Hyperlink"/>
            <w:noProof/>
          </w:rPr>
          <w:t>Inning</w:t>
        </w:r>
        <w:r w:rsidR="00B7625C">
          <w:rPr>
            <w:noProof/>
            <w:webHidden/>
          </w:rPr>
          <w:tab/>
        </w:r>
        <w:r w:rsidR="00B7625C">
          <w:rPr>
            <w:noProof/>
            <w:webHidden/>
          </w:rPr>
          <w:fldChar w:fldCharType="begin"/>
        </w:r>
        <w:r w:rsidR="00B7625C">
          <w:rPr>
            <w:noProof/>
            <w:webHidden/>
          </w:rPr>
          <w:instrText xml:space="preserve"> PAGEREF _Toc107210934 \h </w:instrText>
        </w:r>
        <w:r w:rsidR="00B7625C">
          <w:rPr>
            <w:noProof/>
            <w:webHidden/>
          </w:rPr>
        </w:r>
        <w:r w:rsidR="00B7625C">
          <w:rPr>
            <w:noProof/>
            <w:webHidden/>
          </w:rPr>
          <w:fldChar w:fldCharType="separate"/>
        </w:r>
        <w:r w:rsidR="00B7625C">
          <w:rPr>
            <w:noProof/>
            <w:webHidden/>
          </w:rPr>
          <w:t>114</w:t>
        </w:r>
        <w:r w:rsidR="00B7625C">
          <w:rPr>
            <w:noProof/>
            <w:webHidden/>
          </w:rPr>
          <w:fldChar w:fldCharType="end"/>
        </w:r>
      </w:hyperlink>
    </w:p>
    <w:p w14:paraId="77612CBD" w14:textId="1C85B9BD" w:rsidR="00B7625C" w:rsidRDefault="002F4506">
      <w:pPr>
        <w:pStyle w:val="Inhopg2"/>
        <w:rPr>
          <w:rFonts w:eastAsiaTheme="minorEastAsia"/>
          <w:noProof/>
          <w:lang w:eastAsia="nl-BE"/>
        </w:rPr>
      </w:pPr>
      <w:hyperlink w:anchor="_Toc107210935" w:history="1">
        <w:r w:rsidR="00B7625C" w:rsidRPr="007C4372">
          <w:rPr>
            <w:rStyle w:val="Hyperlink"/>
            <w:noProof/>
          </w:rPr>
          <w:t>D.</w:t>
        </w:r>
        <w:r w:rsidR="00B7625C">
          <w:rPr>
            <w:rFonts w:eastAsiaTheme="minorEastAsia"/>
            <w:noProof/>
            <w:lang w:eastAsia="nl-BE"/>
          </w:rPr>
          <w:tab/>
        </w:r>
        <w:r w:rsidR="00B7625C" w:rsidRPr="007C4372">
          <w:rPr>
            <w:rStyle w:val="Hyperlink"/>
            <w:noProof/>
          </w:rPr>
          <w:t>Vruchten uit roerende goederen</w:t>
        </w:r>
        <w:r w:rsidR="00B7625C">
          <w:rPr>
            <w:noProof/>
            <w:webHidden/>
          </w:rPr>
          <w:tab/>
        </w:r>
        <w:r w:rsidR="00B7625C">
          <w:rPr>
            <w:noProof/>
            <w:webHidden/>
          </w:rPr>
          <w:fldChar w:fldCharType="begin"/>
        </w:r>
        <w:r w:rsidR="00B7625C">
          <w:rPr>
            <w:noProof/>
            <w:webHidden/>
          </w:rPr>
          <w:instrText xml:space="preserve"> PAGEREF _Toc107210935 \h </w:instrText>
        </w:r>
        <w:r w:rsidR="00B7625C">
          <w:rPr>
            <w:noProof/>
            <w:webHidden/>
          </w:rPr>
        </w:r>
        <w:r w:rsidR="00B7625C">
          <w:rPr>
            <w:noProof/>
            <w:webHidden/>
          </w:rPr>
          <w:fldChar w:fldCharType="separate"/>
        </w:r>
        <w:r w:rsidR="00B7625C">
          <w:rPr>
            <w:noProof/>
            <w:webHidden/>
          </w:rPr>
          <w:t>116</w:t>
        </w:r>
        <w:r w:rsidR="00B7625C">
          <w:rPr>
            <w:noProof/>
            <w:webHidden/>
          </w:rPr>
          <w:fldChar w:fldCharType="end"/>
        </w:r>
      </w:hyperlink>
    </w:p>
    <w:p w14:paraId="65FE565A" w14:textId="105B24EC" w:rsidR="00B7625C" w:rsidRDefault="002F4506">
      <w:pPr>
        <w:pStyle w:val="Inhopg3"/>
        <w:rPr>
          <w:rFonts w:eastAsiaTheme="minorEastAsia"/>
          <w:noProof/>
          <w:lang w:eastAsia="nl-BE"/>
        </w:rPr>
      </w:pPr>
      <w:hyperlink w:anchor="_Toc107210936" w:history="1">
        <w:r w:rsidR="00B7625C" w:rsidRPr="007C4372">
          <w:rPr>
            <w:rStyle w:val="Hyperlink"/>
            <w:noProof/>
          </w:rPr>
          <w:t>1.</w:t>
        </w:r>
        <w:r w:rsidR="00B7625C">
          <w:rPr>
            <w:rFonts w:eastAsiaTheme="minorEastAsia"/>
            <w:noProof/>
            <w:lang w:eastAsia="nl-BE"/>
          </w:rPr>
          <w:tab/>
        </w:r>
        <w:r w:rsidR="00B7625C" w:rsidRPr="007C4372">
          <w:rPr>
            <w:rStyle w:val="Hyperlink"/>
            <w:noProof/>
          </w:rPr>
          <w:t>Omschrijving van het belastbaar inkomen</w:t>
        </w:r>
        <w:r w:rsidR="00B7625C">
          <w:rPr>
            <w:noProof/>
            <w:webHidden/>
          </w:rPr>
          <w:tab/>
        </w:r>
        <w:r w:rsidR="00B7625C">
          <w:rPr>
            <w:noProof/>
            <w:webHidden/>
          </w:rPr>
          <w:fldChar w:fldCharType="begin"/>
        </w:r>
        <w:r w:rsidR="00B7625C">
          <w:rPr>
            <w:noProof/>
            <w:webHidden/>
          </w:rPr>
          <w:instrText xml:space="preserve"> PAGEREF _Toc107210936 \h </w:instrText>
        </w:r>
        <w:r w:rsidR="00B7625C">
          <w:rPr>
            <w:noProof/>
            <w:webHidden/>
          </w:rPr>
        </w:r>
        <w:r w:rsidR="00B7625C">
          <w:rPr>
            <w:noProof/>
            <w:webHidden/>
          </w:rPr>
          <w:fldChar w:fldCharType="separate"/>
        </w:r>
        <w:r w:rsidR="00B7625C">
          <w:rPr>
            <w:noProof/>
            <w:webHidden/>
          </w:rPr>
          <w:t>116</w:t>
        </w:r>
        <w:r w:rsidR="00B7625C">
          <w:rPr>
            <w:noProof/>
            <w:webHidden/>
          </w:rPr>
          <w:fldChar w:fldCharType="end"/>
        </w:r>
      </w:hyperlink>
    </w:p>
    <w:p w14:paraId="6943B919" w14:textId="36F61CC2" w:rsidR="00B7625C" w:rsidRDefault="002F4506">
      <w:pPr>
        <w:pStyle w:val="Inhopg3"/>
        <w:rPr>
          <w:rFonts w:eastAsiaTheme="minorEastAsia"/>
          <w:noProof/>
          <w:lang w:eastAsia="nl-BE"/>
        </w:rPr>
      </w:pPr>
      <w:hyperlink w:anchor="_Toc107210937" w:history="1">
        <w:r w:rsidR="00B7625C" w:rsidRPr="007C4372">
          <w:rPr>
            <w:rStyle w:val="Hyperlink"/>
            <w:noProof/>
          </w:rPr>
          <w:t>2.</w:t>
        </w:r>
        <w:r w:rsidR="00B7625C">
          <w:rPr>
            <w:rFonts w:eastAsiaTheme="minorEastAsia"/>
            <w:noProof/>
            <w:lang w:eastAsia="nl-BE"/>
          </w:rPr>
          <w:tab/>
        </w:r>
        <w:r w:rsidR="00B7625C" w:rsidRPr="007C4372">
          <w:rPr>
            <w:rStyle w:val="Hyperlink"/>
            <w:noProof/>
          </w:rPr>
          <w:t>De bepaling van de netto-belastbare grondslag</w:t>
        </w:r>
        <w:r w:rsidR="00B7625C">
          <w:rPr>
            <w:noProof/>
            <w:webHidden/>
          </w:rPr>
          <w:tab/>
        </w:r>
        <w:r w:rsidR="00B7625C">
          <w:rPr>
            <w:noProof/>
            <w:webHidden/>
          </w:rPr>
          <w:fldChar w:fldCharType="begin"/>
        </w:r>
        <w:r w:rsidR="00B7625C">
          <w:rPr>
            <w:noProof/>
            <w:webHidden/>
          </w:rPr>
          <w:instrText xml:space="preserve"> PAGEREF _Toc107210937 \h </w:instrText>
        </w:r>
        <w:r w:rsidR="00B7625C">
          <w:rPr>
            <w:noProof/>
            <w:webHidden/>
          </w:rPr>
        </w:r>
        <w:r w:rsidR="00B7625C">
          <w:rPr>
            <w:noProof/>
            <w:webHidden/>
          </w:rPr>
          <w:fldChar w:fldCharType="separate"/>
        </w:r>
        <w:r w:rsidR="00B7625C">
          <w:rPr>
            <w:noProof/>
            <w:webHidden/>
          </w:rPr>
          <w:t>116</w:t>
        </w:r>
        <w:r w:rsidR="00B7625C">
          <w:rPr>
            <w:noProof/>
            <w:webHidden/>
          </w:rPr>
          <w:fldChar w:fldCharType="end"/>
        </w:r>
      </w:hyperlink>
    </w:p>
    <w:p w14:paraId="6620DE54" w14:textId="34B30DA7" w:rsidR="00B7625C" w:rsidRDefault="002F4506">
      <w:pPr>
        <w:pStyle w:val="Inhopg3"/>
        <w:rPr>
          <w:rFonts w:eastAsiaTheme="minorEastAsia"/>
          <w:noProof/>
          <w:lang w:eastAsia="nl-BE"/>
        </w:rPr>
      </w:pPr>
      <w:hyperlink w:anchor="_Toc107210938" w:history="1">
        <w:r w:rsidR="00B7625C" w:rsidRPr="007C4372">
          <w:rPr>
            <w:rStyle w:val="Hyperlink"/>
            <w:noProof/>
          </w:rPr>
          <w:t>3.</w:t>
        </w:r>
        <w:r w:rsidR="00B7625C">
          <w:rPr>
            <w:rFonts w:eastAsiaTheme="minorEastAsia"/>
            <w:noProof/>
            <w:lang w:eastAsia="nl-BE"/>
          </w:rPr>
          <w:tab/>
        </w:r>
        <w:r w:rsidR="00B7625C" w:rsidRPr="007C4372">
          <w:rPr>
            <w:rStyle w:val="Hyperlink"/>
            <w:noProof/>
          </w:rPr>
          <w:t>Vrijstellingen</w:t>
        </w:r>
        <w:r w:rsidR="00B7625C">
          <w:rPr>
            <w:noProof/>
            <w:webHidden/>
          </w:rPr>
          <w:tab/>
        </w:r>
        <w:r w:rsidR="00B7625C">
          <w:rPr>
            <w:noProof/>
            <w:webHidden/>
          </w:rPr>
          <w:fldChar w:fldCharType="begin"/>
        </w:r>
        <w:r w:rsidR="00B7625C">
          <w:rPr>
            <w:noProof/>
            <w:webHidden/>
          </w:rPr>
          <w:instrText xml:space="preserve"> PAGEREF _Toc107210938 \h </w:instrText>
        </w:r>
        <w:r w:rsidR="00B7625C">
          <w:rPr>
            <w:noProof/>
            <w:webHidden/>
          </w:rPr>
        </w:r>
        <w:r w:rsidR="00B7625C">
          <w:rPr>
            <w:noProof/>
            <w:webHidden/>
          </w:rPr>
          <w:fldChar w:fldCharType="separate"/>
        </w:r>
        <w:r w:rsidR="00B7625C">
          <w:rPr>
            <w:noProof/>
            <w:webHidden/>
          </w:rPr>
          <w:t>117</w:t>
        </w:r>
        <w:r w:rsidR="00B7625C">
          <w:rPr>
            <w:noProof/>
            <w:webHidden/>
          </w:rPr>
          <w:fldChar w:fldCharType="end"/>
        </w:r>
      </w:hyperlink>
    </w:p>
    <w:p w14:paraId="15FE2C16" w14:textId="19C3D7E6" w:rsidR="00B7625C" w:rsidRDefault="002F4506">
      <w:pPr>
        <w:pStyle w:val="Inhopg3"/>
        <w:rPr>
          <w:rFonts w:eastAsiaTheme="minorEastAsia"/>
          <w:noProof/>
          <w:lang w:eastAsia="nl-BE"/>
        </w:rPr>
      </w:pPr>
      <w:hyperlink w:anchor="_Toc107210939" w:history="1">
        <w:r w:rsidR="00B7625C" w:rsidRPr="007C4372">
          <w:rPr>
            <w:rStyle w:val="Hyperlink"/>
            <w:noProof/>
          </w:rPr>
          <w:t>4.</w:t>
        </w:r>
        <w:r w:rsidR="00B7625C">
          <w:rPr>
            <w:rFonts w:eastAsiaTheme="minorEastAsia"/>
            <w:noProof/>
            <w:lang w:eastAsia="nl-BE"/>
          </w:rPr>
          <w:tab/>
        </w:r>
        <w:r w:rsidR="00B7625C" w:rsidRPr="007C4372">
          <w:rPr>
            <w:rStyle w:val="Hyperlink"/>
            <w:noProof/>
          </w:rPr>
          <w:t>Tarief</w:t>
        </w:r>
        <w:r w:rsidR="00B7625C">
          <w:rPr>
            <w:noProof/>
            <w:webHidden/>
          </w:rPr>
          <w:tab/>
        </w:r>
        <w:r w:rsidR="00B7625C">
          <w:rPr>
            <w:noProof/>
            <w:webHidden/>
          </w:rPr>
          <w:fldChar w:fldCharType="begin"/>
        </w:r>
        <w:r w:rsidR="00B7625C">
          <w:rPr>
            <w:noProof/>
            <w:webHidden/>
          </w:rPr>
          <w:instrText xml:space="preserve"> PAGEREF _Toc107210939 \h </w:instrText>
        </w:r>
        <w:r w:rsidR="00B7625C">
          <w:rPr>
            <w:noProof/>
            <w:webHidden/>
          </w:rPr>
        </w:r>
        <w:r w:rsidR="00B7625C">
          <w:rPr>
            <w:noProof/>
            <w:webHidden/>
          </w:rPr>
          <w:fldChar w:fldCharType="separate"/>
        </w:r>
        <w:r w:rsidR="00B7625C">
          <w:rPr>
            <w:noProof/>
            <w:webHidden/>
          </w:rPr>
          <w:t>118</w:t>
        </w:r>
        <w:r w:rsidR="00B7625C">
          <w:rPr>
            <w:noProof/>
            <w:webHidden/>
          </w:rPr>
          <w:fldChar w:fldCharType="end"/>
        </w:r>
      </w:hyperlink>
    </w:p>
    <w:p w14:paraId="52EE0D3A" w14:textId="28A8875A" w:rsidR="00B7625C" w:rsidRDefault="002F4506">
      <w:pPr>
        <w:pStyle w:val="Inhopg3"/>
        <w:rPr>
          <w:rFonts w:eastAsiaTheme="minorEastAsia"/>
          <w:noProof/>
          <w:lang w:eastAsia="nl-BE"/>
        </w:rPr>
      </w:pPr>
      <w:hyperlink w:anchor="_Toc107210940" w:history="1">
        <w:r w:rsidR="00B7625C" w:rsidRPr="007C4372">
          <w:rPr>
            <w:rStyle w:val="Hyperlink"/>
            <w:noProof/>
          </w:rPr>
          <w:t>5.</w:t>
        </w:r>
        <w:r w:rsidR="00B7625C">
          <w:rPr>
            <w:rFonts w:eastAsiaTheme="minorEastAsia"/>
            <w:noProof/>
            <w:lang w:eastAsia="nl-BE"/>
          </w:rPr>
          <w:tab/>
        </w:r>
        <w:r w:rsidR="00B7625C" w:rsidRPr="007C4372">
          <w:rPr>
            <w:rStyle w:val="Hyperlink"/>
            <w:noProof/>
          </w:rPr>
          <w:t>Inning</w:t>
        </w:r>
        <w:r w:rsidR="00B7625C">
          <w:rPr>
            <w:noProof/>
            <w:webHidden/>
          </w:rPr>
          <w:tab/>
        </w:r>
        <w:r w:rsidR="00B7625C">
          <w:rPr>
            <w:noProof/>
            <w:webHidden/>
          </w:rPr>
          <w:fldChar w:fldCharType="begin"/>
        </w:r>
        <w:r w:rsidR="00B7625C">
          <w:rPr>
            <w:noProof/>
            <w:webHidden/>
          </w:rPr>
          <w:instrText xml:space="preserve"> PAGEREF _Toc107210940 \h </w:instrText>
        </w:r>
        <w:r w:rsidR="00B7625C">
          <w:rPr>
            <w:noProof/>
            <w:webHidden/>
          </w:rPr>
        </w:r>
        <w:r w:rsidR="00B7625C">
          <w:rPr>
            <w:noProof/>
            <w:webHidden/>
          </w:rPr>
          <w:fldChar w:fldCharType="separate"/>
        </w:r>
        <w:r w:rsidR="00B7625C">
          <w:rPr>
            <w:noProof/>
            <w:webHidden/>
          </w:rPr>
          <w:t>118</w:t>
        </w:r>
        <w:r w:rsidR="00B7625C">
          <w:rPr>
            <w:noProof/>
            <w:webHidden/>
          </w:rPr>
          <w:fldChar w:fldCharType="end"/>
        </w:r>
      </w:hyperlink>
    </w:p>
    <w:p w14:paraId="117E3D9E" w14:textId="3EA9A4A4" w:rsidR="00B7625C" w:rsidRDefault="002F4506">
      <w:pPr>
        <w:pStyle w:val="Inhopg2"/>
        <w:rPr>
          <w:rFonts w:eastAsiaTheme="minorEastAsia"/>
          <w:noProof/>
          <w:lang w:eastAsia="nl-BE"/>
        </w:rPr>
      </w:pPr>
      <w:hyperlink w:anchor="_Toc107210941" w:history="1">
        <w:r w:rsidR="00B7625C" w:rsidRPr="007C4372">
          <w:rPr>
            <w:rStyle w:val="Hyperlink"/>
            <w:noProof/>
          </w:rPr>
          <w:t>E.</w:t>
        </w:r>
        <w:r w:rsidR="00B7625C">
          <w:rPr>
            <w:rFonts w:eastAsiaTheme="minorEastAsia"/>
            <w:noProof/>
            <w:lang w:eastAsia="nl-BE"/>
          </w:rPr>
          <w:tab/>
        </w:r>
        <w:r w:rsidR="00B7625C" w:rsidRPr="007C4372">
          <w:rPr>
            <w:rStyle w:val="Hyperlink"/>
            <w:noProof/>
          </w:rPr>
          <w:t>Inkomsten uit overdracht – vestiging</w:t>
        </w:r>
        <w:r w:rsidR="00B7625C">
          <w:rPr>
            <w:noProof/>
            <w:webHidden/>
          </w:rPr>
          <w:tab/>
        </w:r>
        <w:r w:rsidR="00B7625C">
          <w:rPr>
            <w:noProof/>
            <w:webHidden/>
          </w:rPr>
          <w:fldChar w:fldCharType="begin"/>
        </w:r>
        <w:r w:rsidR="00B7625C">
          <w:rPr>
            <w:noProof/>
            <w:webHidden/>
          </w:rPr>
          <w:instrText xml:space="preserve"> PAGEREF _Toc107210941 \h </w:instrText>
        </w:r>
        <w:r w:rsidR="00B7625C">
          <w:rPr>
            <w:noProof/>
            <w:webHidden/>
          </w:rPr>
        </w:r>
        <w:r w:rsidR="00B7625C">
          <w:rPr>
            <w:noProof/>
            <w:webHidden/>
          </w:rPr>
          <w:fldChar w:fldCharType="separate"/>
        </w:r>
        <w:r w:rsidR="00B7625C">
          <w:rPr>
            <w:noProof/>
            <w:webHidden/>
          </w:rPr>
          <w:t>119</w:t>
        </w:r>
        <w:r w:rsidR="00B7625C">
          <w:rPr>
            <w:noProof/>
            <w:webHidden/>
          </w:rPr>
          <w:fldChar w:fldCharType="end"/>
        </w:r>
      </w:hyperlink>
    </w:p>
    <w:p w14:paraId="330E9E2E" w14:textId="51825672" w:rsidR="00B7625C" w:rsidRDefault="002F4506">
      <w:pPr>
        <w:pStyle w:val="Inhopg3"/>
        <w:rPr>
          <w:rFonts w:eastAsiaTheme="minorEastAsia"/>
          <w:noProof/>
          <w:lang w:eastAsia="nl-BE"/>
        </w:rPr>
      </w:pPr>
      <w:hyperlink w:anchor="_Toc107210942" w:history="1">
        <w:r w:rsidR="00B7625C" w:rsidRPr="007C4372">
          <w:rPr>
            <w:rStyle w:val="Hyperlink"/>
            <w:noProof/>
          </w:rPr>
          <w:t>1.</w:t>
        </w:r>
        <w:r w:rsidR="00B7625C">
          <w:rPr>
            <w:rFonts w:eastAsiaTheme="minorEastAsia"/>
            <w:noProof/>
            <w:lang w:eastAsia="nl-BE"/>
          </w:rPr>
          <w:tab/>
        </w:r>
        <w:r w:rsidR="00B7625C" w:rsidRPr="007C4372">
          <w:rPr>
            <w:rStyle w:val="Hyperlink"/>
            <w:noProof/>
          </w:rPr>
          <w:t>Omschrijving van het belastbaar inkomen</w:t>
        </w:r>
        <w:r w:rsidR="00B7625C">
          <w:rPr>
            <w:noProof/>
            <w:webHidden/>
          </w:rPr>
          <w:tab/>
        </w:r>
        <w:r w:rsidR="00B7625C">
          <w:rPr>
            <w:noProof/>
            <w:webHidden/>
          </w:rPr>
          <w:fldChar w:fldCharType="begin"/>
        </w:r>
        <w:r w:rsidR="00B7625C">
          <w:rPr>
            <w:noProof/>
            <w:webHidden/>
          </w:rPr>
          <w:instrText xml:space="preserve"> PAGEREF _Toc107210942 \h </w:instrText>
        </w:r>
        <w:r w:rsidR="00B7625C">
          <w:rPr>
            <w:noProof/>
            <w:webHidden/>
          </w:rPr>
        </w:r>
        <w:r w:rsidR="00B7625C">
          <w:rPr>
            <w:noProof/>
            <w:webHidden/>
          </w:rPr>
          <w:fldChar w:fldCharType="separate"/>
        </w:r>
        <w:r w:rsidR="00B7625C">
          <w:rPr>
            <w:noProof/>
            <w:webHidden/>
          </w:rPr>
          <w:t>119</w:t>
        </w:r>
        <w:r w:rsidR="00B7625C">
          <w:rPr>
            <w:noProof/>
            <w:webHidden/>
          </w:rPr>
          <w:fldChar w:fldCharType="end"/>
        </w:r>
      </w:hyperlink>
    </w:p>
    <w:p w14:paraId="52D72500" w14:textId="5A443FA1" w:rsidR="00B7625C" w:rsidRDefault="002F4506">
      <w:pPr>
        <w:pStyle w:val="Inhopg3"/>
        <w:rPr>
          <w:rFonts w:eastAsiaTheme="minorEastAsia"/>
          <w:noProof/>
          <w:lang w:eastAsia="nl-BE"/>
        </w:rPr>
      </w:pPr>
      <w:hyperlink w:anchor="_Toc107210943" w:history="1">
        <w:r w:rsidR="00B7625C" w:rsidRPr="007C4372">
          <w:rPr>
            <w:rStyle w:val="Hyperlink"/>
            <w:noProof/>
          </w:rPr>
          <w:t>2.</w:t>
        </w:r>
        <w:r w:rsidR="00B7625C">
          <w:rPr>
            <w:rFonts w:eastAsiaTheme="minorEastAsia"/>
            <w:noProof/>
            <w:lang w:eastAsia="nl-BE"/>
          </w:rPr>
          <w:tab/>
        </w:r>
        <w:r w:rsidR="00B7625C" w:rsidRPr="007C4372">
          <w:rPr>
            <w:rStyle w:val="Hyperlink"/>
            <w:noProof/>
          </w:rPr>
          <w:t>De bepaling van de netto-belastbare grondslag</w:t>
        </w:r>
        <w:r w:rsidR="00B7625C">
          <w:rPr>
            <w:noProof/>
            <w:webHidden/>
          </w:rPr>
          <w:tab/>
        </w:r>
        <w:r w:rsidR="00B7625C">
          <w:rPr>
            <w:noProof/>
            <w:webHidden/>
          </w:rPr>
          <w:fldChar w:fldCharType="begin"/>
        </w:r>
        <w:r w:rsidR="00B7625C">
          <w:rPr>
            <w:noProof/>
            <w:webHidden/>
          </w:rPr>
          <w:instrText xml:space="preserve"> PAGEREF _Toc107210943 \h </w:instrText>
        </w:r>
        <w:r w:rsidR="00B7625C">
          <w:rPr>
            <w:noProof/>
            <w:webHidden/>
          </w:rPr>
        </w:r>
        <w:r w:rsidR="00B7625C">
          <w:rPr>
            <w:noProof/>
            <w:webHidden/>
          </w:rPr>
          <w:fldChar w:fldCharType="separate"/>
        </w:r>
        <w:r w:rsidR="00B7625C">
          <w:rPr>
            <w:noProof/>
            <w:webHidden/>
          </w:rPr>
          <w:t>120</w:t>
        </w:r>
        <w:r w:rsidR="00B7625C">
          <w:rPr>
            <w:noProof/>
            <w:webHidden/>
          </w:rPr>
          <w:fldChar w:fldCharType="end"/>
        </w:r>
      </w:hyperlink>
    </w:p>
    <w:p w14:paraId="22B3461F" w14:textId="5659BC26" w:rsidR="00B7625C" w:rsidRDefault="002F4506">
      <w:pPr>
        <w:pStyle w:val="Inhopg3"/>
        <w:rPr>
          <w:rFonts w:eastAsiaTheme="minorEastAsia"/>
          <w:noProof/>
          <w:lang w:eastAsia="nl-BE"/>
        </w:rPr>
      </w:pPr>
      <w:hyperlink w:anchor="_Toc107210944" w:history="1">
        <w:r w:rsidR="00B7625C" w:rsidRPr="007C4372">
          <w:rPr>
            <w:rStyle w:val="Hyperlink"/>
            <w:noProof/>
          </w:rPr>
          <w:t>3.</w:t>
        </w:r>
        <w:r w:rsidR="00B7625C">
          <w:rPr>
            <w:rFonts w:eastAsiaTheme="minorEastAsia"/>
            <w:noProof/>
            <w:lang w:eastAsia="nl-BE"/>
          </w:rPr>
          <w:tab/>
        </w:r>
        <w:r w:rsidR="00B7625C" w:rsidRPr="007C4372">
          <w:rPr>
            <w:rStyle w:val="Hyperlink"/>
            <w:noProof/>
          </w:rPr>
          <w:t>Minderwaarden</w:t>
        </w:r>
        <w:r w:rsidR="00B7625C">
          <w:rPr>
            <w:noProof/>
            <w:webHidden/>
          </w:rPr>
          <w:tab/>
        </w:r>
        <w:r w:rsidR="00B7625C">
          <w:rPr>
            <w:noProof/>
            <w:webHidden/>
          </w:rPr>
          <w:fldChar w:fldCharType="begin"/>
        </w:r>
        <w:r w:rsidR="00B7625C">
          <w:rPr>
            <w:noProof/>
            <w:webHidden/>
          </w:rPr>
          <w:instrText xml:space="preserve"> PAGEREF _Toc107210944 \h </w:instrText>
        </w:r>
        <w:r w:rsidR="00B7625C">
          <w:rPr>
            <w:noProof/>
            <w:webHidden/>
          </w:rPr>
        </w:r>
        <w:r w:rsidR="00B7625C">
          <w:rPr>
            <w:noProof/>
            <w:webHidden/>
          </w:rPr>
          <w:fldChar w:fldCharType="separate"/>
        </w:r>
        <w:r w:rsidR="00B7625C">
          <w:rPr>
            <w:noProof/>
            <w:webHidden/>
          </w:rPr>
          <w:t>121</w:t>
        </w:r>
        <w:r w:rsidR="00B7625C">
          <w:rPr>
            <w:noProof/>
            <w:webHidden/>
          </w:rPr>
          <w:fldChar w:fldCharType="end"/>
        </w:r>
      </w:hyperlink>
    </w:p>
    <w:p w14:paraId="5295D3ED" w14:textId="68C4F747" w:rsidR="00B7625C" w:rsidRDefault="002F4506">
      <w:pPr>
        <w:pStyle w:val="Inhopg3"/>
        <w:rPr>
          <w:rFonts w:eastAsiaTheme="minorEastAsia"/>
          <w:noProof/>
          <w:lang w:eastAsia="nl-BE"/>
        </w:rPr>
      </w:pPr>
      <w:hyperlink w:anchor="_Toc107210945" w:history="1">
        <w:r w:rsidR="00B7625C" w:rsidRPr="007C4372">
          <w:rPr>
            <w:rStyle w:val="Hyperlink"/>
            <w:noProof/>
          </w:rPr>
          <w:t>4.</w:t>
        </w:r>
        <w:r w:rsidR="00B7625C">
          <w:rPr>
            <w:rFonts w:eastAsiaTheme="minorEastAsia"/>
            <w:noProof/>
            <w:lang w:eastAsia="nl-BE"/>
          </w:rPr>
          <w:tab/>
        </w:r>
        <w:r w:rsidR="00B7625C" w:rsidRPr="007C4372">
          <w:rPr>
            <w:rStyle w:val="Hyperlink"/>
            <w:noProof/>
          </w:rPr>
          <w:t>Vrijstellingen</w:t>
        </w:r>
        <w:r w:rsidR="00B7625C">
          <w:rPr>
            <w:noProof/>
            <w:webHidden/>
          </w:rPr>
          <w:tab/>
        </w:r>
        <w:r w:rsidR="00B7625C">
          <w:rPr>
            <w:noProof/>
            <w:webHidden/>
          </w:rPr>
          <w:fldChar w:fldCharType="begin"/>
        </w:r>
        <w:r w:rsidR="00B7625C">
          <w:rPr>
            <w:noProof/>
            <w:webHidden/>
          </w:rPr>
          <w:instrText xml:space="preserve"> PAGEREF _Toc107210945 \h </w:instrText>
        </w:r>
        <w:r w:rsidR="00B7625C">
          <w:rPr>
            <w:noProof/>
            <w:webHidden/>
          </w:rPr>
        </w:r>
        <w:r w:rsidR="00B7625C">
          <w:rPr>
            <w:noProof/>
            <w:webHidden/>
          </w:rPr>
          <w:fldChar w:fldCharType="separate"/>
        </w:r>
        <w:r w:rsidR="00B7625C">
          <w:rPr>
            <w:noProof/>
            <w:webHidden/>
          </w:rPr>
          <w:t>122</w:t>
        </w:r>
        <w:r w:rsidR="00B7625C">
          <w:rPr>
            <w:noProof/>
            <w:webHidden/>
          </w:rPr>
          <w:fldChar w:fldCharType="end"/>
        </w:r>
      </w:hyperlink>
    </w:p>
    <w:p w14:paraId="58EFFB92" w14:textId="5FECFF3C" w:rsidR="00B7625C" w:rsidRDefault="002F4506">
      <w:pPr>
        <w:pStyle w:val="Inhopg3"/>
        <w:rPr>
          <w:rFonts w:eastAsiaTheme="minorEastAsia"/>
          <w:noProof/>
          <w:lang w:eastAsia="nl-BE"/>
        </w:rPr>
      </w:pPr>
      <w:hyperlink w:anchor="_Toc107210946" w:history="1">
        <w:r w:rsidR="00B7625C" w:rsidRPr="007C4372">
          <w:rPr>
            <w:rStyle w:val="Hyperlink"/>
            <w:noProof/>
          </w:rPr>
          <w:t>5.</w:t>
        </w:r>
        <w:r w:rsidR="00B7625C">
          <w:rPr>
            <w:rFonts w:eastAsiaTheme="minorEastAsia"/>
            <w:noProof/>
            <w:lang w:eastAsia="nl-BE"/>
          </w:rPr>
          <w:tab/>
        </w:r>
        <w:r w:rsidR="00B7625C" w:rsidRPr="007C4372">
          <w:rPr>
            <w:rStyle w:val="Hyperlink"/>
            <w:noProof/>
          </w:rPr>
          <w:t>Tarief</w:t>
        </w:r>
        <w:r w:rsidR="00B7625C">
          <w:rPr>
            <w:noProof/>
            <w:webHidden/>
          </w:rPr>
          <w:tab/>
        </w:r>
        <w:r w:rsidR="00B7625C">
          <w:rPr>
            <w:noProof/>
            <w:webHidden/>
          </w:rPr>
          <w:fldChar w:fldCharType="begin"/>
        </w:r>
        <w:r w:rsidR="00B7625C">
          <w:rPr>
            <w:noProof/>
            <w:webHidden/>
          </w:rPr>
          <w:instrText xml:space="preserve"> PAGEREF _Toc107210946 \h </w:instrText>
        </w:r>
        <w:r w:rsidR="00B7625C">
          <w:rPr>
            <w:noProof/>
            <w:webHidden/>
          </w:rPr>
        </w:r>
        <w:r w:rsidR="00B7625C">
          <w:rPr>
            <w:noProof/>
            <w:webHidden/>
          </w:rPr>
          <w:fldChar w:fldCharType="separate"/>
        </w:r>
        <w:r w:rsidR="00B7625C">
          <w:rPr>
            <w:noProof/>
            <w:webHidden/>
          </w:rPr>
          <w:t>123</w:t>
        </w:r>
        <w:r w:rsidR="00B7625C">
          <w:rPr>
            <w:noProof/>
            <w:webHidden/>
          </w:rPr>
          <w:fldChar w:fldCharType="end"/>
        </w:r>
      </w:hyperlink>
    </w:p>
    <w:p w14:paraId="0992ED07" w14:textId="31BB1078" w:rsidR="00B7625C" w:rsidRDefault="002F4506">
      <w:pPr>
        <w:pStyle w:val="Inhopg3"/>
        <w:rPr>
          <w:rFonts w:eastAsiaTheme="minorEastAsia"/>
          <w:noProof/>
          <w:lang w:eastAsia="nl-BE"/>
        </w:rPr>
      </w:pPr>
      <w:hyperlink w:anchor="_Toc107210947" w:history="1">
        <w:r w:rsidR="00B7625C" w:rsidRPr="007C4372">
          <w:rPr>
            <w:rStyle w:val="Hyperlink"/>
            <w:noProof/>
          </w:rPr>
          <w:t>6.</w:t>
        </w:r>
        <w:r w:rsidR="00B7625C">
          <w:rPr>
            <w:rFonts w:eastAsiaTheme="minorEastAsia"/>
            <w:noProof/>
            <w:lang w:eastAsia="nl-BE"/>
          </w:rPr>
          <w:tab/>
        </w:r>
        <w:r w:rsidR="00B7625C" w:rsidRPr="007C4372">
          <w:rPr>
            <w:rStyle w:val="Hyperlink"/>
            <w:noProof/>
          </w:rPr>
          <w:t>Inning</w:t>
        </w:r>
        <w:r w:rsidR="00B7625C">
          <w:rPr>
            <w:noProof/>
            <w:webHidden/>
          </w:rPr>
          <w:tab/>
        </w:r>
        <w:r w:rsidR="00B7625C">
          <w:rPr>
            <w:noProof/>
            <w:webHidden/>
          </w:rPr>
          <w:fldChar w:fldCharType="begin"/>
        </w:r>
        <w:r w:rsidR="00B7625C">
          <w:rPr>
            <w:noProof/>
            <w:webHidden/>
          </w:rPr>
          <w:instrText xml:space="preserve"> PAGEREF _Toc107210947 \h </w:instrText>
        </w:r>
        <w:r w:rsidR="00B7625C">
          <w:rPr>
            <w:noProof/>
            <w:webHidden/>
          </w:rPr>
        </w:r>
        <w:r w:rsidR="00B7625C">
          <w:rPr>
            <w:noProof/>
            <w:webHidden/>
          </w:rPr>
          <w:fldChar w:fldCharType="separate"/>
        </w:r>
        <w:r w:rsidR="00B7625C">
          <w:rPr>
            <w:noProof/>
            <w:webHidden/>
          </w:rPr>
          <w:t>124</w:t>
        </w:r>
        <w:r w:rsidR="00B7625C">
          <w:rPr>
            <w:noProof/>
            <w:webHidden/>
          </w:rPr>
          <w:fldChar w:fldCharType="end"/>
        </w:r>
      </w:hyperlink>
    </w:p>
    <w:p w14:paraId="649BE8FA" w14:textId="174D1EB7" w:rsidR="00B7625C" w:rsidRDefault="002F4506">
      <w:pPr>
        <w:pStyle w:val="Inhopg1"/>
        <w:rPr>
          <w:rFonts w:eastAsiaTheme="minorEastAsia"/>
          <w:noProof/>
          <w:lang w:eastAsia="nl-BE"/>
        </w:rPr>
      </w:pPr>
      <w:hyperlink w:anchor="_Toc107210948" w:history="1">
        <w:r w:rsidR="00B7625C" w:rsidRPr="007C4372">
          <w:rPr>
            <w:rStyle w:val="Hyperlink"/>
            <w:smallCaps/>
            <w:noProof/>
          </w:rPr>
          <w:t>IX.</w:t>
        </w:r>
        <w:r w:rsidR="00B7625C">
          <w:rPr>
            <w:rFonts w:eastAsiaTheme="minorEastAsia"/>
            <w:noProof/>
            <w:lang w:eastAsia="nl-BE"/>
          </w:rPr>
          <w:tab/>
        </w:r>
        <w:r w:rsidR="00B7625C" w:rsidRPr="007C4372">
          <w:rPr>
            <w:rStyle w:val="Hyperlink"/>
            <w:smallCaps/>
            <w:noProof/>
          </w:rPr>
          <w:t>Lasten op consumptie / vervuiling</w:t>
        </w:r>
        <w:r w:rsidR="00B7625C">
          <w:rPr>
            <w:noProof/>
            <w:webHidden/>
          </w:rPr>
          <w:tab/>
        </w:r>
        <w:r w:rsidR="00B7625C">
          <w:rPr>
            <w:noProof/>
            <w:webHidden/>
          </w:rPr>
          <w:fldChar w:fldCharType="begin"/>
        </w:r>
        <w:r w:rsidR="00B7625C">
          <w:rPr>
            <w:noProof/>
            <w:webHidden/>
          </w:rPr>
          <w:instrText xml:space="preserve"> PAGEREF _Toc107210948 \h </w:instrText>
        </w:r>
        <w:r w:rsidR="00B7625C">
          <w:rPr>
            <w:noProof/>
            <w:webHidden/>
          </w:rPr>
        </w:r>
        <w:r w:rsidR="00B7625C">
          <w:rPr>
            <w:noProof/>
            <w:webHidden/>
          </w:rPr>
          <w:fldChar w:fldCharType="separate"/>
        </w:r>
        <w:r w:rsidR="00B7625C">
          <w:rPr>
            <w:noProof/>
            <w:webHidden/>
          </w:rPr>
          <w:t>125</w:t>
        </w:r>
        <w:r w:rsidR="00B7625C">
          <w:rPr>
            <w:noProof/>
            <w:webHidden/>
          </w:rPr>
          <w:fldChar w:fldCharType="end"/>
        </w:r>
      </w:hyperlink>
    </w:p>
    <w:p w14:paraId="4C45AAF1" w14:textId="1A27AFFF" w:rsidR="00B7625C" w:rsidRDefault="002F4506">
      <w:pPr>
        <w:pStyle w:val="Inhopg2"/>
        <w:rPr>
          <w:rFonts w:eastAsiaTheme="minorEastAsia"/>
          <w:noProof/>
          <w:lang w:eastAsia="nl-BE"/>
        </w:rPr>
      </w:pPr>
      <w:hyperlink w:anchor="_Toc107210949" w:history="1">
        <w:r w:rsidR="00B7625C" w:rsidRPr="007C4372">
          <w:rPr>
            <w:rStyle w:val="Hyperlink"/>
            <w:noProof/>
          </w:rPr>
          <w:t>A.</w:t>
        </w:r>
        <w:r w:rsidR="00B7625C">
          <w:rPr>
            <w:rFonts w:eastAsiaTheme="minorEastAsia"/>
            <w:noProof/>
            <w:lang w:eastAsia="nl-BE"/>
          </w:rPr>
          <w:tab/>
        </w:r>
        <w:r w:rsidR="00B7625C" w:rsidRPr="007C4372">
          <w:rPr>
            <w:rStyle w:val="Hyperlink"/>
            <w:noProof/>
          </w:rPr>
          <w:t>Algemene duiding</w:t>
        </w:r>
        <w:r w:rsidR="00B7625C">
          <w:rPr>
            <w:noProof/>
            <w:webHidden/>
          </w:rPr>
          <w:tab/>
        </w:r>
        <w:r w:rsidR="00B7625C">
          <w:rPr>
            <w:noProof/>
            <w:webHidden/>
          </w:rPr>
          <w:fldChar w:fldCharType="begin"/>
        </w:r>
        <w:r w:rsidR="00B7625C">
          <w:rPr>
            <w:noProof/>
            <w:webHidden/>
          </w:rPr>
          <w:instrText xml:space="preserve"> PAGEREF _Toc107210949 \h </w:instrText>
        </w:r>
        <w:r w:rsidR="00B7625C">
          <w:rPr>
            <w:noProof/>
            <w:webHidden/>
          </w:rPr>
        </w:r>
        <w:r w:rsidR="00B7625C">
          <w:rPr>
            <w:noProof/>
            <w:webHidden/>
          </w:rPr>
          <w:fldChar w:fldCharType="separate"/>
        </w:r>
        <w:r w:rsidR="00B7625C">
          <w:rPr>
            <w:noProof/>
            <w:webHidden/>
          </w:rPr>
          <w:t>125</w:t>
        </w:r>
        <w:r w:rsidR="00B7625C">
          <w:rPr>
            <w:noProof/>
            <w:webHidden/>
          </w:rPr>
          <w:fldChar w:fldCharType="end"/>
        </w:r>
      </w:hyperlink>
    </w:p>
    <w:p w14:paraId="27BBBD83" w14:textId="7EC9E322" w:rsidR="00B7625C" w:rsidRDefault="002F4506">
      <w:pPr>
        <w:pStyle w:val="Inhopg2"/>
        <w:rPr>
          <w:rFonts w:eastAsiaTheme="minorEastAsia"/>
          <w:noProof/>
          <w:lang w:eastAsia="nl-BE"/>
        </w:rPr>
      </w:pPr>
      <w:hyperlink w:anchor="_Toc107210950" w:history="1">
        <w:r w:rsidR="00B7625C" w:rsidRPr="007C4372">
          <w:rPr>
            <w:rStyle w:val="Hyperlink"/>
            <w:noProof/>
          </w:rPr>
          <w:t>B.</w:t>
        </w:r>
        <w:r w:rsidR="00B7625C">
          <w:rPr>
            <w:rFonts w:eastAsiaTheme="minorEastAsia"/>
            <w:noProof/>
            <w:lang w:eastAsia="nl-BE"/>
          </w:rPr>
          <w:tab/>
        </w:r>
        <w:r w:rsidR="00B7625C" w:rsidRPr="007C4372">
          <w:rPr>
            <w:rStyle w:val="Hyperlink"/>
            <w:noProof/>
          </w:rPr>
          <w:t>Een meer neutraal btw-stelsel</w:t>
        </w:r>
        <w:r w:rsidR="00B7625C">
          <w:rPr>
            <w:noProof/>
            <w:webHidden/>
          </w:rPr>
          <w:tab/>
        </w:r>
        <w:r w:rsidR="00B7625C">
          <w:rPr>
            <w:noProof/>
            <w:webHidden/>
          </w:rPr>
          <w:fldChar w:fldCharType="begin"/>
        </w:r>
        <w:r w:rsidR="00B7625C">
          <w:rPr>
            <w:noProof/>
            <w:webHidden/>
          </w:rPr>
          <w:instrText xml:space="preserve"> PAGEREF _Toc107210950 \h </w:instrText>
        </w:r>
        <w:r w:rsidR="00B7625C">
          <w:rPr>
            <w:noProof/>
            <w:webHidden/>
          </w:rPr>
        </w:r>
        <w:r w:rsidR="00B7625C">
          <w:rPr>
            <w:noProof/>
            <w:webHidden/>
          </w:rPr>
          <w:fldChar w:fldCharType="separate"/>
        </w:r>
        <w:r w:rsidR="00B7625C">
          <w:rPr>
            <w:noProof/>
            <w:webHidden/>
          </w:rPr>
          <w:t>127</w:t>
        </w:r>
        <w:r w:rsidR="00B7625C">
          <w:rPr>
            <w:noProof/>
            <w:webHidden/>
          </w:rPr>
          <w:fldChar w:fldCharType="end"/>
        </w:r>
      </w:hyperlink>
    </w:p>
    <w:p w14:paraId="68621BE3" w14:textId="7CE97862" w:rsidR="00B7625C" w:rsidRDefault="002F4506">
      <w:pPr>
        <w:pStyle w:val="Inhopg3"/>
        <w:rPr>
          <w:rFonts w:eastAsiaTheme="minorEastAsia"/>
          <w:noProof/>
          <w:lang w:eastAsia="nl-BE"/>
        </w:rPr>
      </w:pPr>
      <w:hyperlink w:anchor="_Toc107210951" w:history="1">
        <w:r w:rsidR="00B7625C" w:rsidRPr="007C4372">
          <w:rPr>
            <w:rStyle w:val="Hyperlink"/>
            <w:noProof/>
          </w:rPr>
          <w:t>1.</w:t>
        </w:r>
        <w:r w:rsidR="00B7625C">
          <w:rPr>
            <w:rFonts w:eastAsiaTheme="minorEastAsia"/>
            <w:noProof/>
            <w:lang w:eastAsia="nl-BE"/>
          </w:rPr>
          <w:tab/>
        </w:r>
        <w:r w:rsidR="00B7625C" w:rsidRPr="007C4372">
          <w:rPr>
            <w:rStyle w:val="Hyperlink"/>
            <w:noProof/>
          </w:rPr>
          <w:t>De btw-(in)efficiëntie</w:t>
        </w:r>
        <w:r w:rsidR="00B7625C">
          <w:rPr>
            <w:noProof/>
            <w:webHidden/>
          </w:rPr>
          <w:tab/>
        </w:r>
        <w:r w:rsidR="00B7625C">
          <w:rPr>
            <w:noProof/>
            <w:webHidden/>
          </w:rPr>
          <w:fldChar w:fldCharType="begin"/>
        </w:r>
        <w:r w:rsidR="00B7625C">
          <w:rPr>
            <w:noProof/>
            <w:webHidden/>
          </w:rPr>
          <w:instrText xml:space="preserve"> PAGEREF _Toc107210951 \h </w:instrText>
        </w:r>
        <w:r w:rsidR="00B7625C">
          <w:rPr>
            <w:noProof/>
            <w:webHidden/>
          </w:rPr>
        </w:r>
        <w:r w:rsidR="00B7625C">
          <w:rPr>
            <w:noProof/>
            <w:webHidden/>
          </w:rPr>
          <w:fldChar w:fldCharType="separate"/>
        </w:r>
        <w:r w:rsidR="00B7625C">
          <w:rPr>
            <w:noProof/>
            <w:webHidden/>
          </w:rPr>
          <w:t>127</w:t>
        </w:r>
        <w:r w:rsidR="00B7625C">
          <w:rPr>
            <w:noProof/>
            <w:webHidden/>
          </w:rPr>
          <w:fldChar w:fldCharType="end"/>
        </w:r>
      </w:hyperlink>
    </w:p>
    <w:p w14:paraId="16D4B061" w14:textId="678C3349" w:rsidR="00B7625C" w:rsidRDefault="002F4506">
      <w:pPr>
        <w:pStyle w:val="Inhopg3"/>
        <w:rPr>
          <w:rFonts w:eastAsiaTheme="minorEastAsia"/>
          <w:noProof/>
          <w:lang w:eastAsia="nl-BE"/>
        </w:rPr>
      </w:pPr>
      <w:hyperlink w:anchor="_Toc107210952" w:history="1">
        <w:r w:rsidR="00B7625C" w:rsidRPr="007C4372">
          <w:rPr>
            <w:rStyle w:val="Hyperlink"/>
            <w:noProof/>
          </w:rPr>
          <w:t>2.</w:t>
        </w:r>
        <w:r w:rsidR="00B7625C">
          <w:rPr>
            <w:rFonts w:eastAsiaTheme="minorEastAsia"/>
            <w:noProof/>
            <w:lang w:eastAsia="nl-BE"/>
          </w:rPr>
          <w:tab/>
        </w:r>
        <w:r w:rsidR="00B7625C" w:rsidRPr="007C4372">
          <w:rPr>
            <w:rStyle w:val="Hyperlink"/>
            <w:noProof/>
          </w:rPr>
          <w:t>Een wijziging van het tariefstelsel</w:t>
        </w:r>
        <w:r w:rsidR="00B7625C">
          <w:rPr>
            <w:noProof/>
            <w:webHidden/>
          </w:rPr>
          <w:tab/>
        </w:r>
        <w:r w:rsidR="00B7625C">
          <w:rPr>
            <w:noProof/>
            <w:webHidden/>
          </w:rPr>
          <w:fldChar w:fldCharType="begin"/>
        </w:r>
        <w:r w:rsidR="00B7625C">
          <w:rPr>
            <w:noProof/>
            <w:webHidden/>
          </w:rPr>
          <w:instrText xml:space="preserve"> PAGEREF _Toc107210952 \h </w:instrText>
        </w:r>
        <w:r w:rsidR="00B7625C">
          <w:rPr>
            <w:noProof/>
            <w:webHidden/>
          </w:rPr>
        </w:r>
        <w:r w:rsidR="00B7625C">
          <w:rPr>
            <w:noProof/>
            <w:webHidden/>
          </w:rPr>
          <w:fldChar w:fldCharType="separate"/>
        </w:r>
        <w:r w:rsidR="00B7625C">
          <w:rPr>
            <w:noProof/>
            <w:webHidden/>
          </w:rPr>
          <w:t>128</w:t>
        </w:r>
        <w:r w:rsidR="00B7625C">
          <w:rPr>
            <w:noProof/>
            <w:webHidden/>
          </w:rPr>
          <w:fldChar w:fldCharType="end"/>
        </w:r>
      </w:hyperlink>
    </w:p>
    <w:p w14:paraId="787F35B4" w14:textId="0A8FC30C" w:rsidR="00B7625C" w:rsidRDefault="002F4506">
      <w:pPr>
        <w:pStyle w:val="Inhopg3"/>
        <w:rPr>
          <w:rFonts w:eastAsiaTheme="minorEastAsia"/>
          <w:noProof/>
          <w:lang w:eastAsia="nl-BE"/>
        </w:rPr>
      </w:pPr>
      <w:hyperlink w:anchor="_Toc107210953" w:history="1">
        <w:r w:rsidR="00B7625C" w:rsidRPr="007C4372">
          <w:rPr>
            <w:rStyle w:val="Hyperlink"/>
            <w:noProof/>
          </w:rPr>
          <w:t>3.</w:t>
        </w:r>
        <w:r w:rsidR="00B7625C">
          <w:rPr>
            <w:rFonts w:eastAsiaTheme="minorEastAsia"/>
            <w:noProof/>
            <w:lang w:eastAsia="nl-BE"/>
          </w:rPr>
          <w:tab/>
        </w:r>
        <w:r w:rsidR="00B7625C" w:rsidRPr="007C4372">
          <w:rPr>
            <w:rStyle w:val="Hyperlink"/>
            <w:noProof/>
          </w:rPr>
          <w:t>Andere mogelijke denkpistes</w:t>
        </w:r>
        <w:r w:rsidR="00B7625C">
          <w:rPr>
            <w:noProof/>
            <w:webHidden/>
          </w:rPr>
          <w:tab/>
        </w:r>
        <w:r w:rsidR="00B7625C">
          <w:rPr>
            <w:noProof/>
            <w:webHidden/>
          </w:rPr>
          <w:fldChar w:fldCharType="begin"/>
        </w:r>
        <w:r w:rsidR="00B7625C">
          <w:rPr>
            <w:noProof/>
            <w:webHidden/>
          </w:rPr>
          <w:instrText xml:space="preserve"> PAGEREF _Toc107210953 \h </w:instrText>
        </w:r>
        <w:r w:rsidR="00B7625C">
          <w:rPr>
            <w:noProof/>
            <w:webHidden/>
          </w:rPr>
        </w:r>
        <w:r w:rsidR="00B7625C">
          <w:rPr>
            <w:noProof/>
            <w:webHidden/>
          </w:rPr>
          <w:fldChar w:fldCharType="separate"/>
        </w:r>
        <w:r w:rsidR="00B7625C">
          <w:rPr>
            <w:noProof/>
            <w:webHidden/>
          </w:rPr>
          <w:t>129</w:t>
        </w:r>
        <w:r w:rsidR="00B7625C">
          <w:rPr>
            <w:noProof/>
            <w:webHidden/>
          </w:rPr>
          <w:fldChar w:fldCharType="end"/>
        </w:r>
      </w:hyperlink>
    </w:p>
    <w:p w14:paraId="433C2AA2" w14:textId="0128B65A" w:rsidR="00B7625C" w:rsidRDefault="002F4506">
      <w:pPr>
        <w:pStyle w:val="Inhopg2"/>
        <w:rPr>
          <w:rFonts w:eastAsiaTheme="minorEastAsia"/>
          <w:noProof/>
          <w:lang w:eastAsia="nl-BE"/>
        </w:rPr>
      </w:pPr>
      <w:hyperlink w:anchor="_Toc107210954" w:history="1">
        <w:r w:rsidR="00B7625C" w:rsidRPr="007C4372">
          <w:rPr>
            <w:rStyle w:val="Hyperlink"/>
            <w:noProof/>
          </w:rPr>
          <w:t>C.</w:t>
        </w:r>
        <w:r w:rsidR="00B7625C">
          <w:rPr>
            <w:rFonts w:eastAsiaTheme="minorEastAsia"/>
            <w:noProof/>
            <w:lang w:eastAsia="nl-BE"/>
          </w:rPr>
          <w:tab/>
        </w:r>
        <w:r w:rsidR="00B7625C" w:rsidRPr="007C4372">
          <w:rPr>
            <w:rStyle w:val="Hyperlink"/>
            <w:noProof/>
          </w:rPr>
          <w:t>Een uitgebouwde duurzaamheidsfiscaliteit</w:t>
        </w:r>
        <w:r w:rsidR="00B7625C">
          <w:rPr>
            <w:noProof/>
            <w:webHidden/>
          </w:rPr>
          <w:tab/>
        </w:r>
        <w:r w:rsidR="00B7625C">
          <w:rPr>
            <w:noProof/>
            <w:webHidden/>
          </w:rPr>
          <w:fldChar w:fldCharType="begin"/>
        </w:r>
        <w:r w:rsidR="00B7625C">
          <w:rPr>
            <w:noProof/>
            <w:webHidden/>
          </w:rPr>
          <w:instrText xml:space="preserve"> PAGEREF _Toc107210954 \h </w:instrText>
        </w:r>
        <w:r w:rsidR="00B7625C">
          <w:rPr>
            <w:noProof/>
            <w:webHidden/>
          </w:rPr>
        </w:r>
        <w:r w:rsidR="00B7625C">
          <w:rPr>
            <w:noProof/>
            <w:webHidden/>
          </w:rPr>
          <w:fldChar w:fldCharType="separate"/>
        </w:r>
        <w:r w:rsidR="00B7625C">
          <w:rPr>
            <w:noProof/>
            <w:webHidden/>
          </w:rPr>
          <w:t>131</w:t>
        </w:r>
        <w:r w:rsidR="00B7625C">
          <w:rPr>
            <w:noProof/>
            <w:webHidden/>
          </w:rPr>
          <w:fldChar w:fldCharType="end"/>
        </w:r>
      </w:hyperlink>
    </w:p>
    <w:p w14:paraId="763C6695" w14:textId="0BA177FA" w:rsidR="00B7625C" w:rsidRDefault="002F4506">
      <w:pPr>
        <w:pStyle w:val="Inhopg1"/>
        <w:rPr>
          <w:rFonts w:eastAsiaTheme="minorEastAsia"/>
          <w:noProof/>
          <w:lang w:eastAsia="nl-BE"/>
        </w:rPr>
      </w:pPr>
      <w:hyperlink w:anchor="_Toc107210955" w:history="1">
        <w:r w:rsidR="00B7625C" w:rsidRPr="007C4372">
          <w:rPr>
            <w:rStyle w:val="Hyperlink"/>
            <w:smallCaps/>
            <w:noProof/>
          </w:rPr>
          <w:t>X.</w:t>
        </w:r>
        <w:r w:rsidR="00B7625C">
          <w:rPr>
            <w:rFonts w:eastAsiaTheme="minorEastAsia"/>
            <w:noProof/>
            <w:lang w:eastAsia="nl-BE"/>
          </w:rPr>
          <w:tab/>
        </w:r>
        <w:r w:rsidR="00B7625C" w:rsidRPr="007C4372">
          <w:rPr>
            <w:rStyle w:val="Hyperlink"/>
            <w:smallCaps/>
            <w:noProof/>
          </w:rPr>
          <w:t>Slotbeschouwing</w:t>
        </w:r>
        <w:r w:rsidR="00B7625C">
          <w:rPr>
            <w:noProof/>
            <w:webHidden/>
          </w:rPr>
          <w:tab/>
        </w:r>
        <w:r w:rsidR="00B7625C">
          <w:rPr>
            <w:noProof/>
            <w:webHidden/>
          </w:rPr>
          <w:fldChar w:fldCharType="begin"/>
        </w:r>
        <w:r w:rsidR="00B7625C">
          <w:rPr>
            <w:noProof/>
            <w:webHidden/>
          </w:rPr>
          <w:instrText xml:space="preserve"> PAGEREF _Toc107210955 \h </w:instrText>
        </w:r>
        <w:r w:rsidR="00B7625C">
          <w:rPr>
            <w:noProof/>
            <w:webHidden/>
          </w:rPr>
        </w:r>
        <w:r w:rsidR="00B7625C">
          <w:rPr>
            <w:noProof/>
            <w:webHidden/>
          </w:rPr>
          <w:fldChar w:fldCharType="separate"/>
        </w:r>
        <w:r w:rsidR="00B7625C">
          <w:rPr>
            <w:noProof/>
            <w:webHidden/>
          </w:rPr>
          <w:t>133</w:t>
        </w:r>
        <w:r w:rsidR="00B7625C">
          <w:rPr>
            <w:noProof/>
            <w:webHidden/>
          </w:rPr>
          <w:fldChar w:fldCharType="end"/>
        </w:r>
      </w:hyperlink>
    </w:p>
    <w:p w14:paraId="4DF0311A" w14:textId="06386B40" w:rsidR="00B369B0" w:rsidRPr="00B21FAC" w:rsidRDefault="00CD09CD" w:rsidP="00BA7E3E">
      <w:pPr>
        <w:spacing w:after="0"/>
        <w:rPr>
          <w:b/>
          <w:bCs/>
        </w:rPr>
      </w:pPr>
      <w:r w:rsidRPr="00B21FAC">
        <w:rPr>
          <w:b/>
          <w:bCs/>
        </w:rPr>
        <w:fldChar w:fldCharType="end"/>
      </w:r>
    </w:p>
    <w:p w14:paraId="5C79B0BC" w14:textId="2166EB38" w:rsidR="006E62C7" w:rsidRDefault="006E62C7">
      <w:pPr>
        <w:spacing w:after="0"/>
        <w:rPr>
          <w:b/>
          <w:bCs/>
        </w:rPr>
      </w:pPr>
    </w:p>
    <w:p w14:paraId="1F8E7EE0" w14:textId="55197D5D" w:rsidR="006E62C7" w:rsidRDefault="006E62C7">
      <w:pPr>
        <w:rPr>
          <w:b/>
          <w:bCs/>
        </w:rPr>
      </w:pPr>
      <w:r>
        <w:rPr>
          <w:b/>
          <w:bCs/>
        </w:rPr>
        <w:br w:type="page"/>
      </w:r>
    </w:p>
    <w:p w14:paraId="4DEB3CF7" w14:textId="3D5318B7" w:rsidR="004B7CC7" w:rsidRDefault="004B7CC7">
      <w:pPr>
        <w:rPr>
          <w:b/>
          <w:bCs/>
        </w:rPr>
      </w:pPr>
      <w:r>
        <w:rPr>
          <w:b/>
          <w:bCs/>
        </w:rPr>
        <w:br w:type="page"/>
      </w:r>
    </w:p>
    <w:p w14:paraId="37E7EBBD" w14:textId="77777777" w:rsidR="006E62C7" w:rsidRDefault="006E62C7">
      <w:pPr>
        <w:spacing w:after="0"/>
        <w:rPr>
          <w:b/>
          <w:bCs/>
        </w:rPr>
      </w:pPr>
    </w:p>
    <w:p w14:paraId="1186386B" w14:textId="77777777" w:rsidR="006E62C7" w:rsidRPr="00B21FAC" w:rsidRDefault="006E62C7" w:rsidP="00BA7E3E">
      <w:pPr>
        <w:spacing w:after="0"/>
        <w:rPr>
          <w:b/>
          <w:bCs/>
        </w:rPr>
      </w:pPr>
    </w:p>
    <w:p w14:paraId="0154FB5F" w14:textId="55FDAC23" w:rsidR="00E25603" w:rsidRPr="00B21FAC" w:rsidRDefault="006D631A" w:rsidP="00275FEB">
      <w:pPr>
        <w:pStyle w:val="Kop1"/>
        <w:numPr>
          <w:ilvl w:val="0"/>
          <w:numId w:val="32"/>
        </w:numPr>
        <w:rPr>
          <w:smallCaps/>
        </w:rPr>
      </w:pPr>
      <w:bookmarkStart w:id="1" w:name="_Toc107210864"/>
      <w:r w:rsidRPr="00B21FAC">
        <w:rPr>
          <w:smallCaps/>
        </w:rPr>
        <w:t>V</w:t>
      </w:r>
      <w:r w:rsidR="00F024D4" w:rsidRPr="00B21FAC">
        <w:rPr>
          <w:smallCaps/>
        </w:rPr>
        <w:t>oorwoord</w:t>
      </w:r>
      <w:bookmarkEnd w:id="1"/>
    </w:p>
    <w:p w14:paraId="277E341C" w14:textId="333494AE" w:rsidR="00B369B0" w:rsidRPr="00B21FAC" w:rsidRDefault="00B369B0" w:rsidP="00275FEB">
      <w:pPr>
        <w:spacing w:after="0"/>
      </w:pPr>
    </w:p>
    <w:p w14:paraId="033899D4" w14:textId="290415B7" w:rsidR="006B11D0" w:rsidRPr="00B21FAC" w:rsidRDefault="006B11D0" w:rsidP="00275FEB">
      <w:pPr>
        <w:spacing w:after="0"/>
      </w:pPr>
    </w:p>
    <w:p w14:paraId="69D54AE8" w14:textId="08F0A415" w:rsidR="00220F65" w:rsidRPr="00B21FAC" w:rsidRDefault="00533E4F" w:rsidP="00275FEB">
      <w:pPr>
        <w:spacing w:after="0"/>
        <w:jc w:val="both"/>
      </w:pPr>
      <w:r w:rsidRPr="00B21FAC">
        <w:t>D</w:t>
      </w:r>
      <w:r w:rsidR="0066266B" w:rsidRPr="00B21FAC">
        <w:t xml:space="preserve">e FOD Financiën </w:t>
      </w:r>
      <w:r w:rsidRPr="00B21FAC">
        <w:t xml:space="preserve">heeft </w:t>
      </w:r>
      <w:r w:rsidR="0066266B" w:rsidRPr="00B21FAC">
        <w:t>de Universiteit Gent</w:t>
      </w:r>
      <w:r w:rsidR="00C424E5" w:rsidRPr="00B21FAC">
        <w:t>, Instituut voor Belastingrecht</w:t>
      </w:r>
      <w:r w:rsidR="00823CAB" w:rsidRPr="00B21FAC">
        <w:t xml:space="preserve">, aangesteld </w:t>
      </w:r>
      <w:r w:rsidR="00366C9F" w:rsidRPr="00B21FAC">
        <w:t>als coördinator</w:t>
      </w:r>
      <w:r w:rsidR="000D03C4" w:rsidRPr="00B21FAC">
        <w:t xml:space="preserve">, </w:t>
      </w:r>
      <w:r w:rsidR="00182D7B" w:rsidRPr="00B21FAC">
        <w:t>met als opdracht</w:t>
      </w:r>
      <w:r w:rsidR="000D03C4" w:rsidRPr="00B21FAC">
        <w:t xml:space="preserve"> de bredere fiscale hervorming</w:t>
      </w:r>
      <w:r w:rsidR="00C00E65" w:rsidRPr="00B21FAC">
        <w:t xml:space="preserve">, waarvan de beleidslijnen zijn uitgestippeld in het </w:t>
      </w:r>
      <w:r w:rsidR="008707A3" w:rsidRPr="00B21FAC">
        <w:t>R</w:t>
      </w:r>
      <w:r w:rsidR="00C00E65" w:rsidRPr="00B21FAC">
        <w:t xml:space="preserve">egeerakkoord en in de </w:t>
      </w:r>
      <w:r w:rsidR="009A6697">
        <w:t>algemene beleidsnota</w:t>
      </w:r>
      <w:r w:rsidR="009A6697" w:rsidRPr="00B21FAC">
        <w:t xml:space="preserve"> </w:t>
      </w:r>
      <w:r w:rsidR="00C00E65" w:rsidRPr="00B21FAC">
        <w:t>van de Minister van Financiën, voor te bereiden, uit te werken en te coördineren.</w:t>
      </w:r>
    </w:p>
    <w:p w14:paraId="696A91E2" w14:textId="73D37AD9" w:rsidR="00C00E65" w:rsidRDefault="00C00E65" w:rsidP="00275FEB">
      <w:pPr>
        <w:spacing w:after="0"/>
        <w:jc w:val="both"/>
      </w:pPr>
    </w:p>
    <w:p w14:paraId="131CBB50" w14:textId="77777777" w:rsidR="00456ECD" w:rsidRPr="00B21FAC" w:rsidRDefault="00456ECD" w:rsidP="00275FEB">
      <w:pPr>
        <w:spacing w:after="0"/>
        <w:jc w:val="both"/>
      </w:pPr>
    </w:p>
    <w:p w14:paraId="1A8E8BB7" w14:textId="3157CC82" w:rsidR="00451C23" w:rsidRPr="00B21FAC" w:rsidRDefault="009E23BD" w:rsidP="00275FEB">
      <w:pPr>
        <w:spacing w:after="0"/>
        <w:jc w:val="both"/>
      </w:pPr>
      <w:r w:rsidRPr="00B21FAC">
        <w:t xml:space="preserve">De opdracht van de coördinator omhelst meerdere luiken, waaronder de oplevering van een </w:t>
      </w:r>
      <w:r w:rsidR="00F474F2" w:rsidRPr="00B21FAC">
        <w:t>nota met de algemene uitganspunten voor een bredere fiscale hervorming (Algemene Visienota).</w:t>
      </w:r>
      <w:r w:rsidR="00B62338">
        <w:t xml:space="preserve"> </w:t>
      </w:r>
    </w:p>
    <w:p w14:paraId="206B03ED" w14:textId="3FD582D9" w:rsidR="00C00E65" w:rsidRDefault="00C00E65" w:rsidP="00275FEB">
      <w:pPr>
        <w:spacing w:after="0"/>
        <w:jc w:val="both"/>
      </w:pPr>
    </w:p>
    <w:p w14:paraId="7D098E1A" w14:textId="77777777" w:rsidR="00F03973" w:rsidRPr="00B21FAC" w:rsidRDefault="00F03973" w:rsidP="00275FEB">
      <w:pPr>
        <w:spacing w:after="0"/>
        <w:jc w:val="both"/>
      </w:pPr>
    </w:p>
    <w:p w14:paraId="32DBADD3" w14:textId="726281CD" w:rsidR="004A4D7A" w:rsidRPr="00B21FAC" w:rsidRDefault="004A4D7A" w:rsidP="00275FEB">
      <w:pPr>
        <w:spacing w:after="0"/>
        <w:jc w:val="both"/>
      </w:pPr>
      <w:r w:rsidRPr="00B21FAC">
        <w:t>Het voorliggende rapport vormt de schriftelijke weerslag van de Algemene Visienota</w:t>
      </w:r>
      <w:r w:rsidR="00E50E35" w:rsidRPr="00B21FAC">
        <w:t>.</w:t>
      </w:r>
      <w:r w:rsidR="00F23234" w:rsidRPr="00B21FAC">
        <w:t xml:space="preserve"> De </w:t>
      </w:r>
      <w:r w:rsidR="001012DB" w:rsidRPr="00B21FAC">
        <w:t xml:space="preserve">hierin opgenomen </w:t>
      </w:r>
      <w:r w:rsidR="0071779D" w:rsidRPr="00B21FAC">
        <w:t>algemene uitgangspunten</w:t>
      </w:r>
      <w:r w:rsidR="00991B6D">
        <w:t xml:space="preserve"> en doelstellingen</w:t>
      </w:r>
      <w:r w:rsidR="00901EC2" w:rsidRPr="00B21FAC">
        <w:t>, waarvoor een breed maatschappelijk draagvlak zou moeten bestaan,</w:t>
      </w:r>
      <w:r w:rsidR="001012DB" w:rsidRPr="00B21FAC">
        <w:t xml:space="preserve"> w</w:t>
      </w:r>
      <w:r w:rsidR="004017D4">
        <w:t>o</w:t>
      </w:r>
      <w:r w:rsidR="001012DB" w:rsidRPr="00B21FAC">
        <w:t>rden al in zekere mate geconcretiseerd</w:t>
      </w:r>
      <w:r w:rsidR="004D167E" w:rsidRPr="00B21FAC">
        <w:t xml:space="preserve">, met als doel de </w:t>
      </w:r>
      <w:r w:rsidR="004755B5" w:rsidRPr="00B21FAC">
        <w:t xml:space="preserve">mogelijke </w:t>
      </w:r>
      <w:r w:rsidR="00BA3BDB" w:rsidRPr="00B21FAC">
        <w:t>gevolgen</w:t>
      </w:r>
      <w:r w:rsidR="00CB2AA4" w:rsidRPr="00B21FAC">
        <w:t xml:space="preserve"> van een </w:t>
      </w:r>
      <w:r w:rsidR="006C6232" w:rsidRPr="00B21FAC">
        <w:t>toepassing van de</w:t>
      </w:r>
      <w:r w:rsidR="00A91F33" w:rsidRPr="00B21FAC">
        <w:t xml:space="preserve">ze uitgangspunten </w:t>
      </w:r>
      <w:r w:rsidR="00F33B2B" w:rsidRPr="00B21FAC">
        <w:t>in kaart te brengen</w:t>
      </w:r>
      <w:r w:rsidR="006C6232" w:rsidRPr="00B21FAC">
        <w:t>.</w:t>
      </w:r>
    </w:p>
    <w:p w14:paraId="4B1BA708" w14:textId="34F9EB57" w:rsidR="00BA3BDB" w:rsidRDefault="00BA3BDB" w:rsidP="00275FEB">
      <w:pPr>
        <w:spacing w:after="0"/>
        <w:jc w:val="both"/>
      </w:pPr>
    </w:p>
    <w:p w14:paraId="34589E65" w14:textId="42A90B84" w:rsidR="00B87CBD" w:rsidRPr="00B87CBD" w:rsidRDefault="00B87CBD" w:rsidP="00B87CBD">
      <w:pPr>
        <w:spacing w:after="0"/>
        <w:jc w:val="both"/>
      </w:pPr>
      <w:r>
        <w:t xml:space="preserve">Het is van belang daarbij te </w:t>
      </w:r>
      <w:r w:rsidRPr="00B87CBD">
        <w:t>benadrukken dat vele mensen op één of andere manier een bijdrage hebben geleverd aan de totstandkoming van de Algemene Visienota. Naast de personen die op een meer formele wijze in het methodologisch proces werden betrokken, werd ook meermaals, met vele anderen gereflecteerd over bepaalde (vaak technische) deelaspecten van de fiscaliteit. Elke mogelijk input was uiteraard even waardevol.</w:t>
      </w:r>
    </w:p>
    <w:p w14:paraId="72C6339B" w14:textId="77777777" w:rsidR="00B87CBD" w:rsidRDefault="00B87CBD" w:rsidP="00275FEB">
      <w:pPr>
        <w:spacing w:after="0"/>
        <w:jc w:val="both"/>
      </w:pPr>
    </w:p>
    <w:p w14:paraId="7D2FB3DC" w14:textId="77777777" w:rsidR="00456ECD" w:rsidRPr="00B21FAC" w:rsidRDefault="00456ECD" w:rsidP="00275FEB">
      <w:pPr>
        <w:spacing w:after="0"/>
        <w:jc w:val="both"/>
      </w:pPr>
    </w:p>
    <w:p w14:paraId="3EB2CAE4" w14:textId="50075FC9" w:rsidR="006B27A3" w:rsidRPr="00B21FAC" w:rsidRDefault="00ED6363" w:rsidP="00275FEB">
      <w:pPr>
        <w:spacing w:after="0"/>
        <w:jc w:val="both"/>
      </w:pPr>
      <w:r w:rsidRPr="00B21FAC">
        <w:t xml:space="preserve">De lezer van dit rapport </w:t>
      </w:r>
      <w:r w:rsidR="00413B62" w:rsidRPr="00B21FAC">
        <w:t>zal kunnen vaststellen dat een consequente toepassing</w:t>
      </w:r>
      <w:r w:rsidR="003D556F" w:rsidRPr="00B21FAC">
        <w:t xml:space="preserve"> </w:t>
      </w:r>
      <w:r w:rsidR="00F33B2B" w:rsidRPr="00B21FAC">
        <w:t xml:space="preserve">van een aantal algemene uitgangspunten </w:t>
      </w:r>
      <w:r w:rsidR="003D556F" w:rsidRPr="00B21FAC">
        <w:t xml:space="preserve">ertoe leidt dat heel wat </w:t>
      </w:r>
      <w:r w:rsidR="00D6181B" w:rsidRPr="00B21FAC">
        <w:t xml:space="preserve">bestaande </w:t>
      </w:r>
      <w:r w:rsidR="008D5E6C" w:rsidRPr="00B21FAC">
        <w:t>specifieke fiscale stelsels in vraag worden gesteld, om diverse redenen.</w:t>
      </w:r>
      <w:r w:rsidR="00E276F5" w:rsidRPr="00B21FAC">
        <w:t xml:space="preserve"> </w:t>
      </w:r>
    </w:p>
    <w:p w14:paraId="12D89804" w14:textId="77777777" w:rsidR="006B27A3" w:rsidRPr="00B21FAC" w:rsidRDefault="006B27A3" w:rsidP="00275FEB">
      <w:pPr>
        <w:spacing w:after="0"/>
        <w:jc w:val="both"/>
      </w:pPr>
    </w:p>
    <w:p w14:paraId="185D4479" w14:textId="6EDDEE84" w:rsidR="00BA3BDB" w:rsidRPr="00B21FAC" w:rsidRDefault="00D14C9A" w:rsidP="00275FEB">
      <w:pPr>
        <w:spacing w:after="0"/>
        <w:jc w:val="both"/>
      </w:pPr>
      <w:r w:rsidRPr="00B21FAC">
        <w:t xml:space="preserve">Het is daarbij in ieder geval van belang om de Algemene Visienota met de juiste ingesteldheid te lezen, teneinde te vermijden dat </w:t>
      </w:r>
      <w:r w:rsidR="00C51DDD" w:rsidRPr="00B21FAC">
        <w:t xml:space="preserve">de </w:t>
      </w:r>
      <w:r w:rsidR="000D59C6" w:rsidRPr="00B21FAC">
        <w:t>draagwijdte</w:t>
      </w:r>
      <w:r w:rsidR="00C51DDD" w:rsidRPr="00B21FAC">
        <w:t xml:space="preserve"> van dit rapport verkeerd word</w:t>
      </w:r>
      <w:r w:rsidR="000D59C6" w:rsidRPr="00B21FAC">
        <w:t>t</w:t>
      </w:r>
      <w:r w:rsidR="00C51DDD" w:rsidRPr="00B21FAC">
        <w:t xml:space="preserve"> begrepe</w:t>
      </w:r>
      <w:r w:rsidR="008D6AD6" w:rsidRPr="00B21FAC">
        <w:t>n</w:t>
      </w:r>
      <w:r w:rsidR="00946580" w:rsidRPr="00B21FAC">
        <w:t>, of</w:t>
      </w:r>
      <w:r w:rsidRPr="00B21FAC">
        <w:t xml:space="preserve"> sterker nog, </w:t>
      </w:r>
      <w:r w:rsidR="00946580" w:rsidRPr="00B21FAC">
        <w:t xml:space="preserve">zou leiden tot polariserende </w:t>
      </w:r>
      <w:r w:rsidR="00C23FD7" w:rsidRPr="00B21FAC">
        <w:t>uitspraken.</w:t>
      </w:r>
    </w:p>
    <w:p w14:paraId="53DA078B" w14:textId="2AB3F47F" w:rsidR="00C51DDD" w:rsidRPr="00B21FAC" w:rsidRDefault="00C51DDD" w:rsidP="00275FEB">
      <w:pPr>
        <w:spacing w:after="0"/>
        <w:jc w:val="both"/>
      </w:pPr>
    </w:p>
    <w:p w14:paraId="54B76A07" w14:textId="23B412BB" w:rsidR="00C51DDD" w:rsidRPr="00B21FAC" w:rsidRDefault="00C51DDD" w:rsidP="00275FEB">
      <w:pPr>
        <w:spacing w:after="0"/>
        <w:ind w:left="708"/>
        <w:jc w:val="both"/>
      </w:pPr>
      <w:r w:rsidRPr="00B21FAC">
        <w:t xml:space="preserve">Ten eerste </w:t>
      </w:r>
      <w:r w:rsidR="00AB261A" w:rsidRPr="00B21FAC">
        <w:t>moet de lezer er zich bewust van zijn dat, mede in het licht van voorzienbaarheid en rechtszekerheid</w:t>
      </w:r>
      <w:r w:rsidR="00033824">
        <w:t xml:space="preserve"> en teneinde ongewenste economische schokken te vermijden</w:t>
      </w:r>
      <w:r w:rsidR="00AB261A" w:rsidRPr="00B21FAC">
        <w:t xml:space="preserve">, </w:t>
      </w:r>
      <w:r w:rsidR="003C5C51" w:rsidRPr="00B21FAC">
        <w:t xml:space="preserve">het geenszins de bedoeling kan zijn dat bestaande </w:t>
      </w:r>
      <w:r w:rsidR="00934C83">
        <w:t>(</w:t>
      </w:r>
      <w:r w:rsidR="003C5C51" w:rsidRPr="00B21FAC">
        <w:t>gunst</w:t>
      </w:r>
      <w:r w:rsidR="00934C83">
        <w:t>)</w:t>
      </w:r>
      <w:r w:rsidR="003C5C51" w:rsidRPr="00B21FAC">
        <w:t xml:space="preserve">regimes, </w:t>
      </w:r>
      <w:r w:rsidR="00E8138F" w:rsidRPr="00B21FAC">
        <w:t>waarvan een normaal gebruik wordt gemaakt,</w:t>
      </w:r>
      <w:r w:rsidR="003C5C51" w:rsidRPr="00B21FAC">
        <w:t xml:space="preserve"> van vandaag op morgen </w:t>
      </w:r>
      <w:r w:rsidR="00E8138F" w:rsidRPr="00B21FAC">
        <w:t xml:space="preserve">zouden verdwijnen. </w:t>
      </w:r>
      <w:r w:rsidR="00A31C48" w:rsidRPr="00B21FAC">
        <w:t>Een fundamentele hervorming impliceert noodgedwongen een redelijk overgangsregime.</w:t>
      </w:r>
    </w:p>
    <w:p w14:paraId="42ED7AB6" w14:textId="6290D015" w:rsidR="00A31C48" w:rsidRPr="00B21FAC" w:rsidRDefault="00A31C48" w:rsidP="00275FEB">
      <w:pPr>
        <w:spacing w:after="0"/>
        <w:ind w:left="708"/>
        <w:jc w:val="both"/>
      </w:pPr>
    </w:p>
    <w:p w14:paraId="7F464E05" w14:textId="39E26E8C" w:rsidR="00042A13" w:rsidRDefault="00A31C48" w:rsidP="00042A13">
      <w:pPr>
        <w:spacing w:after="0"/>
        <w:ind w:left="708"/>
        <w:jc w:val="both"/>
      </w:pPr>
      <w:r w:rsidRPr="00B21FAC">
        <w:t xml:space="preserve">Ten tweede impliceert een fundamentele wijziging </w:t>
      </w:r>
      <w:r w:rsidR="00BB03AB" w:rsidRPr="00B21FAC">
        <w:t>van bepaalde deelaspecten (zoals de verbreding van de belastbare grondslag</w:t>
      </w:r>
      <w:r w:rsidR="002C026B" w:rsidRPr="00B21FAC">
        <w:t xml:space="preserve"> of het afschaffen van specifieke vrijstellingen</w:t>
      </w:r>
      <w:r w:rsidR="00BB03AB" w:rsidRPr="00B21FAC">
        <w:t xml:space="preserve">) niet </w:t>
      </w:r>
      <w:r w:rsidR="002C026B" w:rsidRPr="00B21FAC">
        <w:t xml:space="preserve">per definitie dat er meteen ook een hogere belasting verschuldigd zou zijn. </w:t>
      </w:r>
      <w:r w:rsidR="0010796D" w:rsidRPr="00B21FAC">
        <w:t xml:space="preserve">Het spreekt immers voor zich dat hier de wisselwerking speelt met de hoogte van het tarief en met de invoering </w:t>
      </w:r>
      <w:r w:rsidR="00BF5ABA" w:rsidRPr="00B21FAC">
        <w:t xml:space="preserve">van </w:t>
      </w:r>
      <w:r w:rsidR="0010796D" w:rsidRPr="00B21FAC">
        <w:t>eventuele andere (brede) vrijstellingen of heffingskortingen.</w:t>
      </w:r>
      <w:r w:rsidR="00042A13">
        <w:br w:type="page"/>
      </w:r>
    </w:p>
    <w:p w14:paraId="188DE553" w14:textId="68EC7D7C" w:rsidR="002409B5" w:rsidRPr="00B21FAC" w:rsidRDefault="0010796D" w:rsidP="00275FEB">
      <w:pPr>
        <w:spacing w:after="0"/>
        <w:ind w:left="708"/>
        <w:jc w:val="both"/>
      </w:pPr>
      <w:r w:rsidRPr="00B21FAC">
        <w:t xml:space="preserve">Ten derde </w:t>
      </w:r>
      <w:r w:rsidR="001A2212" w:rsidRPr="00B21FAC">
        <w:t xml:space="preserve">kan worden opgemerkt dat in dit rapport geen </w:t>
      </w:r>
      <w:r w:rsidR="001D2EA6" w:rsidRPr="00B21FAC">
        <w:t>uitspraak wordt gedaan over de gewenste (laat staan budgettair haalbare) concrete tarieven</w:t>
      </w:r>
      <w:r w:rsidR="009A752F" w:rsidRPr="00B21FAC">
        <w:t xml:space="preserve">. Voor zover er al tarieven worden vermeld, betreffen dit loutere werkhypotheses. </w:t>
      </w:r>
      <w:r w:rsidR="002D72A8" w:rsidRPr="00B21FAC">
        <w:t xml:space="preserve">Het rapport </w:t>
      </w:r>
      <w:r w:rsidR="002409B5" w:rsidRPr="00B21FAC">
        <w:t xml:space="preserve">beoogt </w:t>
      </w:r>
      <w:r w:rsidR="00BF5ABA" w:rsidRPr="00B21FAC">
        <w:t xml:space="preserve">integendeel uitsluitend </w:t>
      </w:r>
      <w:r w:rsidR="002D72A8" w:rsidRPr="00B21FAC">
        <w:t>de gewenste tariefstructuur</w:t>
      </w:r>
      <w:r w:rsidR="002409B5" w:rsidRPr="00B21FAC">
        <w:t xml:space="preserve"> te verduidelijken</w:t>
      </w:r>
      <w:r w:rsidR="00B604C9" w:rsidRPr="00B21FAC">
        <w:t xml:space="preserve">, minstens bepaalde beoordelingsparameters </w:t>
      </w:r>
      <w:r w:rsidR="002A51F0" w:rsidRPr="00B21FAC">
        <w:t>aan te reiken</w:t>
      </w:r>
      <w:r w:rsidR="00707177">
        <w:t>, desgevallend om het gewenste ambitieniveau vast te leggen</w:t>
      </w:r>
      <w:r w:rsidR="002409B5" w:rsidRPr="00B21FAC">
        <w:t>.</w:t>
      </w:r>
      <w:r w:rsidR="00CD5E37" w:rsidRPr="00B21FAC">
        <w:t xml:space="preserve"> De concretisering van de tarieven zelf </w:t>
      </w:r>
      <w:r w:rsidR="006117F5" w:rsidRPr="00B21FAC">
        <w:t>zal veeleer het sluitstuk dan het uitgangspunt van de hervorming zijn.</w:t>
      </w:r>
    </w:p>
    <w:p w14:paraId="644E1809" w14:textId="6DBB85A4" w:rsidR="004F690E" w:rsidRPr="00B21FAC" w:rsidRDefault="004F690E" w:rsidP="00275FEB">
      <w:pPr>
        <w:spacing w:after="0"/>
        <w:ind w:left="708"/>
        <w:jc w:val="both"/>
      </w:pPr>
    </w:p>
    <w:p w14:paraId="2FFA12AC" w14:textId="6A84C701" w:rsidR="00BC7A6C" w:rsidRPr="00B21FAC" w:rsidRDefault="00825E02" w:rsidP="00275FEB">
      <w:pPr>
        <w:spacing w:after="0"/>
        <w:ind w:left="708"/>
        <w:jc w:val="both"/>
      </w:pPr>
      <w:r w:rsidRPr="00B21FAC">
        <w:t>Ten vierde sluit een conceptuele benadering</w:t>
      </w:r>
      <w:r w:rsidR="00471D48" w:rsidRPr="00B21FAC">
        <w:t xml:space="preserve"> niet uit dat e</w:t>
      </w:r>
      <w:r w:rsidR="00BC7A6C" w:rsidRPr="00B21FAC">
        <w:t xml:space="preserve">r alsnog een rechtvaardiging kan bestaan om bepaalde </w:t>
      </w:r>
      <w:r w:rsidR="00180379" w:rsidRPr="00B21FAC">
        <w:t xml:space="preserve">specifieke </w:t>
      </w:r>
      <w:r w:rsidR="00BC7A6C" w:rsidRPr="00B21FAC">
        <w:t xml:space="preserve">regimes </w:t>
      </w:r>
      <w:r w:rsidR="00180379" w:rsidRPr="00B21FAC">
        <w:t>in de wetgeving te verankeren</w:t>
      </w:r>
      <w:r w:rsidR="00667C19" w:rsidRPr="00B21FAC">
        <w:t xml:space="preserve">. </w:t>
      </w:r>
      <w:r w:rsidR="00180379" w:rsidRPr="00B21FAC">
        <w:t>De opportuniteit</w:t>
      </w:r>
      <w:r w:rsidR="005B5A68" w:rsidRPr="00B21FAC">
        <w:t xml:space="preserve"> en modulering hiervan moet</w:t>
      </w:r>
      <w:r w:rsidR="00C1105A">
        <w:t>en</w:t>
      </w:r>
      <w:r w:rsidR="005B5A68" w:rsidRPr="00B21FAC">
        <w:t xml:space="preserve"> evenwel beoordeeld</w:t>
      </w:r>
      <w:r w:rsidR="0054066D" w:rsidRPr="00B21FAC">
        <w:t xml:space="preserve"> </w:t>
      </w:r>
      <w:r w:rsidR="00FC2AD8">
        <w:t xml:space="preserve">worden </w:t>
      </w:r>
      <w:r w:rsidR="0054066D" w:rsidRPr="00B21FAC">
        <w:t>op een moment dat aan de hervorming een zeer concrete invulling wordt gegeven</w:t>
      </w:r>
      <w:r w:rsidR="005B5A68" w:rsidRPr="00B21FAC">
        <w:t xml:space="preserve">, veeleer dan als </w:t>
      </w:r>
      <w:r w:rsidR="005B5A68" w:rsidRPr="00B21FAC">
        <w:rPr>
          <w:i/>
          <w:iCs/>
        </w:rPr>
        <w:t>a priori</w:t>
      </w:r>
      <w:r w:rsidR="005B5A68" w:rsidRPr="00B21FAC">
        <w:t xml:space="preserve"> argument</w:t>
      </w:r>
      <w:r w:rsidR="00353E7F">
        <w:t>en</w:t>
      </w:r>
      <w:r w:rsidR="00DC204C" w:rsidRPr="00B21FAC">
        <w:t xml:space="preserve"> d</w:t>
      </w:r>
      <w:r w:rsidR="00353E7F">
        <w:t>ie</w:t>
      </w:r>
      <w:r w:rsidR="00203FF7" w:rsidRPr="00B21FAC">
        <w:t xml:space="preserve"> elke hervorming onmogelijk ma</w:t>
      </w:r>
      <w:r w:rsidR="00353E7F">
        <w:t>ken</w:t>
      </w:r>
      <w:r w:rsidR="00203FF7" w:rsidRPr="00B21FAC">
        <w:t>.</w:t>
      </w:r>
      <w:r w:rsidR="008C0FFB" w:rsidRPr="00B21FAC">
        <w:t xml:space="preserve"> Het is immers maar na de conceptuele denkoefening, en de invulling ervan, dat kan nagegaan worden of de historische doelstellingen van een bepaald regime, nog wel st</w:t>
      </w:r>
      <w:r w:rsidR="00232DF8" w:rsidRPr="00B21FAC">
        <w:t xml:space="preserve">eek houden binnen de </w:t>
      </w:r>
      <w:r w:rsidR="00D5660C" w:rsidRPr="00B21FAC">
        <w:t xml:space="preserve">gewijzigde </w:t>
      </w:r>
      <w:r w:rsidR="00232DF8" w:rsidRPr="00B21FAC">
        <w:t>context en of, in voorkomend geval, de historische aanpak vandaag nog wel de meest efficiënte is.</w:t>
      </w:r>
    </w:p>
    <w:p w14:paraId="66901E4A" w14:textId="7F96FE45" w:rsidR="00052861" w:rsidRDefault="00052861" w:rsidP="00275FEB">
      <w:pPr>
        <w:spacing w:after="0"/>
        <w:jc w:val="both"/>
      </w:pPr>
    </w:p>
    <w:p w14:paraId="5EA5903B" w14:textId="77777777" w:rsidR="00056B66" w:rsidRPr="00B21FAC" w:rsidRDefault="00056B66" w:rsidP="00275FEB">
      <w:pPr>
        <w:spacing w:after="0"/>
        <w:jc w:val="both"/>
      </w:pPr>
    </w:p>
    <w:p w14:paraId="120B75E4" w14:textId="4ED3CF70" w:rsidR="00DF2075" w:rsidRPr="00B21FAC" w:rsidRDefault="003529DF" w:rsidP="00275FEB">
      <w:pPr>
        <w:spacing w:after="0"/>
        <w:jc w:val="both"/>
      </w:pPr>
      <w:r>
        <w:t>Tegen</w:t>
      </w:r>
      <w:r w:rsidR="00DF2075" w:rsidRPr="00B21FAC">
        <w:t xml:space="preserve"> deze achtergrond, kan meteen ook duidelijker worden gemaakt welke de vervolgstappen </w:t>
      </w:r>
      <w:r w:rsidR="00764EBD" w:rsidRPr="00B21FAC">
        <w:t>zullen zijn, met het oog op de verdere opbouw van het hervormingsscenario</w:t>
      </w:r>
      <w:r w:rsidR="001D73F9">
        <w:t xml:space="preserve">, met als doel een </w:t>
      </w:r>
      <w:r w:rsidR="00CF5F95">
        <w:t>daadwerkelijke heroriëntering van de fiscaliteit te bewerkstelligen.</w:t>
      </w:r>
    </w:p>
    <w:p w14:paraId="6133A71E" w14:textId="5D7B52EE" w:rsidR="00764EBD" w:rsidRPr="00B21FAC" w:rsidRDefault="00764EBD" w:rsidP="00275FEB">
      <w:pPr>
        <w:spacing w:after="0"/>
        <w:jc w:val="both"/>
      </w:pPr>
    </w:p>
    <w:p w14:paraId="33F10B6E" w14:textId="04EFBA10" w:rsidR="00DA439D" w:rsidRPr="00B21FAC" w:rsidRDefault="00D233CF" w:rsidP="00275FEB">
      <w:pPr>
        <w:spacing w:after="0"/>
        <w:jc w:val="both"/>
      </w:pPr>
      <w:r w:rsidRPr="00B21FAC">
        <w:t xml:space="preserve">In essentie zal voor elke wijziging aan de wetgeving moeten worden nagegaan welke de </w:t>
      </w:r>
      <w:r w:rsidR="000F3366" w:rsidRPr="00B21FAC">
        <w:t>rechtstreekse begrotingseffecten zijn</w:t>
      </w:r>
      <w:r w:rsidR="00D62885" w:rsidRPr="00B21FAC">
        <w:t xml:space="preserve"> en welke de effecten zijn op het vlak van de inkomensverdeling.</w:t>
      </w:r>
      <w:r w:rsidR="00BA1B08" w:rsidRPr="00B21FAC">
        <w:t xml:space="preserve"> </w:t>
      </w:r>
    </w:p>
    <w:p w14:paraId="278D3441" w14:textId="15A5E676" w:rsidR="00771249" w:rsidRPr="00B21FAC" w:rsidRDefault="00BA1B08" w:rsidP="00275FEB">
      <w:pPr>
        <w:spacing w:after="0"/>
        <w:jc w:val="both"/>
      </w:pPr>
      <w:r w:rsidRPr="00B21FAC">
        <w:t xml:space="preserve">Deze informatie zal op haar beurt toelaten de tariefstructuren meer concreet in te vullen. </w:t>
      </w:r>
      <w:r w:rsidR="00B820DF" w:rsidRPr="00B21FAC">
        <w:t xml:space="preserve">Het is daarbij mogelijk om </w:t>
      </w:r>
      <w:r w:rsidR="009F0A1E" w:rsidRPr="00B21FAC">
        <w:t xml:space="preserve">tegenover de afschaffing van tal van kleine regimes een tariefstructuur voor te stellen met </w:t>
      </w:r>
      <w:r w:rsidR="00BD5AD4" w:rsidRPr="00B21FAC">
        <w:t>een gelijkaardige distributieve en</w:t>
      </w:r>
      <w:r w:rsidR="00F46A68" w:rsidRPr="00B21FAC">
        <w:t>/of</w:t>
      </w:r>
      <w:r w:rsidR="00BD5AD4" w:rsidRPr="00B21FAC">
        <w:t xml:space="preserve"> budgettaire impact.</w:t>
      </w:r>
      <w:r w:rsidR="00060CBC" w:rsidRPr="00B21FAC">
        <w:t xml:space="preserve"> Bij</w:t>
      </w:r>
      <w:r w:rsidR="00116A89" w:rsidRPr="00B21FAC">
        <w:t>k</w:t>
      </w:r>
      <w:r w:rsidR="00060CBC" w:rsidRPr="00B21FAC">
        <w:t xml:space="preserve">omend kunnen </w:t>
      </w:r>
      <w:r w:rsidR="00771249" w:rsidRPr="00B21FAC">
        <w:t xml:space="preserve">ook de effecten op </w:t>
      </w:r>
      <w:r w:rsidR="00CE4997">
        <w:t xml:space="preserve">specifieke </w:t>
      </w:r>
      <w:r w:rsidR="00771249" w:rsidRPr="00B21FAC">
        <w:t xml:space="preserve">huishoudens worden berekend. </w:t>
      </w:r>
    </w:p>
    <w:p w14:paraId="4282F2BF" w14:textId="10CEFF11" w:rsidR="00ED4F19" w:rsidRPr="00B21FAC" w:rsidRDefault="00964A01" w:rsidP="00275FEB">
      <w:pPr>
        <w:spacing w:after="0"/>
        <w:jc w:val="both"/>
      </w:pPr>
      <w:r w:rsidRPr="00B21FAC">
        <w:t xml:space="preserve">Indien </w:t>
      </w:r>
      <w:r w:rsidR="00D654C2" w:rsidRPr="00B21FAC">
        <w:t xml:space="preserve">alsdan blijkt dat </w:t>
      </w:r>
      <w:r w:rsidRPr="00B21FAC">
        <w:t xml:space="preserve">de </w:t>
      </w:r>
      <w:r w:rsidR="00D654C2" w:rsidRPr="00B21FAC">
        <w:t>hervormings</w:t>
      </w:r>
      <w:r w:rsidRPr="00B21FAC">
        <w:t xml:space="preserve">voorstellen </w:t>
      </w:r>
      <w:r w:rsidR="00D654C2" w:rsidRPr="00B21FAC">
        <w:t>nog steeds leiden tot</w:t>
      </w:r>
      <w:r w:rsidR="000B3A1B" w:rsidRPr="00B21FAC">
        <w:t xml:space="preserve"> ongewenste</w:t>
      </w:r>
      <w:r w:rsidRPr="00B21FAC">
        <w:t xml:space="preserve"> significante negatieve effecten bij </w:t>
      </w:r>
      <w:r w:rsidR="00D654C2" w:rsidRPr="00B21FAC">
        <w:t>bepaalde belastingplichtigen</w:t>
      </w:r>
      <w:r w:rsidRPr="00B21FAC">
        <w:t xml:space="preserve">, </w:t>
      </w:r>
      <w:r w:rsidR="00D723FF">
        <w:t>kunnen</w:t>
      </w:r>
      <w:r w:rsidR="00712929" w:rsidRPr="00B21FAC">
        <w:t xml:space="preserve"> bijkomende</w:t>
      </w:r>
      <w:r w:rsidRPr="00B21FAC">
        <w:t xml:space="preserve"> </w:t>
      </w:r>
      <w:r w:rsidR="00C1105A">
        <w:t>(overgangs)</w:t>
      </w:r>
      <w:r w:rsidRPr="00B21FAC">
        <w:t xml:space="preserve">maatregelen daarvoor </w:t>
      </w:r>
      <w:r w:rsidR="009B4EC0">
        <w:t>onderzocht worden</w:t>
      </w:r>
      <w:r w:rsidRPr="00B21FAC">
        <w:t xml:space="preserve">. </w:t>
      </w:r>
      <w:r w:rsidR="00712929" w:rsidRPr="00B21FAC">
        <w:t>Zoals reeds aangehaald, kan het geenszins de bedoeling zijn</w:t>
      </w:r>
      <w:r w:rsidRPr="00B21FAC">
        <w:t xml:space="preserve"> de rechtmatige verwachtingen van belastingplichtigen </w:t>
      </w:r>
      <w:r w:rsidR="00712929" w:rsidRPr="00B21FAC">
        <w:t>te miskennen</w:t>
      </w:r>
      <w:r w:rsidRPr="00B21FAC">
        <w:t xml:space="preserve">. </w:t>
      </w:r>
    </w:p>
    <w:p w14:paraId="413B1D9E" w14:textId="6E091E87" w:rsidR="00686697" w:rsidRPr="00B21FAC" w:rsidRDefault="00686697" w:rsidP="00275FEB">
      <w:pPr>
        <w:spacing w:after="0"/>
        <w:jc w:val="both"/>
      </w:pPr>
    </w:p>
    <w:p w14:paraId="22D28DF6" w14:textId="12FA6E22" w:rsidR="00A05097" w:rsidRDefault="00A05097" w:rsidP="00275FEB">
      <w:pPr>
        <w:spacing w:after="0"/>
        <w:jc w:val="both"/>
      </w:pPr>
      <w:r w:rsidRPr="00B21FAC">
        <w:t>Ook de macro-economische impact van het hervormingsvoorstel zal in kaart moeten worden gebracht</w:t>
      </w:r>
      <w:r w:rsidR="00FD6113" w:rsidRPr="00B21FAC">
        <w:t>, zoals de impact op welvaart, werkgelegenheid</w:t>
      </w:r>
      <w:r w:rsidR="008D5990" w:rsidRPr="00B21FAC">
        <w:t>, export/import en competit</w:t>
      </w:r>
      <w:r w:rsidR="00CF714F" w:rsidRPr="00B21FAC">
        <w:t>i</w:t>
      </w:r>
      <w:r w:rsidR="008D5990" w:rsidRPr="00B21FAC">
        <w:t>viteit.</w:t>
      </w:r>
      <w:r w:rsidR="00D72B1C">
        <w:t xml:space="preserve"> Hierbij zal ook aandacht moeten besteed worden aan (economische en niet-economische) gedragsveranderingen</w:t>
      </w:r>
      <w:r w:rsidR="005C372B">
        <w:t xml:space="preserve">, m.i.v. het eventueel afwentelen van de fiscale last naar andere partijen. Hierbij aansluitend is het </w:t>
      </w:r>
      <w:r w:rsidR="00B860D1">
        <w:t>nuttig om de analyse te maken van complementair beleid om bepaalde beoogde effecten te maximaliseren</w:t>
      </w:r>
      <w:r w:rsidR="004419EA">
        <w:t xml:space="preserve"> (zoals bv. het aanmoedigen van ondernemerschap, het maximaliseren van tewerkstellingseffecten</w:t>
      </w:r>
      <w:r w:rsidR="00A77EC1">
        <w:t>, bijscholing voor tewerkstelling, etc…)</w:t>
      </w:r>
      <w:r w:rsidR="00B860D1">
        <w:t xml:space="preserve">. </w:t>
      </w:r>
    </w:p>
    <w:p w14:paraId="1701D37F" w14:textId="77777777" w:rsidR="00056B66" w:rsidRPr="00B21FAC" w:rsidRDefault="00056B66" w:rsidP="00275FEB">
      <w:pPr>
        <w:spacing w:after="0"/>
        <w:jc w:val="both"/>
      </w:pPr>
    </w:p>
    <w:p w14:paraId="5DDA04FF" w14:textId="2C5FC6C6" w:rsidR="00712929" w:rsidRPr="00B21FAC" w:rsidRDefault="009742ED" w:rsidP="00275FEB">
      <w:pPr>
        <w:spacing w:after="0"/>
        <w:jc w:val="both"/>
      </w:pPr>
      <w:r w:rsidRPr="00B21FAC">
        <w:t xml:space="preserve">Parallel aan de totstandkoming van de Algemene Visienota </w:t>
      </w:r>
      <w:r w:rsidR="007A0F32" w:rsidRPr="00B21FAC">
        <w:t xml:space="preserve">werd </w:t>
      </w:r>
      <w:r w:rsidR="005415FB" w:rsidRPr="00B21FAC">
        <w:t xml:space="preserve">overigens </w:t>
      </w:r>
      <w:r w:rsidR="007A0F32" w:rsidRPr="00B21FAC">
        <w:t xml:space="preserve">reeds gestart met een meer concrete becijfering. Aldus heeft de Minister van Financiën aan de Hoge Raad van Financiën, afdeling </w:t>
      </w:r>
      <w:r w:rsidR="00962AD9" w:rsidRPr="00B21FAC">
        <w:t xml:space="preserve">Fiscaliteit en Parafiscaliteit </w:t>
      </w:r>
      <w:r w:rsidR="0088568E" w:rsidRPr="00B21FAC">
        <w:t xml:space="preserve">(HRF) </w:t>
      </w:r>
      <w:r w:rsidR="00962AD9" w:rsidRPr="00B21FAC">
        <w:t>een opdracht in die zin gegeven</w:t>
      </w:r>
      <w:r w:rsidR="00C20688" w:rsidRPr="00B21FAC">
        <w:t xml:space="preserve">, weliswaar </w:t>
      </w:r>
      <w:r w:rsidR="006A45DA" w:rsidRPr="00B21FAC">
        <w:t xml:space="preserve">uitgaande van de voorstellen zoals geformuleerd in </w:t>
      </w:r>
      <w:r w:rsidR="003E3145">
        <w:t>de</w:t>
      </w:r>
      <w:r w:rsidR="003E3145" w:rsidRPr="00B21FAC">
        <w:t xml:space="preserve"> </w:t>
      </w:r>
      <w:r w:rsidR="006A45DA" w:rsidRPr="00B21FAC">
        <w:t>respectievelijke meerderheids- en minderheidsstandpunt</w:t>
      </w:r>
      <w:r w:rsidR="003E3145">
        <w:t>en</w:t>
      </w:r>
      <w:r w:rsidR="006A45DA" w:rsidRPr="00B21FAC">
        <w:t xml:space="preserve">, zoals gevoegd als bijlage aan het Advies van deze </w:t>
      </w:r>
      <w:r w:rsidR="003E3145">
        <w:t>R</w:t>
      </w:r>
      <w:r w:rsidR="006A45DA" w:rsidRPr="00B21FAC">
        <w:t>aad van mei 2020</w:t>
      </w:r>
      <w:r w:rsidR="006D142E" w:rsidRPr="00B21FAC">
        <w:t xml:space="preserve"> betreffende de verlaging van de lastendruk op arbeid en de mogelijkheden voor de financiering ervan. De HRF heeft inmiddels een eerste </w:t>
      </w:r>
      <w:r w:rsidR="0088568E" w:rsidRPr="00B21FAC">
        <w:t>rapport gepubliceerd in juli 2021.</w:t>
      </w:r>
    </w:p>
    <w:p w14:paraId="43C2529F" w14:textId="77777777" w:rsidR="0077260F" w:rsidRPr="00B21FAC" w:rsidRDefault="0077260F" w:rsidP="00275FEB">
      <w:pPr>
        <w:spacing w:after="0"/>
        <w:jc w:val="both"/>
      </w:pPr>
    </w:p>
    <w:p w14:paraId="38A7AC8F" w14:textId="53C687C5" w:rsidR="00CD05E5" w:rsidRPr="00B21FAC" w:rsidRDefault="00C26C96" w:rsidP="00275FEB">
      <w:pPr>
        <w:spacing w:after="0"/>
        <w:jc w:val="both"/>
      </w:pPr>
      <w:r w:rsidRPr="00B21FAC">
        <w:t xml:space="preserve">Samenvattend kan dan ook gesteld worden dat deze Algemene Visienota </w:t>
      </w:r>
      <w:r w:rsidR="00321242" w:rsidRPr="00B21FAC">
        <w:t>beoogt bij te dragen aan de uitbouw van een modern en coherent fiscaal stelsel</w:t>
      </w:r>
      <w:r w:rsidR="00E04FED" w:rsidRPr="00B21FAC">
        <w:t>, waaraan weliswaar een nog meer concrete invulling moet worden gegeven</w:t>
      </w:r>
      <w:r w:rsidR="00AC07F2" w:rsidRPr="00B21FAC">
        <w:t xml:space="preserve">. </w:t>
      </w:r>
    </w:p>
    <w:p w14:paraId="62DBF2D1" w14:textId="4F7BAFBA" w:rsidR="003233E8" w:rsidRPr="003233E8" w:rsidRDefault="003233E8" w:rsidP="003233E8">
      <w:pPr>
        <w:spacing w:after="0"/>
        <w:jc w:val="both"/>
      </w:pPr>
    </w:p>
    <w:p w14:paraId="2AFF3A2E" w14:textId="66F1F40C" w:rsidR="003233E8" w:rsidRPr="003233E8" w:rsidRDefault="003233E8" w:rsidP="003233E8">
      <w:pPr>
        <w:spacing w:after="0"/>
        <w:jc w:val="both"/>
      </w:pPr>
      <w:r w:rsidRPr="003233E8">
        <w:t>Ik wens u in ieder geval veel leesplezier, met de nodige kritische zin en met een open en constructieve geest. Er zijn immers altijd vele kleine redenen om iets niet te veranderen. Maar samen vormen die vele kleine redenen m.i. alvast één grote reden om fundamenteel te hervormen.</w:t>
      </w:r>
    </w:p>
    <w:p w14:paraId="3D1E9657" w14:textId="77777777" w:rsidR="00BF757B" w:rsidRPr="00BF757B" w:rsidRDefault="00BF757B" w:rsidP="00BF757B">
      <w:pPr>
        <w:spacing w:after="0"/>
        <w:jc w:val="both"/>
      </w:pPr>
    </w:p>
    <w:p w14:paraId="643F88BF" w14:textId="394E8F9C" w:rsidR="00CD05E5" w:rsidRDefault="00CD05E5" w:rsidP="00275FEB">
      <w:pPr>
        <w:spacing w:after="0"/>
        <w:jc w:val="both"/>
      </w:pPr>
    </w:p>
    <w:p w14:paraId="0EDFFCB9" w14:textId="56391562" w:rsidR="00CD05E5" w:rsidRPr="00B21FAC" w:rsidRDefault="00CD05E5" w:rsidP="00275FEB">
      <w:pPr>
        <w:spacing w:after="0"/>
        <w:jc w:val="both"/>
      </w:pPr>
      <w:r w:rsidRPr="00B21FAC">
        <w:t>Mark Delanote</w:t>
      </w:r>
    </w:p>
    <w:p w14:paraId="288EBC8B" w14:textId="3804EC2F" w:rsidR="00CD05E5" w:rsidRPr="00B21FAC" w:rsidRDefault="00CD05E5" w:rsidP="00275FEB">
      <w:pPr>
        <w:spacing w:after="0"/>
        <w:jc w:val="both"/>
      </w:pPr>
      <w:r w:rsidRPr="00B21FAC">
        <w:t>UGent – Instituut voor Belastingrecht</w:t>
      </w:r>
    </w:p>
    <w:p w14:paraId="36D3A0A3" w14:textId="18C9E612" w:rsidR="00E72515" w:rsidRDefault="00E72515">
      <w:pPr>
        <w:rPr>
          <w:rFonts w:eastAsia="Times New Roman" w:cstheme="minorHAnsi"/>
          <w:lang w:val="nl-NL" w:eastAsia="nl-NL"/>
        </w:rPr>
      </w:pPr>
      <w:r>
        <w:rPr>
          <w:rFonts w:cstheme="minorHAnsi"/>
        </w:rPr>
        <w:br w:type="page"/>
      </w:r>
    </w:p>
    <w:p w14:paraId="148C06E6" w14:textId="6ABD5666" w:rsidR="003A1C93" w:rsidRDefault="003A1C93">
      <w:pPr>
        <w:rPr>
          <w:rFonts w:eastAsia="Times New Roman" w:cstheme="minorHAnsi"/>
          <w:lang w:val="nl-NL" w:eastAsia="nl-NL"/>
        </w:rPr>
      </w:pPr>
      <w:r>
        <w:rPr>
          <w:rFonts w:cstheme="minorHAnsi"/>
        </w:rPr>
        <w:br w:type="page"/>
      </w:r>
    </w:p>
    <w:p w14:paraId="7CA870D0" w14:textId="77777777" w:rsidR="00A77EC1" w:rsidRDefault="00A77EC1" w:rsidP="00BA7E3E">
      <w:pPr>
        <w:pStyle w:val="Normaalweb"/>
        <w:spacing w:before="0" w:beforeAutospacing="0" w:after="0" w:line="259" w:lineRule="auto"/>
        <w:rPr>
          <w:rFonts w:asciiTheme="minorHAnsi" w:hAnsiTheme="minorHAnsi" w:cstheme="minorHAnsi"/>
          <w:sz w:val="22"/>
          <w:szCs w:val="22"/>
        </w:rPr>
      </w:pPr>
    </w:p>
    <w:p w14:paraId="72E7204B" w14:textId="77777777" w:rsidR="00A77EC1" w:rsidRPr="00F13571" w:rsidRDefault="00A77EC1" w:rsidP="00BA7E3E">
      <w:pPr>
        <w:pStyle w:val="Normaalweb"/>
        <w:spacing w:before="0" w:beforeAutospacing="0" w:after="0" w:line="259" w:lineRule="auto"/>
        <w:rPr>
          <w:rFonts w:cstheme="minorHAnsi"/>
        </w:rPr>
      </w:pPr>
    </w:p>
    <w:p w14:paraId="0D657C37" w14:textId="728B25F3" w:rsidR="004169E2" w:rsidRPr="007B25DE" w:rsidRDefault="009555E0" w:rsidP="00BA7E3E">
      <w:pPr>
        <w:pStyle w:val="Kop1"/>
        <w:numPr>
          <w:ilvl w:val="0"/>
          <w:numId w:val="32"/>
        </w:numPr>
        <w:rPr>
          <w:smallCaps/>
        </w:rPr>
      </w:pPr>
      <w:bookmarkStart w:id="2" w:name="_Toc94168129"/>
      <w:bookmarkStart w:id="3" w:name="_Toc94168130"/>
      <w:bookmarkStart w:id="4" w:name="_Toc107210865"/>
      <w:bookmarkEnd w:id="2"/>
      <w:bookmarkEnd w:id="3"/>
      <w:r w:rsidRPr="007B25DE">
        <w:rPr>
          <w:smallCaps/>
        </w:rPr>
        <w:t>Algemene inleiding</w:t>
      </w:r>
      <w:bookmarkEnd w:id="4"/>
    </w:p>
    <w:p w14:paraId="7A356B65" w14:textId="4A4B502F" w:rsidR="003E1FEF" w:rsidRPr="00B21FAC" w:rsidRDefault="003E1FEF" w:rsidP="00BA7E3E">
      <w:pPr>
        <w:spacing w:after="0"/>
        <w:jc w:val="both"/>
      </w:pPr>
    </w:p>
    <w:p w14:paraId="4A22A82A" w14:textId="76195EC4" w:rsidR="00874886" w:rsidRPr="00B21FAC" w:rsidRDefault="00874886" w:rsidP="00BA7E3E">
      <w:pPr>
        <w:spacing w:after="0"/>
        <w:jc w:val="both"/>
      </w:pPr>
    </w:p>
    <w:p w14:paraId="3373D560" w14:textId="7C6FD3A3" w:rsidR="00874886" w:rsidRPr="00B21FAC" w:rsidRDefault="00874886" w:rsidP="00BA7E3E">
      <w:pPr>
        <w:pStyle w:val="Kop2"/>
        <w:numPr>
          <w:ilvl w:val="0"/>
          <w:numId w:val="33"/>
        </w:numPr>
        <w:spacing w:before="0"/>
        <w:ind w:right="-1134"/>
      </w:pPr>
      <w:bookmarkStart w:id="5" w:name="_Toc107210866"/>
      <w:r w:rsidRPr="00B21FAC">
        <w:t>Achtergrond</w:t>
      </w:r>
      <w:r w:rsidR="009555E0">
        <w:t xml:space="preserve"> en methodologie</w:t>
      </w:r>
      <w:bookmarkEnd w:id="5"/>
    </w:p>
    <w:p w14:paraId="46557D03" w14:textId="19B777B6" w:rsidR="00874886" w:rsidRPr="00B21FAC" w:rsidRDefault="00874886" w:rsidP="00BA7E3E">
      <w:pPr>
        <w:spacing w:after="0"/>
        <w:jc w:val="both"/>
      </w:pPr>
    </w:p>
    <w:p w14:paraId="6D0EBF1A" w14:textId="0BBB8624" w:rsidR="006A23EA" w:rsidRDefault="006A23EA">
      <w:pPr>
        <w:spacing w:after="0"/>
        <w:jc w:val="both"/>
      </w:pPr>
    </w:p>
    <w:p w14:paraId="3415BB51" w14:textId="0609C62E" w:rsidR="00721946" w:rsidRDefault="009D5D1E" w:rsidP="00BA7E3E">
      <w:pPr>
        <w:pStyle w:val="Kop3"/>
        <w:numPr>
          <w:ilvl w:val="0"/>
          <w:numId w:val="97"/>
        </w:numPr>
      </w:pPr>
      <w:bookmarkStart w:id="6" w:name="_Toc107210867"/>
      <w:r>
        <w:t>Achtergrond</w:t>
      </w:r>
      <w:bookmarkEnd w:id="6"/>
    </w:p>
    <w:p w14:paraId="069C0DF9" w14:textId="69460F9D" w:rsidR="00721946" w:rsidRDefault="00721946">
      <w:pPr>
        <w:spacing w:after="0"/>
        <w:jc w:val="both"/>
      </w:pPr>
    </w:p>
    <w:p w14:paraId="3FD1F152" w14:textId="77777777" w:rsidR="00721946" w:rsidRPr="00B21FAC" w:rsidRDefault="00721946" w:rsidP="00BA7E3E">
      <w:pPr>
        <w:spacing w:after="0"/>
        <w:jc w:val="both"/>
      </w:pPr>
    </w:p>
    <w:p w14:paraId="74F3A7B5" w14:textId="65253AFE" w:rsidR="001F31E5" w:rsidRPr="00B21FAC" w:rsidRDefault="001F31E5" w:rsidP="00BA7E3E">
      <w:pPr>
        <w:spacing w:after="0"/>
        <w:jc w:val="both"/>
      </w:pPr>
      <w:r w:rsidRPr="00B21FAC">
        <w:t xml:space="preserve">De </w:t>
      </w:r>
      <w:r w:rsidR="004F0F87" w:rsidRPr="00B21FAC">
        <w:t xml:space="preserve">roep </w:t>
      </w:r>
      <w:r w:rsidR="00831D89" w:rsidRPr="00B21FAC">
        <w:t xml:space="preserve">naar een bredere fiscale hervorming is uiteraard niet nieuw. </w:t>
      </w:r>
      <w:r w:rsidR="007127D5" w:rsidRPr="00B21FAC">
        <w:t>In dit verband werd ook reed</w:t>
      </w:r>
      <w:r w:rsidR="00694436" w:rsidRPr="00B21FAC">
        <w:t>s</w:t>
      </w:r>
      <w:r w:rsidR="007127D5" w:rsidRPr="00B21FAC">
        <w:t xml:space="preserve"> </w:t>
      </w:r>
      <w:r w:rsidR="00CD2224">
        <w:t>beleidsvoorbereidend</w:t>
      </w:r>
      <w:r w:rsidR="007127D5" w:rsidRPr="00B21FAC">
        <w:t xml:space="preserve"> onderzoek verricht</w:t>
      </w:r>
      <w:r w:rsidR="00DC7973" w:rsidRPr="00B21FAC">
        <w:t xml:space="preserve"> </w:t>
      </w:r>
      <w:r w:rsidR="00823AB6" w:rsidRPr="00B21FAC">
        <w:t xml:space="preserve">(bv. </w:t>
      </w:r>
      <w:r w:rsidR="00823AB6" w:rsidRPr="00B21FAC">
        <w:rPr>
          <w:smallCaps/>
        </w:rPr>
        <w:t>Br. Peeters, G. Verbist, R. Smet en L. Meeusen</w:t>
      </w:r>
      <w:r w:rsidR="00823AB6" w:rsidRPr="00B21FAC">
        <w:t xml:space="preserve">, </w:t>
      </w:r>
      <w:r w:rsidR="00823AB6" w:rsidRPr="00B21FAC">
        <w:rPr>
          <w:i/>
          <w:iCs/>
        </w:rPr>
        <w:t>De hervorming van de personenbelasting</w:t>
      </w:r>
      <w:r w:rsidR="00823AB6" w:rsidRPr="00B21FAC">
        <w:t xml:space="preserve">, </w:t>
      </w:r>
      <w:r w:rsidR="00822CFE">
        <w:t xml:space="preserve">Universiteit Antwerpen, </w:t>
      </w:r>
      <w:r w:rsidR="00823AB6" w:rsidRPr="00B21FAC">
        <w:t>september 2014</w:t>
      </w:r>
      <w:r w:rsidR="00822CFE">
        <w:t>, 191 p.</w:t>
      </w:r>
      <w:r w:rsidR="00823AB6" w:rsidRPr="00B21FAC">
        <w:t>)</w:t>
      </w:r>
      <w:r w:rsidR="001910DB" w:rsidRPr="00B21FAC">
        <w:t>.</w:t>
      </w:r>
    </w:p>
    <w:p w14:paraId="2364916F" w14:textId="0B41ECD3" w:rsidR="001910DB" w:rsidRPr="00B21FAC" w:rsidRDefault="001910DB" w:rsidP="00BA7E3E">
      <w:pPr>
        <w:spacing w:after="0"/>
        <w:jc w:val="both"/>
      </w:pPr>
    </w:p>
    <w:p w14:paraId="617BE2B7" w14:textId="5F0CF2F7" w:rsidR="00FB3D2A" w:rsidRPr="00B21FAC" w:rsidRDefault="001910DB" w:rsidP="00BA7E3E">
      <w:pPr>
        <w:spacing w:after="0"/>
        <w:jc w:val="both"/>
      </w:pPr>
      <w:r w:rsidRPr="00B21FAC">
        <w:t xml:space="preserve">Het meest recente </w:t>
      </w:r>
      <w:r w:rsidR="00804884" w:rsidRPr="00B21FAC">
        <w:t xml:space="preserve">beleidsondersteunend </w:t>
      </w:r>
      <w:r w:rsidRPr="00B21FAC">
        <w:t>werk werd geleverd door de Hoge Raad van Financiën, Afdeling ‘Fiscaliteit en Parafiscaliteit’ (HRF)</w:t>
      </w:r>
      <w:r w:rsidR="00FB3D2A" w:rsidRPr="00B21FAC">
        <w:t xml:space="preserve">. </w:t>
      </w:r>
    </w:p>
    <w:p w14:paraId="13E9DDF8" w14:textId="64A1B33D" w:rsidR="005C193D" w:rsidRPr="00B21FAC" w:rsidRDefault="00FB3D2A" w:rsidP="00BA7E3E">
      <w:pPr>
        <w:spacing w:after="0"/>
        <w:jc w:val="both"/>
      </w:pPr>
      <w:r w:rsidRPr="00B21FAC">
        <w:t>I</w:t>
      </w:r>
      <w:r w:rsidR="001910DB" w:rsidRPr="00B21FAC">
        <w:t xml:space="preserve">n </w:t>
      </w:r>
      <w:r w:rsidR="00CA74FE" w:rsidRPr="00B21FAC">
        <w:t xml:space="preserve">mei 2020 </w:t>
      </w:r>
      <w:r w:rsidRPr="00B21FAC">
        <w:t xml:space="preserve">heeft de HRF </w:t>
      </w:r>
      <w:r w:rsidR="0028695F" w:rsidRPr="00B21FAC">
        <w:t>een zeer omvangrijk advies afgeleverd m.b.t. de verlaging van de lastendruk op arbeid en mogelijkheden voor de financiering ervan.</w:t>
      </w:r>
      <w:r w:rsidR="00476D48" w:rsidRPr="00B21FAC">
        <w:t xml:space="preserve"> Dit advies bevat enkele concrete aanbevelingen en maatregelen. Het geeft voorts inzicht in de effecten van diverse </w:t>
      </w:r>
      <w:r w:rsidR="00562864" w:rsidRPr="00B21FAC">
        <w:t xml:space="preserve">tariefscenario’s en bevat ook een ruime lijst aan </w:t>
      </w:r>
      <w:r w:rsidR="00D546B6" w:rsidRPr="00B21FAC">
        <w:t xml:space="preserve">budget-compenserende </w:t>
      </w:r>
      <w:r w:rsidR="00562864" w:rsidRPr="00B21FAC">
        <w:t>maatregelen</w:t>
      </w:r>
      <w:r w:rsidR="007609A1" w:rsidRPr="00B21FAC">
        <w:t>.</w:t>
      </w:r>
    </w:p>
    <w:p w14:paraId="58D47C43" w14:textId="1CC2B5CF" w:rsidR="007C61EB" w:rsidRPr="00B21FAC" w:rsidRDefault="0065416D" w:rsidP="00BA7E3E">
      <w:pPr>
        <w:spacing w:after="0"/>
        <w:jc w:val="both"/>
      </w:pPr>
      <w:r>
        <w:t>Als</w:t>
      </w:r>
      <w:r w:rsidR="00C07808" w:rsidRPr="00B21FAC">
        <w:t xml:space="preserve"> </w:t>
      </w:r>
      <w:r w:rsidR="002F58F9" w:rsidRPr="00B21FAC">
        <w:t>b</w:t>
      </w:r>
      <w:r w:rsidR="00C07808" w:rsidRPr="00B21FAC">
        <w:t xml:space="preserve">ijlage aan het advies werd </w:t>
      </w:r>
      <w:r w:rsidR="00657D91" w:rsidRPr="00B21FAC">
        <w:t xml:space="preserve">door een meerderheid van de leden </w:t>
      </w:r>
      <w:r w:rsidR="00C07808" w:rsidRPr="00B21FAC">
        <w:t>een concept</w:t>
      </w:r>
      <w:r w:rsidR="00A94742" w:rsidRPr="00B21FAC">
        <w:t xml:space="preserve"> (‘raamwerk’)</w:t>
      </w:r>
      <w:r w:rsidR="00C07808" w:rsidRPr="00B21FAC">
        <w:t xml:space="preserve"> toegevoegd </w:t>
      </w:r>
      <w:r w:rsidR="002F58F9" w:rsidRPr="00B21FAC">
        <w:t xml:space="preserve">voor lagere heffingen op arbeid en een eenvoudiger personenbelasting met een bredere heffingsbasis. </w:t>
      </w:r>
      <w:r w:rsidR="008B39B6" w:rsidRPr="00B21FAC">
        <w:t xml:space="preserve">In een tweede bijlage </w:t>
      </w:r>
      <w:r w:rsidR="00D04E27">
        <w:t>heeft</w:t>
      </w:r>
      <w:r w:rsidR="008B39B6" w:rsidRPr="00B21FAC">
        <w:t xml:space="preserve"> een minderheid van de leden een aantal </w:t>
      </w:r>
      <w:r w:rsidR="00EB34AD" w:rsidRPr="00B21FAC">
        <w:t xml:space="preserve">bedenkingen bij </w:t>
      </w:r>
      <w:r w:rsidR="00657D91" w:rsidRPr="00B21FAC">
        <w:t>dit concept geformuleerd.</w:t>
      </w:r>
      <w:r w:rsidR="00B86154" w:rsidRPr="00B21FAC">
        <w:t xml:space="preserve"> </w:t>
      </w:r>
    </w:p>
    <w:p w14:paraId="4B7B5FD3" w14:textId="1BABF37E" w:rsidR="00584C80" w:rsidRPr="00B21FAC" w:rsidRDefault="00584C80" w:rsidP="00BA7E3E">
      <w:pPr>
        <w:spacing w:after="0"/>
        <w:jc w:val="both"/>
      </w:pPr>
    </w:p>
    <w:p w14:paraId="60A1C3FE" w14:textId="27EE4D27" w:rsidR="006A0A91" w:rsidRPr="00B21FAC" w:rsidRDefault="00BB06EB" w:rsidP="00BA7E3E">
      <w:pPr>
        <w:spacing w:after="0"/>
        <w:jc w:val="both"/>
      </w:pPr>
      <w:r w:rsidRPr="00B21FAC">
        <w:t xml:space="preserve">In het Regeerakkoord van 30 september 2020 </w:t>
      </w:r>
      <w:r w:rsidR="00882416" w:rsidRPr="00B21FAC">
        <w:t xml:space="preserve">werd de afspraak gemaakt om een bredere fiscale hervorming voor te bereiden. In uitvoering hiervan heeft de </w:t>
      </w:r>
      <w:r w:rsidR="008429B7" w:rsidRPr="00B21FAC">
        <w:t xml:space="preserve">FOD Financiën </w:t>
      </w:r>
      <w:r w:rsidR="002A123C" w:rsidRPr="00B21FAC">
        <w:t>beslist om</w:t>
      </w:r>
      <w:r w:rsidR="00882416" w:rsidRPr="00B21FAC">
        <w:t xml:space="preserve"> een coördinator aan te stellen, die </w:t>
      </w:r>
      <w:r w:rsidR="00835235" w:rsidRPr="00B21FAC">
        <w:t>het hervormingsproces zal begeleiden</w:t>
      </w:r>
      <w:r w:rsidR="00B33AE6" w:rsidRPr="00B21FAC">
        <w:t>.</w:t>
      </w:r>
    </w:p>
    <w:p w14:paraId="300010CC" w14:textId="21DB097E" w:rsidR="00B33AE6" w:rsidRPr="00B21FAC" w:rsidRDefault="008D51AE" w:rsidP="00BA7E3E">
      <w:pPr>
        <w:spacing w:after="0"/>
        <w:jc w:val="both"/>
      </w:pPr>
      <w:r w:rsidRPr="00B21FAC">
        <w:t>Dit hervormingsproces omvat meerdere fases</w:t>
      </w:r>
      <w:r w:rsidR="00096EA2" w:rsidRPr="00B21FAC">
        <w:t xml:space="preserve">, te beginnen met het </w:t>
      </w:r>
      <w:r w:rsidR="00A16551" w:rsidRPr="00B21FAC">
        <w:t xml:space="preserve">uitschrijven van </w:t>
      </w:r>
      <w:r w:rsidR="00327983" w:rsidRPr="00B21FAC">
        <w:t xml:space="preserve">een </w:t>
      </w:r>
      <w:r w:rsidR="00A16551" w:rsidRPr="00B21FAC">
        <w:t>Algemene Visienota</w:t>
      </w:r>
      <w:r w:rsidR="00786898" w:rsidRPr="00B21FAC">
        <w:t xml:space="preserve">, die dan als </w:t>
      </w:r>
      <w:r w:rsidR="00705241" w:rsidRPr="00B21FAC">
        <w:t>leidraad kan dienen voor het verdere concretiseren van de hervorming, met als uiteindelijke bedoeling te kunnen overgaan tot de reda</w:t>
      </w:r>
      <w:r w:rsidR="0039095F" w:rsidRPr="00B21FAC">
        <w:t>ctie van de wetgeving.</w:t>
      </w:r>
    </w:p>
    <w:p w14:paraId="5DE11C03" w14:textId="2E6E3FF3" w:rsidR="00B33AE6" w:rsidRPr="00B21FAC" w:rsidRDefault="00B33AE6" w:rsidP="00BA7E3E">
      <w:pPr>
        <w:spacing w:after="0"/>
        <w:jc w:val="both"/>
      </w:pPr>
    </w:p>
    <w:p w14:paraId="0026AFBA" w14:textId="2421B204" w:rsidR="00B33AE6" w:rsidRPr="00BA7E3E" w:rsidRDefault="00681CCD" w:rsidP="00BA7E3E">
      <w:pPr>
        <w:spacing w:after="0"/>
        <w:jc w:val="both"/>
      </w:pPr>
      <w:r w:rsidRPr="00B21FAC">
        <w:t>In tussentijd</w:t>
      </w:r>
      <w:r w:rsidR="002D2B72" w:rsidRPr="00B21FAC">
        <w:t xml:space="preserve"> </w:t>
      </w:r>
      <w:r w:rsidR="00B33AE6" w:rsidRPr="00B21FAC">
        <w:t xml:space="preserve">heeft de Minister van Financiën aan de HRF de opdracht gegeven om de diverse voorstellen, zoals opgenomen in zowel het meerderheids- als in het minderheidsstandpunt nader te becijferen en met name de concrete effecten van elke voorgestelde maatregel in kaart te brengen. In het verlengde van deze opdracht heeft de HRF een “eerste rapport betreffende een brede fiscale hervorming” opgeleverd in juli </w:t>
      </w:r>
      <w:r w:rsidR="00B33AE6" w:rsidRPr="00E3205E">
        <w:t>2021.</w:t>
      </w:r>
      <w:r w:rsidR="00AF1456" w:rsidRPr="00E3205E">
        <w:t xml:space="preserve"> </w:t>
      </w:r>
      <w:r w:rsidR="00AF1456" w:rsidRPr="00BA7E3E">
        <w:t xml:space="preserve">Deze werkzaamheden liepen dus tot op heden parallel aan het uitwerken van de Algemene Visienota, maar kunnen in de toekomst </w:t>
      </w:r>
      <w:r w:rsidR="00C307BC">
        <w:t xml:space="preserve">eventueel </w:t>
      </w:r>
      <w:r w:rsidR="00AF1456" w:rsidRPr="00BA7E3E">
        <w:t>aan elkaar worden gekoppeld.</w:t>
      </w:r>
    </w:p>
    <w:p w14:paraId="3E6C24ED" w14:textId="27F4F3D9" w:rsidR="006E62C7" w:rsidRDefault="006E62C7">
      <w:r>
        <w:br w:type="page"/>
      </w:r>
    </w:p>
    <w:p w14:paraId="7B3BA2E5" w14:textId="77777777" w:rsidR="002F2EDD" w:rsidRPr="00B21FAC" w:rsidRDefault="002F2EDD" w:rsidP="00BA7E3E">
      <w:pPr>
        <w:spacing w:after="0"/>
        <w:jc w:val="both"/>
      </w:pPr>
    </w:p>
    <w:p w14:paraId="2F7A55B6" w14:textId="77777777" w:rsidR="008A1040" w:rsidRPr="00B21FAC" w:rsidRDefault="008A1040" w:rsidP="00BA7E3E">
      <w:pPr>
        <w:spacing w:after="0"/>
        <w:jc w:val="both"/>
      </w:pPr>
    </w:p>
    <w:p w14:paraId="2FFCF295" w14:textId="0555D541" w:rsidR="00475528" w:rsidRPr="00B21FAC" w:rsidRDefault="00475528" w:rsidP="00BA7E3E">
      <w:pPr>
        <w:pStyle w:val="Kop3"/>
        <w:numPr>
          <w:ilvl w:val="0"/>
          <w:numId w:val="97"/>
        </w:numPr>
      </w:pPr>
      <w:bookmarkStart w:id="7" w:name="_Toc107210868"/>
      <w:r w:rsidRPr="00B21FAC">
        <w:t>Methodologie</w:t>
      </w:r>
      <w:bookmarkEnd w:id="7"/>
    </w:p>
    <w:p w14:paraId="2CE5264B" w14:textId="77777777" w:rsidR="002F2EDD" w:rsidRPr="00B21FAC" w:rsidRDefault="002F2EDD" w:rsidP="00BA7E3E">
      <w:pPr>
        <w:spacing w:after="0"/>
        <w:jc w:val="both"/>
      </w:pPr>
    </w:p>
    <w:p w14:paraId="5BC7E3AA" w14:textId="0EDE9C2B" w:rsidR="00BB6603" w:rsidRDefault="00BB6603" w:rsidP="00BA7E3E">
      <w:pPr>
        <w:spacing w:after="0"/>
        <w:jc w:val="both"/>
      </w:pPr>
    </w:p>
    <w:p w14:paraId="008B7183" w14:textId="050AE91A" w:rsidR="00A41580" w:rsidRDefault="00C52C3E" w:rsidP="00BA7E3E">
      <w:pPr>
        <w:spacing w:after="0"/>
        <w:jc w:val="both"/>
      </w:pPr>
      <w:r>
        <w:t>Op 2 juni 2021</w:t>
      </w:r>
      <w:r w:rsidR="00E43137">
        <w:t xml:space="preserve"> </w:t>
      </w:r>
      <w:r w:rsidR="009030BB">
        <w:t xml:space="preserve">vond in de Commissie voor de </w:t>
      </w:r>
      <w:r>
        <w:t>Financiën</w:t>
      </w:r>
      <w:r w:rsidR="009030BB">
        <w:t xml:space="preserve"> </w:t>
      </w:r>
      <w:r>
        <w:t>en de Begroting een gedachtewisseling plaats met</w:t>
      </w:r>
      <w:r w:rsidR="00E43137">
        <w:t xml:space="preserve"> de Minister van Financiën </w:t>
      </w:r>
      <w:r w:rsidR="00563ED0">
        <w:t xml:space="preserve">(zie </w:t>
      </w:r>
      <w:r w:rsidR="00563ED0" w:rsidRPr="00BA7E3E">
        <w:rPr>
          <w:i/>
          <w:iCs/>
        </w:rPr>
        <w:t>Parl.St.</w:t>
      </w:r>
      <w:r w:rsidR="00563ED0">
        <w:t xml:space="preserve"> Kamer</w:t>
      </w:r>
      <w:r w:rsidR="009030BB">
        <w:t>, 2020-2021, nr. 55-2171/001).</w:t>
      </w:r>
      <w:r>
        <w:t xml:space="preserve"> D</w:t>
      </w:r>
      <w:r w:rsidR="00D35753">
        <w:t>eze gedachtewisseling vormde meteen ook het startpunt voor de verdere werkzaamheden.</w:t>
      </w:r>
    </w:p>
    <w:p w14:paraId="0E9D353C" w14:textId="1E08C48D" w:rsidR="00D35753" w:rsidRDefault="00D35753" w:rsidP="00BA7E3E">
      <w:pPr>
        <w:spacing w:after="0"/>
        <w:jc w:val="both"/>
      </w:pPr>
    </w:p>
    <w:p w14:paraId="516917C2" w14:textId="3EB99C81" w:rsidR="00D35753" w:rsidRDefault="00D35753" w:rsidP="00BA7E3E">
      <w:pPr>
        <w:spacing w:after="0"/>
        <w:jc w:val="both"/>
      </w:pPr>
      <w:r>
        <w:t xml:space="preserve">De Minister van Financiën </w:t>
      </w:r>
      <w:r w:rsidR="00C00431">
        <w:t>is vervolgens in dialoog getreden met diverse organisaties uit het middenveld</w:t>
      </w:r>
      <w:r w:rsidR="00BC1A82">
        <w:t>. De hiernavolgende organisaties werden daartoe uitgenodigd:</w:t>
      </w:r>
    </w:p>
    <w:p w14:paraId="2BC6BC05" w14:textId="33B2B323" w:rsidR="006734ED" w:rsidRDefault="00B66D53" w:rsidP="00BA7E3E">
      <w:pPr>
        <w:pStyle w:val="Lijstalinea"/>
        <w:numPr>
          <w:ilvl w:val="0"/>
          <w:numId w:val="86"/>
        </w:numPr>
        <w:spacing w:after="0"/>
        <w:jc w:val="both"/>
      </w:pPr>
      <w:r>
        <w:t>w</w:t>
      </w:r>
      <w:r w:rsidR="006734ED">
        <w:t>e</w:t>
      </w:r>
      <w:r w:rsidR="009A0EB5">
        <w:t>rknemersorganisaties (ABVV, ACV, CSC, FGTB, ACLVB/CGSLB);</w:t>
      </w:r>
    </w:p>
    <w:p w14:paraId="2CEBC291" w14:textId="63F7D91C" w:rsidR="00B6687F" w:rsidRDefault="00B66D53" w:rsidP="00BA7E3E">
      <w:pPr>
        <w:pStyle w:val="Lijstalinea"/>
        <w:numPr>
          <w:ilvl w:val="0"/>
          <w:numId w:val="86"/>
        </w:numPr>
        <w:spacing w:after="0"/>
        <w:jc w:val="both"/>
      </w:pPr>
      <w:r>
        <w:t>w</w:t>
      </w:r>
      <w:r w:rsidR="00B6687F">
        <w:t xml:space="preserve">erkgeversorganisaties (Unizo, VBO, </w:t>
      </w:r>
      <w:r w:rsidR="00682096">
        <w:t xml:space="preserve">Boerenbond, </w:t>
      </w:r>
      <w:r w:rsidR="003B3120">
        <w:t>UCM</w:t>
      </w:r>
      <w:r>
        <w:t>);</w:t>
      </w:r>
      <w:r w:rsidR="003B3120">
        <w:t xml:space="preserve"> </w:t>
      </w:r>
    </w:p>
    <w:p w14:paraId="337FCC94" w14:textId="58A489C9" w:rsidR="009A0EB5" w:rsidRDefault="00B66D53" w:rsidP="00BA7E3E">
      <w:pPr>
        <w:pStyle w:val="Lijstalinea"/>
        <w:numPr>
          <w:ilvl w:val="0"/>
          <w:numId w:val="86"/>
        </w:numPr>
        <w:spacing w:after="0"/>
        <w:jc w:val="both"/>
      </w:pPr>
      <w:r>
        <w:t>m</w:t>
      </w:r>
      <w:r w:rsidR="006117DE">
        <w:t xml:space="preserve">ilieu- en energieorganisaties (Bond Beter Leefmilieu, Inter-Environnement Wallonie, </w:t>
      </w:r>
      <w:r w:rsidR="002D554B" w:rsidRPr="002D554B">
        <w:t xml:space="preserve">Federatie van Belgische Elektriciteits- en Gasbedrijven  </w:t>
      </w:r>
      <w:r w:rsidR="001B213E">
        <w:t>(</w:t>
      </w:r>
      <w:r w:rsidR="002D554B">
        <w:t>FEBEG</w:t>
      </w:r>
      <w:r w:rsidR="001B213E">
        <w:t>)</w:t>
      </w:r>
      <w:r w:rsidR="002D554B">
        <w:t xml:space="preserve">, </w:t>
      </w:r>
      <w:r w:rsidR="001B213E">
        <w:t>Organisaties Duurzame Energie (</w:t>
      </w:r>
      <w:r w:rsidR="002D554B">
        <w:t>ODE</w:t>
      </w:r>
      <w:r w:rsidR="001B213E">
        <w:t>)</w:t>
      </w:r>
      <w:r w:rsidR="002D554B">
        <w:t xml:space="preserve"> en </w:t>
      </w:r>
      <w:r w:rsidR="001B213E">
        <w:t>Fédération des énergies renouvelables (</w:t>
      </w:r>
      <w:r w:rsidR="002D554B">
        <w:t>Edora</w:t>
      </w:r>
      <w:r w:rsidR="001B213E">
        <w:t>)</w:t>
      </w:r>
      <w:r>
        <w:t>)</w:t>
      </w:r>
      <w:r w:rsidR="001B213E">
        <w:t>;</w:t>
      </w:r>
    </w:p>
    <w:p w14:paraId="61D8326D" w14:textId="2F6A21CC" w:rsidR="001B213E" w:rsidRDefault="00B66D53" w:rsidP="00BA7E3E">
      <w:pPr>
        <w:pStyle w:val="Lijstalinea"/>
        <w:numPr>
          <w:ilvl w:val="0"/>
          <w:numId w:val="86"/>
        </w:numPr>
        <w:spacing w:after="0"/>
        <w:jc w:val="both"/>
      </w:pPr>
      <w:r>
        <w:t>j</w:t>
      </w:r>
      <w:r w:rsidR="001049AF">
        <w:t xml:space="preserve">ongeren-, ouderen- en vrouwenorganisaties (éneo, Neos, </w:t>
      </w:r>
      <w:r w:rsidR="00A316CA">
        <w:t>Vlaamse Actieve Senioren, Vrouwenraad, Conse</w:t>
      </w:r>
      <w:r w:rsidR="00E64C3F">
        <w:t>i</w:t>
      </w:r>
      <w:r w:rsidR="00A316CA">
        <w:t>l francophone des Femmes de Belgique, Instituut voor de gelijkheid van vrouwen en mannen, OKRA, Coordination des Associations de Seniors, Gezinsbond, La ligue des familles, Vlaamse Jeugdraad, Nationale Hoge Raad voor Personen met een Handicap, Forum des Jeunes</w:t>
      </w:r>
      <w:r w:rsidR="003C47E3">
        <w:t>)</w:t>
      </w:r>
      <w:r w:rsidR="00A316CA">
        <w:t>;</w:t>
      </w:r>
    </w:p>
    <w:p w14:paraId="7EF32F32" w14:textId="74C59A91" w:rsidR="00A41580" w:rsidRDefault="00B66D53" w:rsidP="00BA7E3E">
      <w:pPr>
        <w:pStyle w:val="Lijstalinea"/>
        <w:numPr>
          <w:ilvl w:val="0"/>
          <w:numId w:val="86"/>
        </w:numPr>
        <w:spacing w:after="0"/>
        <w:jc w:val="both"/>
      </w:pPr>
      <w:r>
        <w:t>a</w:t>
      </w:r>
      <w:r w:rsidR="00574CE7">
        <w:t>rmoede- en welzij</w:t>
      </w:r>
      <w:r w:rsidR="00F4098C">
        <w:t>n</w:t>
      </w:r>
      <w:r w:rsidR="00574CE7">
        <w:t>sorganisaties (Koning Boudewijnstichting, Belgisch Netwerk Armoedebestrijding</w:t>
      </w:r>
      <w:r w:rsidR="00971EBB">
        <w:t>, Netwerk tegen Armoede, Réseau Wallon de Lutte contra la Pauvreté, Welzijnszorg, CAW)</w:t>
      </w:r>
      <w:r w:rsidR="009A4A84">
        <w:t>.</w:t>
      </w:r>
    </w:p>
    <w:p w14:paraId="6F10176A" w14:textId="313D4CC0" w:rsidR="00E43137" w:rsidRDefault="00E43137" w:rsidP="00BA7E3E">
      <w:pPr>
        <w:spacing w:after="0"/>
        <w:jc w:val="both"/>
      </w:pPr>
    </w:p>
    <w:p w14:paraId="17B62DF4" w14:textId="40DD57B8" w:rsidR="00416F39" w:rsidRDefault="00416F39" w:rsidP="00BA7E3E">
      <w:pPr>
        <w:spacing w:after="0"/>
        <w:jc w:val="both"/>
      </w:pPr>
      <w:r>
        <w:t xml:space="preserve">De gedachtewisseling in de Commissie </w:t>
      </w:r>
      <w:r w:rsidR="009A4A84">
        <w:t xml:space="preserve">voor de </w:t>
      </w:r>
      <w:r>
        <w:t>Financiën</w:t>
      </w:r>
      <w:r w:rsidR="009A4A84">
        <w:t xml:space="preserve"> en de Begroting</w:t>
      </w:r>
      <w:r>
        <w:t xml:space="preserve">, alsmede de </w:t>
      </w:r>
      <w:r w:rsidR="0018272D">
        <w:t>latere overlegrondes met de organisaties uit het middenveld, hebben inzonderheid toegelaten nota te nemen van de diverse en uiteenlopende bekommernissen, alsook van de (</w:t>
      </w:r>
      <w:r w:rsidR="0076480C">
        <w:t>vaak niet</w:t>
      </w:r>
      <w:r w:rsidR="0018272D">
        <w:t xml:space="preserve"> </w:t>
      </w:r>
      <w:r w:rsidR="0076480C">
        <w:t>gelijklopende) desiderata.</w:t>
      </w:r>
    </w:p>
    <w:p w14:paraId="3E43C2E7" w14:textId="3C1E88B3" w:rsidR="00416F39" w:rsidRDefault="00416F39" w:rsidP="00BA7E3E">
      <w:pPr>
        <w:spacing w:after="0"/>
        <w:jc w:val="both"/>
      </w:pPr>
    </w:p>
    <w:p w14:paraId="7A6F0C06" w14:textId="4B5C2C9A" w:rsidR="0076480C" w:rsidRDefault="0076480C" w:rsidP="00BA7E3E">
      <w:pPr>
        <w:spacing w:after="0"/>
        <w:jc w:val="both"/>
      </w:pPr>
      <w:r>
        <w:t>In het licht van de</w:t>
      </w:r>
      <w:r w:rsidR="00DF23D1">
        <w:t>ze maatschappelijke achtergrond, werd</w:t>
      </w:r>
      <w:r w:rsidR="00B31B1A">
        <w:t>en de werkzaamheden opgestart</w:t>
      </w:r>
      <w:r w:rsidR="008C1B2F">
        <w:t xml:space="preserve">, met als eerste logische </w:t>
      </w:r>
      <w:r w:rsidR="00580F65">
        <w:t>stap het uitschrijven van de Algemene Visienota</w:t>
      </w:r>
      <w:r w:rsidR="00B31B1A">
        <w:t>.</w:t>
      </w:r>
    </w:p>
    <w:p w14:paraId="4D8020F2" w14:textId="77777777" w:rsidR="0076480C" w:rsidRPr="00B21FAC" w:rsidRDefault="0076480C" w:rsidP="00BA7E3E">
      <w:pPr>
        <w:spacing w:after="0"/>
        <w:jc w:val="both"/>
      </w:pPr>
    </w:p>
    <w:p w14:paraId="24421119" w14:textId="71600E76" w:rsidR="00752B32" w:rsidRPr="00B21FAC" w:rsidRDefault="00752B32" w:rsidP="00BA7E3E">
      <w:pPr>
        <w:spacing w:after="0"/>
        <w:jc w:val="both"/>
      </w:pPr>
      <w:r w:rsidRPr="00B21FAC">
        <w:t xml:space="preserve">De focus van deze Algemene Visienota ligt grotendeels (doch niet uitsluitend) op de hervorming van de personenbelasting. Dit is in dit stadium methodologisch verantwoordbaar, rekening houdend met de doelstellingen van het Regeerakkoord en de eerder verrichte werkzaamheden in dit verband. Bovendien loopt thans een parallel onderzoek dat </w:t>
      </w:r>
      <w:r w:rsidR="005C3596">
        <w:t xml:space="preserve">(weliswaar uitgaande van de verder geformuleerde doelstellingen) </w:t>
      </w:r>
      <w:r w:rsidRPr="00B21FAC">
        <w:t>nader ingaat op de duurzaamheidsfiscaliteit.</w:t>
      </w:r>
    </w:p>
    <w:p w14:paraId="1596B7D6" w14:textId="2B0A74AE" w:rsidR="00752B32" w:rsidRPr="00B21FAC" w:rsidRDefault="00752B32" w:rsidP="00BA7E3E">
      <w:pPr>
        <w:spacing w:after="0"/>
        <w:jc w:val="both"/>
      </w:pPr>
    </w:p>
    <w:p w14:paraId="13632ABF" w14:textId="77777777" w:rsidR="00184982" w:rsidRPr="00B21FAC" w:rsidRDefault="00C10EB1" w:rsidP="00BA7E3E">
      <w:pPr>
        <w:spacing w:after="0"/>
        <w:jc w:val="both"/>
      </w:pPr>
      <w:r w:rsidRPr="00B21FAC">
        <w:t>Met het oog op het uitwerken van de Algemene Visienota, werd</w:t>
      </w:r>
      <w:r w:rsidR="00184982" w:rsidRPr="00B21FAC">
        <w:t xml:space="preserve">en in eerste instantie </w:t>
      </w:r>
      <w:r w:rsidR="00184982" w:rsidRPr="00B21FAC">
        <w:rPr>
          <w:u w:val="single"/>
        </w:rPr>
        <w:t>conceptnota’s</w:t>
      </w:r>
      <w:r w:rsidR="00184982" w:rsidRPr="00B21FAC">
        <w:t xml:space="preserve"> opgemaakt.</w:t>
      </w:r>
    </w:p>
    <w:p w14:paraId="36C0EB22" w14:textId="77777777" w:rsidR="00C10EB1" w:rsidRPr="00B21FAC" w:rsidRDefault="00C10EB1" w:rsidP="00BA7E3E">
      <w:pPr>
        <w:spacing w:after="0"/>
        <w:jc w:val="both"/>
      </w:pPr>
    </w:p>
    <w:p w14:paraId="3F0210D1" w14:textId="76BF7F73" w:rsidR="006E630B" w:rsidRPr="00B21FAC" w:rsidRDefault="00051B0E" w:rsidP="00BA7E3E">
      <w:pPr>
        <w:spacing w:after="0"/>
        <w:jc w:val="both"/>
      </w:pPr>
      <w:r w:rsidRPr="00B21FAC">
        <w:t>De eerste nota beoog</w:t>
      </w:r>
      <w:r w:rsidR="007256DD" w:rsidRPr="00B21FAC">
        <w:t>de</w:t>
      </w:r>
      <w:r w:rsidR="00074AB9" w:rsidRPr="00B21FAC">
        <w:t xml:space="preserve"> de algemene doelstellingen van de hervorming</w:t>
      </w:r>
      <w:r w:rsidRPr="00B21FAC">
        <w:t xml:space="preserve"> in kaart te brengen,</w:t>
      </w:r>
      <w:r w:rsidR="00074AB9" w:rsidRPr="00B21FAC">
        <w:t xml:space="preserve"> </w:t>
      </w:r>
      <w:r w:rsidR="006E630B" w:rsidRPr="00B21FAC">
        <w:t xml:space="preserve">met als uitgangspunten (i) het </w:t>
      </w:r>
      <w:r w:rsidR="00832792" w:rsidRPr="00B21FAC">
        <w:t>R</w:t>
      </w:r>
      <w:r w:rsidR="006E630B" w:rsidRPr="00B21FAC">
        <w:t>egeerakkoord, (i</w:t>
      </w:r>
      <w:r w:rsidR="00FB05FD">
        <w:t>i</w:t>
      </w:r>
      <w:r w:rsidR="006E630B" w:rsidRPr="00B21FAC">
        <w:t>) de principiële aanbevelingen van de HRF (</w:t>
      </w:r>
      <w:r w:rsidR="00C91CC6" w:rsidRPr="00B21FAC">
        <w:t xml:space="preserve">Advies mei 2020, </w:t>
      </w:r>
      <w:r w:rsidR="006E630B" w:rsidRPr="00B21FAC">
        <w:t>zie inzonderheid p. 199), (iii) aangevuld met juridische en economische basisprincipes</w:t>
      </w:r>
      <w:r w:rsidR="00832792" w:rsidRPr="00B21FAC">
        <w:t>.</w:t>
      </w:r>
    </w:p>
    <w:p w14:paraId="423E9B57" w14:textId="61B612A2" w:rsidR="00832792" w:rsidRPr="00B21FAC" w:rsidRDefault="00832792" w:rsidP="00BA7E3E">
      <w:pPr>
        <w:spacing w:after="0"/>
        <w:jc w:val="both"/>
      </w:pPr>
    </w:p>
    <w:p w14:paraId="2654520C" w14:textId="77777777" w:rsidR="00184982" w:rsidRPr="00B21FAC" w:rsidRDefault="00184982" w:rsidP="00BA7E3E">
      <w:pPr>
        <w:spacing w:after="0"/>
        <w:jc w:val="both"/>
      </w:pPr>
      <w:r w:rsidRPr="00B21FAC">
        <w:t xml:space="preserve">In de navolgende nota’s </w:t>
      </w:r>
      <w:r w:rsidR="00CC04DC" w:rsidRPr="00B21FAC">
        <w:t>werden deze diverse doelstellingen meer concreet vertaald naar elk van de volgende deelaspecten</w:t>
      </w:r>
      <w:r w:rsidR="008B26D0" w:rsidRPr="00B21FAC">
        <w:t xml:space="preserve">: (i) samenlevingsvormen, (ii) </w:t>
      </w:r>
      <w:r w:rsidR="001D6B97" w:rsidRPr="00B21FAC">
        <w:t>activiteitsinkomsten</w:t>
      </w:r>
      <w:r w:rsidR="008B26D0" w:rsidRPr="00B21FAC">
        <w:t xml:space="preserve">, (iii) </w:t>
      </w:r>
      <w:r w:rsidR="003A430F" w:rsidRPr="00B21FAC">
        <w:t>pensioenen en vervangingsinkomsten, (iv) vermogensinkomsten, (v) consumptie en vervuiling.</w:t>
      </w:r>
      <w:r w:rsidR="00EE522A" w:rsidRPr="00B21FAC">
        <w:t xml:space="preserve"> </w:t>
      </w:r>
    </w:p>
    <w:p w14:paraId="1F2D3973" w14:textId="77777777" w:rsidR="00184982" w:rsidRPr="00B21FAC" w:rsidRDefault="00184982" w:rsidP="00BA7E3E">
      <w:pPr>
        <w:spacing w:after="0"/>
        <w:jc w:val="both"/>
      </w:pPr>
    </w:p>
    <w:p w14:paraId="716CB3B0" w14:textId="09A0E00D" w:rsidR="00C910D2" w:rsidRDefault="00410B77" w:rsidP="00BA7E3E">
      <w:pPr>
        <w:spacing w:after="0"/>
        <w:jc w:val="both"/>
      </w:pPr>
      <w:r w:rsidRPr="00B21FAC">
        <w:t>Hierbij werd gebruik van een klassiek bronnenonderzoek</w:t>
      </w:r>
      <w:r w:rsidR="00135A0F" w:rsidRPr="00B21FAC">
        <w:t xml:space="preserve">, </w:t>
      </w:r>
      <w:r w:rsidR="00B7605B">
        <w:t xml:space="preserve">dat werd </w:t>
      </w:r>
      <w:r w:rsidR="00135A0F" w:rsidRPr="00B21FAC">
        <w:t xml:space="preserve">aangevuld met een </w:t>
      </w:r>
      <w:r w:rsidR="0075623C">
        <w:t xml:space="preserve">beperkte </w:t>
      </w:r>
      <w:r w:rsidR="00135A0F" w:rsidRPr="00B21FAC">
        <w:t>functionele vergelijking met de ons omringende landen.</w:t>
      </w:r>
    </w:p>
    <w:p w14:paraId="2BA649D4" w14:textId="77777777" w:rsidR="004F7AE8" w:rsidRPr="00B21FAC" w:rsidRDefault="004F7AE8" w:rsidP="00BA7E3E">
      <w:pPr>
        <w:spacing w:after="0"/>
        <w:jc w:val="both"/>
      </w:pPr>
    </w:p>
    <w:p w14:paraId="60A1A102" w14:textId="5BC79ABE" w:rsidR="00135A0F" w:rsidRPr="00B21FAC" w:rsidRDefault="00EF78EE" w:rsidP="00BA7E3E">
      <w:pPr>
        <w:spacing w:after="0"/>
        <w:jc w:val="both"/>
      </w:pPr>
      <w:r w:rsidRPr="00B21FAC">
        <w:t>Elk</w:t>
      </w:r>
      <w:r w:rsidR="00702961" w:rsidRPr="00B21FAC">
        <w:t>e</w:t>
      </w:r>
      <w:r w:rsidR="00302005" w:rsidRPr="00B21FAC">
        <w:t xml:space="preserve"> </w:t>
      </w:r>
      <w:r w:rsidR="007256DD" w:rsidRPr="00B21FAC">
        <w:t>concept</w:t>
      </w:r>
      <w:r w:rsidR="00302005" w:rsidRPr="00B21FAC">
        <w:t xml:space="preserve">nota werd voorgelegd aan een academische werkgroep, die fungeert als </w:t>
      </w:r>
      <w:r w:rsidR="00302005" w:rsidRPr="00B21FAC">
        <w:rPr>
          <w:u w:val="single"/>
        </w:rPr>
        <w:t>wetenschappelijk klankbord</w:t>
      </w:r>
      <w:r w:rsidR="002A54B2" w:rsidRPr="00B21FAC">
        <w:t xml:space="preserve">, met als voornaamste doel ertoe bij te dragen dat de </w:t>
      </w:r>
      <w:r w:rsidR="00176997" w:rsidRPr="00B21FAC">
        <w:t>geformuleerde voorstellen coherent zijn, zowel vanuit juridisch als vanuit economisch oogpunt</w:t>
      </w:r>
      <w:r w:rsidR="00302005" w:rsidRPr="00B21FAC">
        <w:t>.</w:t>
      </w:r>
      <w:r w:rsidR="00484526" w:rsidRPr="00B21FAC">
        <w:t xml:space="preserve"> In functie van de gemaakte opmerkingen en aangereikte inzichten, werden de conceptnota</w:t>
      </w:r>
      <w:r w:rsidR="00972BD0" w:rsidRPr="00B21FAC">
        <w:t>’</w:t>
      </w:r>
      <w:r w:rsidR="00484526" w:rsidRPr="00B21FAC">
        <w:t xml:space="preserve">s </w:t>
      </w:r>
      <w:r w:rsidR="00972BD0" w:rsidRPr="00B21FAC">
        <w:t>aangevuld en/of gecorrigeerd</w:t>
      </w:r>
      <w:r w:rsidR="00484526" w:rsidRPr="00B21FAC">
        <w:t xml:space="preserve">. </w:t>
      </w:r>
      <w:r w:rsidR="00972BD0" w:rsidRPr="00B21FAC">
        <w:t xml:space="preserve">De </w:t>
      </w:r>
      <w:r w:rsidR="00ED1448">
        <w:t>bijgewerkte</w:t>
      </w:r>
      <w:r w:rsidR="00ED1448" w:rsidRPr="00B21FAC">
        <w:t xml:space="preserve"> </w:t>
      </w:r>
      <w:r w:rsidR="00DE3ACA" w:rsidRPr="00B21FAC">
        <w:t xml:space="preserve">nota’s </w:t>
      </w:r>
      <w:r w:rsidR="00972BD0" w:rsidRPr="00B21FAC">
        <w:t xml:space="preserve">werden </w:t>
      </w:r>
      <w:r w:rsidR="00AF5622" w:rsidRPr="00B21FAC">
        <w:t>voor nazicht opnieuw aan de werkgroep voorgelegd.</w:t>
      </w:r>
    </w:p>
    <w:p w14:paraId="1350453F" w14:textId="77777777" w:rsidR="00484526" w:rsidRPr="00B21FAC" w:rsidRDefault="00484526" w:rsidP="00BA7E3E">
      <w:pPr>
        <w:spacing w:after="0"/>
        <w:jc w:val="both"/>
      </w:pPr>
    </w:p>
    <w:p w14:paraId="4ED2952E" w14:textId="0177A79F" w:rsidR="00256AE0" w:rsidRPr="00B21FAC" w:rsidRDefault="00256AE0" w:rsidP="00BA7E3E">
      <w:pPr>
        <w:spacing w:after="0"/>
        <w:jc w:val="both"/>
      </w:pPr>
      <w:r w:rsidRPr="00B21FAC">
        <w:t>Deze werkgroep werd door de coördinator, in samenspraak met de FOD Financiën, samengesteld</w:t>
      </w:r>
      <w:r w:rsidR="00BA6803" w:rsidRPr="00B21FAC">
        <w:t xml:space="preserve">. Daarbij werd betracht om zoveel als mogelijk complementaire fiscale expertise </w:t>
      </w:r>
      <w:r w:rsidR="00F97A84" w:rsidRPr="00B21FAC">
        <w:t xml:space="preserve">(zowel juridisch als economisch) </w:t>
      </w:r>
      <w:r w:rsidR="00BA6803" w:rsidRPr="00B21FAC">
        <w:t>bij elkaar te brengen.</w:t>
      </w:r>
    </w:p>
    <w:p w14:paraId="05C3DA87" w14:textId="66661F5A" w:rsidR="00302005" w:rsidRPr="00B21FAC" w:rsidRDefault="00EC58D7" w:rsidP="00BA7E3E">
      <w:pPr>
        <w:spacing w:after="0"/>
        <w:jc w:val="both"/>
      </w:pPr>
      <w:r w:rsidRPr="00B21FAC">
        <w:t xml:space="preserve">De volgende </w:t>
      </w:r>
      <w:r w:rsidR="006B1B37">
        <w:t>professoren</w:t>
      </w:r>
      <w:r w:rsidR="006B1B37" w:rsidRPr="00B21FAC">
        <w:t xml:space="preserve"> </w:t>
      </w:r>
      <w:r w:rsidRPr="00B21FAC">
        <w:t>maakten deel uit van deze werkgroep:</w:t>
      </w:r>
    </w:p>
    <w:p w14:paraId="6B4375AC" w14:textId="5EAE2D2E" w:rsidR="00EC58D7" w:rsidRPr="00B21FAC" w:rsidRDefault="00E53C53" w:rsidP="00BA7E3E">
      <w:pPr>
        <w:pStyle w:val="Lijstalinea"/>
        <w:numPr>
          <w:ilvl w:val="0"/>
          <w:numId w:val="82"/>
        </w:numPr>
        <w:spacing w:after="0"/>
        <w:jc w:val="both"/>
      </w:pPr>
      <w:r w:rsidRPr="00B21FAC">
        <w:t>Marc Bourgeois</w:t>
      </w:r>
      <w:r w:rsidR="0081349E" w:rsidRPr="00B21FAC">
        <w:t xml:space="preserve"> (ULiège)</w:t>
      </w:r>
    </w:p>
    <w:p w14:paraId="537DE5F4" w14:textId="321E960A" w:rsidR="00B31BDB" w:rsidRPr="00B21FAC" w:rsidRDefault="00B31BDB" w:rsidP="00BA7E3E">
      <w:pPr>
        <w:pStyle w:val="Lijstalinea"/>
        <w:numPr>
          <w:ilvl w:val="0"/>
          <w:numId w:val="82"/>
        </w:numPr>
        <w:spacing w:after="0"/>
        <w:jc w:val="both"/>
      </w:pPr>
      <w:r w:rsidRPr="00B21FAC">
        <w:t>Luc De Broe</w:t>
      </w:r>
      <w:r w:rsidR="0081349E" w:rsidRPr="00B21FAC">
        <w:t xml:space="preserve"> (KULeuven)</w:t>
      </w:r>
    </w:p>
    <w:p w14:paraId="6992813A" w14:textId="285428AA" w:rsidR="00E53C53" w:rsidRPr="00B21FAC" w:rsidRDefault="00E53C53" w:rsidP="00BA7E3E">
      <w:pPr>
        <w:pStyle w:val="Lijstalinea"/>
        <w:numPr>
          <w:ilvl w:val="0"/>
          <w:numId w:val="82"/>
        </w:numPr>
        <w:spacing w:after="0"/>
        <w:jc w:val="both"/>
      </w:pPr>
      <w:r w:rsidRPr="00B21FAC">
        <w:t>André Decoster</w:t>
      </w:r>
      <w:r w:rsidR="0081349E" w:rsidRPr="00B21FAC">
        <w:t xml:space="preserve"> (KULeuven)</w:t>
      </w:r>
    </w:p>
    <w:p w14:paraId="4D87B724" w14:textId="45D6083A" w:rsidR="002D022A" w:rsidRPr="00B21FAC" w:rsidRDefault="002D022A" w:rsidP="00BA7E3E">
      <w:pPr>
        <w:pStyle w:val="Lijstalinea"/>
        <w:numPr>
          <w:ilvl w:val="0"/>
          <w:numId w:val="82"/>
        </w:numPr>
        <w:spacing w:after="0"/>
        <w:jc w:val="both"/>
      </w:pPr>
      <w:r w:rsidRPr="00B21FAC">
        <w:t>Caroline Docclo</w:t>
      </w:r>
      <w:r w:rsidR="0081349E" w:rsidRPr="00B21FAC">
        <w:t xml:space="preserve"> (ULB)</w:t>
      </w:r>
    </w:p>
    <w:p w14:paraId="0D065FF3" w14:textId="7B536153" w:rsidR="00E53C53" w:rsidRPr="00B21FAC" w:rsidRDefault="00B31BDB" w:rsidP="00BA7E3E">
      <w:pPr>
        <w:pStyle w:val="Lijstalinea"/>
        <w:numPr>
          <w:ilvl w:val="0"/>
          <w:numId w:val="82"/>
        </w:numPr>
        <w:spacing w:after="0"/>
        <w:jc w:val="both"/>
      </w:pPr>
      <w:r w:rsidRPr="00B21FAC">
        <w:t>Axel Haelterman</w:t>
      </w:r>
      <w:r w:rsidR="0081349E" w:rsidRPr="00B21FAC">
        <w:t xml:space="preserve"> (KULeuven)</w:t>
      </w:r>
    </w:p>
    <w:p w14:paraId="40384EAF" w14:textId="57361EDC" w:rsidR="00B31BDB" w:rsidRPr="00B21FAC" w:rsidRDefault="002D022A" w:rsidP="00BA7E3E">
      <w:pPr>
        <w:pStyle w:val="Lijstalinea"/>
        <w:numPr>
          <w:ilvl w:val="0"/>
          <w:numId w:val="82"/>
        </w:numPr>
        <w:spacing w:after="0"/>
        <w:jc w:val="both"/>
      </w:pPr>
      <w:r w:rsidRPr="00B21FAC">
        <w:t>Marie Lamensch</w:t>
      </w:r>
      <w:r w:rsidR="0081349E" w:rsidRPr="00B21FAC">
        <w:t xml:space="preserve"> </w:t>
      </w:r>
      <w:r w:rsidR="00BE4BAD" w:rsidRPr="00B21FAC">
        <w:t>(</w:t>
      </w:r>
      <w:r w:rsidR="00785E19" w:rsidRPr="00B21FAC">
        <w:t>Vrije Universiteit Brussel</w:t>
      </w:r>
      <w:r w:rsidR="00BE4BAD" w:rsidRPr="00B21FAC">
        <w:t xml:space="preserve"> en UCLouvain)</w:t>
      </w:r>
    </w:p>
    <w:p w14:paraId="0DE235DC" w14:textId="152EABC4" w:rsidR="002D022A" w:rsidRPr="00B21FAC" w:rsidRDefault="004F133F" w:rsidP="00BA7E3E">
      <w:pPr>
        <w:pStyle w:val="Lijstalinea"/>
        <w:numPr>
          <w:ilvl w:val="0"/>
          <w:numId w:val="82"/>
        </w:numPr>
        <w:spacing w:after="0"/>
        <w:jc w:val="both"/>
      </w:pPr>
      <w:r w:rsidRPr="00B21FAC">
        <w:t>François Maniquet</w:t>
      </w:r>
      <w:r w:rsidR="00BE4BAD" w:rsidRPr="00B21FAC">
        <w:t xml:space="preserve"> (UCLouvain)</w:t>
      </w:r>
    </w:p>
    <w:p w14:paraId="5217FBA3" w14:textId="01CF1D79" w:rsidR="00E97548" w:rsidRPr="00B21FAC" w:rsidRDefault="00E97548" w:rsidP="00BA7E3E">
      <w:pPr>
        <w:pStyle w:val="Lijstalinea"/>
        <w:numPr>
          <w:ilvl w:val="0"/>
          <w:numId w:val="82"/>
        </w:numPr>
        <w:spacing w:after="0"/>
        <w:jc w:val="both"/>
      </w:pPr>
      <w:r w:rsidRPr="00B21FAC">
        <w:t>Gert Peersman</w:t>
      </w:r>
      <w:r w:rsidR="00BE4BAD" w:rsidRPr="00B21FAC">
        <w:t xml:space="preserve"> (UGent)</w:t>
      </w:r>
    </w:p>
    <w:p w14:paraId="54D85AE0" w14:textId="6AC61CD3" w:rsidR="004F133F" w:rsidRPr="00B21FAC" w:rsidRDefault="004F133F" w:rsidP="00BA7E3E">
      <w:pPr>
        <w:pStyle w:val="Lijstalinea"/>
        <w:numPr>
          <w:ilvl w:val="0"/>
          <w:numId w:val="82"/>
        </w:numPr>
        <w:spacing w:after="0"/>
        <w:jc w:val="both"/>
      </w:pPr>
      <w:r w:rsidRPr="00B21FAC">
        <w:t>Bruno Peeters</w:t>
      </w:r>
      <w:r w:rsidR="00BE4BAD" w:rsidRPr="00B21FAC">
        <w:t xml:space="preserve"> (UAntwerpen)</w:t>
      </w:r>
    </w:p>
    <w:p w14:paraId="07DA78DC" w14:textId="464FD129" w:rsidR="004F133F" w:rsidRPr="00B21FAC" w:rsidRDefault="004F133F" w:rsidP="00BA7E3E">
      <w:pPr>
        <w:pStyle w:val="Lijstalinea"/>
        <w:numPr>
          <w:ilvl w:val="0"/>
          <w:numId w:val="82"/>
        </w:numPr>
        <w:spacing w:after="0"/>
        <w:jc w:val="both"/>
      </w:pPr>
      <w:r w:rsidRPr="00B21FAC">
        <w:t>Pierre Pestieau</w:t>
      </w:r>
      <w:r w:rsidR="00BE4BAD" w:rsidRPr="00B21FAC">
        <w:t xml:space="preserve"> (</w:t>
      </w:r>
      <w:r w:rsidR="00785E19" w:rsidRPr="00B21FAC">
        <w:t>ULiège)</w:t>
      </w:r>
    </w:p>
    <w:p w14:paraId="350F3249" w14:textId="22990D51" w:rsidR="004F133F" w:rsidRPr="00B21FAC" w:rsidRDefault="00E97548" w:rsidP="00BA7E3E">
      <w:pPr>
        <w:pStyle w:val="Lijstalinea"/>
        <w:numPr>
          <w:ilvl w:val="0"/>
          <w:numId w:val="82"/>
        </w:numPr>
        <w:spacing w:after="0"/>
        <w:jc w:val="both"/>
      </w:pPr>
      <w:r w:rsidRPr="00B21FAC">
        <w:t>Kevin Spiritus</w:t>
      </w:r>
      <w:r w:rsidR="00785E19" w:rsidRPr="00B21FAC">
        <w:t xml:space="preserve"> (Erasmus Universiteit Rotterdam)</w:t>
      </w:r>
    </w:p>
    <w:p w14:paraId="5D33A24A" w14:textId="6749D3B7" w:rsidR="005713A9" w:rsidRPr="00B21FAC" w:rsidRDefault="005713A9" w:rsidP="00BA7E3E">
      <w:pPr>
        <w:pStyle w:val="Lijstalinea"/>
        <w:numPr>
          <w:ilvl w:val="0"/>
          <w:numId w:val="82"/>
        </w:numPr>
        <w:spacing w:after="0"/>
        <w:jc w:val="both"/>
      </w:pPr>
      <w:r w:rsidRPr="00B21FAC">
        <w:t>Edoardo Traversa</w:t>
      </w:r>
      <w:r w:rsidR="00785E19" w:rsidRPr="00B21FAC">
        <w:t xml:space="preserve"> (UCLouvain)</w:t>
      </w:r>
    </w:p>
    <w:p w14:paraId="59A2844F" w14:textId="76CDC06C" w:rsidR="004A55CA" w:rsidRPr="00B21FAC" w:rsidRDefault="004A55CA" w:rsidP="00BA7E3E">
      <w:pPr>
        <w:pStyle w:val="Lijstalinea"/>
        <w:numPr>
          <w:ilvl w:val="0"/>
          <w:numId w:val="82"/>
        </w:numPr>
        <w:spacing w:after="0"/>
        <w:jc w:val="both"/>
      </w:pPr>
      <w:r w:rsidRPr="00B21FAC">
        <w:t xml:space="preserve">Elly Van </w:t>
      </w:r>
      <w:r w:rsidR="001357D2">
        <w:t>d</w:t>
      </w:r>
      <w:r w:rsidRPr="00B21FAC">
        <w:t>e Velde (UHasselt)</w:t>
      </w:r>
    </w:p>
    <w:p w14:paraId="4BBA3E93" w14:textId="403E42F4" w:rsidR="005713A9" w:rsidRPr="00B21FAC" w:rsidRDefault="005713A9" w:rsidP="00BA7E3E">
      <w:pPr>
        <w:pStyle w:val="Lijstalinea"/>
        <w:numPr>
          <w:ilvl w:val="0"/>
          <w:numId w:val="82"/>
        </w:numPr>
        <w:spacing w:after="0"/>
        <w:jc w:val="both"/>
      </w:pPr>
      <w:r w:rsidRPr="00B21FAC">
        <w:t>Gerlinde Verbist</w:t>
      </w:r>
      <w:r w:rsidR="00785E19" w:rsidRPr="00B21FAC">
        <w:t xml:space="preserve"> (UAntwerpen)</w:t>
      </w:r>
    </w:p>
    <w:p w14:paraId="5DB852BC" w14:textId="6949C74F" w:rsidR="00AB16D5" w:rsidRDefault="00AB16D5" w:rsidP="00BA7E3E">
      <w:pPr>
        <w:spacing w:after="0"/>
        <w:jc w:val="both"/>
      </w:pPr>
    </w:p>
    <w:p w14:paraId="4E7004AE" w14:textId="138864C9" w:rsidR="0044529F" w:rsidRDefault="00CA73B3" w:rsidP="00BA7E3E">
      <w:pPr>
        <w:spacing w:after="0"/>
        <w:jc w:val="both"/>
      </w:pPr>
      <w:r>
        <w:t xml:space="preserve">Naast deze technische werkzaamheden, werd </w:t>
      </w:r>
      <w:r w:rsidR="009554AA">
        <w:t xml:space="preserve">eveneens </w:t>
      </w:r>
      <w:r w:rsidR="00692ACD">
        <w:t xml:space="preserve">een overleg ingepland met de hiernavolgende personen/instellingen, </w:t>
      </w:r>
      <w:r w:rsidR="007E2FA6">
        <w:t>sterk betrokken in het maatschappelijk debat</w:t>
      </w:r>
      <w:r w:rsidR="003A620C">
        <w:t xml:space="preserve"> rond de fiscale hervorming</w:t>
      </w:r>
      <w:r w:rsidR="007E2FA6">
        <w:t xml:space="preserve">, </w:t>
      </w:r>
      <w:r w:rsidR="000B1750">
        <w:t xml:space="preserve">met als doel </w:t>
      </w:r>
      <w:r w:rsidR="00153C2D">
        <w:t xml:space="preserve">te reflecteren </w:t>
      </w:r>
      <w:r w:rsidR="00867A7E">
        <w:t xml:space="preserve">over </w:t>
      </w:r>
      <w:r w:rsidR="000B1750">
        <w:t xml:space="preserve">de </w:t>
      </w:r>
      <w:r w:rsidR="000B1750" w:rsidRPr="00BA7E3E">
        <w:rPr>
          <w:u w:val="single"/>
        </w:rPr>
        <w:t xml:space="preserve">maatschappelijke </w:t>
      </w:r>
      <w:r w:rsidR="003B643C">
        <w:rPr>
          <w:u w:val="single"/>
        </w:rPr>
        <w:t xml:space="preserve">onderbouw of </w:t>
      </w:r>
      <w:r w:rsidR="004E0F7F" w:rsidRPr="00BA7E3E">
        <w:rPr>
          <w:u w:val="single"/>
        </w:rPr>
        <w:t>haalbaarheid</w:t>
      </w:r>
      <w:r w:rsidR="004E0F7F">
        <w:t xml:space="preserve"> van bepaalde voorstellen</w:t>
      </w:r>
      <w:r w:rsidR="007E2FA6">
        <w:t>:</w:t>
      </w:r>
    </w:p>
    <w:p w14:paraId="49BA73B1" w14:textId="6C3FA737" w:rsidR="00006D2B" w:rsidRDefault="00006D2B" w:rsidP="00BA7E3E">
      <w:pPr>
        <w:pStyle w:val="Lijstalinea"/>
        <w:numPr>
          <w:ilvl w:val="0"/>
          <w:numId w:val="87"/>
        </w:numPr>
        <w:spacing w:after="0"/>
        <w:jc w:val="both"/>
      </w:pPr>
      <w:r>
        <w:t>Bruno Colmant</w:t>
      </w:r>
      <w:r w:rsidR="007A3A4F">
        <w:t xml:space="preserve"> (</w:t>
      </w:r>
      <w:r w:rsidR="006C4B9D">
        <w:t xml:space="preserve">UCLouvain, ULB, </w:t>
      </w:r>
      <w:r w:rsidR="00B81B9C">
        <w:t>Vlerick)</w:t>
      </w:r>
    </w:p>
    <w:p w14:paraId="10579FA3" w14:textId="39CAE940" w:rsidR="00006D2B" w:rsidRPr="00BA7E3E" w:rsidRDefault="00006D2B" w:rsidP="00BA7E3E">
      <w:pPr>
        <w:pStyle w:val="Lijstalinea"/>
        <w:numPr>
          <w:ilvl w:val="0"/>
          <w:numId w:val="87"/>
        </w:numPr>
        <w:spacing w:after="0"/>
        <w:jc w:val="both"/>
        <w:rPr>
          <w:lang w:val="fr-FR"/>
        </w:rPr>
      </w:pPr>
      <w:r w:rsidRPr="00BA7E3E">
        <w:rPr>
          <w:lang w:val="fr-FR"/>
        </w:rPr>
        <w:t>Etienne de Ca</w:t>
      </w:r>
      <w:r w:rsidR="00867DA3" w:rsidRPr="00BA7E3E">
        <w:rPr>
          <w:lang w:val="fr-FR"/>
        </w:rPr>
        <w:t>l</w:t>
      </w:r>
      <w:r w:rsidRPr="00BA7E3E">
        <w:rPr>
          <w:lang w:val="fr-FR"/>
        </w:rPr>
        <w:t>lataÿ</w:t>
      </w:r>
      <w:r w:rsidR="00EB22D7" w:rsidRPr="00BA7E3E">
        <w:rPr>
          <w:lang w:val="fr-FR"/>
        </w:rPr>
        <w:t xml:space="preserve"> (UCLouvain en </w:t>
      </w:r>
      <w:r w:rsidR="0011332A">
        <w:rPr>
          <w:lang w:val="fr-FR"/>
        </w:rPr>
        <w:t>UNamur)</w:t>
      </w:r>
    </w:p>
    <w:p w14:paraId="6BF69504" w14:textId="77777777" w:rsidR="00304770" w:rsidRPr="00304770" w:rsidRDefault="00304770" w:rsidP="00BA7E3E">
      <w:pPr>
        <w:numPr>
          <w:ilvl w:val="0"/>
          <w:numId w:val="87"/>
        </w:numPr>
        <w:spacing w:after="0"/>
        <w:jc w:val="both"/>
      </w:pPr>
      <w:r w:rsidRPr="00304770">
        <w:t>Michel Maus (Fiscaal Ideaal, Vrije Universiteit Brussel)</w:t>
      </w:r>
    </w:p>
    <w:p w14:paraId="0463655C" w14:textId="77777777" w:rsidR="00304770" w:rsidRPr="00304770" w:rsidRDefault="00304770" w:rsidP="00BA7E3E">
      <w:pPr>
        <w:numPr>
          <w:ilvl w:val="0"/>
          <w:numId w:val="87"/>
        </w:numPr>
        <w:spacing w:after="0"/>
        <w:jc w:val="both"/>
      </w:pPr>
      <w:r w:rsidRPr="00304770">
        <w:t>Matthias Somers (Minerva)</w:t>
      </w:r>
    </w:p>
    <w:p w14:paraId="5CE9B66D" w14:textId="50D48D70" w:rsidR="00304770" w:rsidRPr="00304770" w:rsidRDefault="00304770" w:rsidP="00BA7E3E">
      <w:pPr>
        <w:numPr>
          <w:ilvl w:val="0"/>
          <w:numId w:val="87"/>
        </w:numPr>
        <w:spacing w:after="0"/>
        <w:jc w:val="both"/>
      </w:pPr>
      <w:r w:rsidRPr="00304770">
        <w:t>Ivan Van de Cloot</w:t>
      </w:r>
      <w:r w:rsidR="00C934C4">
        <w:t xml:space="preserve"> </w:t>
      </w:r>
      <w:r w:rsidR="00842F7B">
        <w:t>en Karel Volckaert</w:t>
      </w:r>
      <w:r w:rsidRPr="00304770">
        <w:t xml:space="preserve"> (Itinera)</w:t>
      </w:r>
    </w:p>
    <w:p w14:paraId="4805B13D" w14:textId="77777777" w:rsidR="009F476F" w:rsidRPr="007946A4" w:rsidRDefault="009F476F" w:rsidP="00BA7E3E">
      <w:pPr>
        <w:spacing w:after="0"/>
        <w:jc w:val="both"/>
      </w:pPr>
    </w:p>
    <w:p w14:paraId="46352657" w14:textId="4E5BD6C9" w:rsidR="00EF78EE" w:rsidRPr="00B21FAC" w:rsidRDefault="002A54B2" w:rsidP="00BA7E3E">
      <w:pPr>
        <w:spacing w:after="0"/>
        <w:jc w:val="both"/>
      </w:pPr>
      <w:r w:rsidRPr="00B21FAC">
        <w:t>In een laatste fase werden de diverse conceptnota</w:t>
      </w:r>
      <w:r w:rsidR="00661731">
        <w:t>’</w:t>
      </w:r>
      <w:r w:rsidRPr="00B21FAC">
        <w:t xml:space="preserve">s </w:t>
      </w:r>
      <w:r w:rsidR="00661731">
        <w:t xml:space="preserve">en aanvullende bevindingen </w:t>
      </w:r>
      <w:r w:rsidR="00C829C9">
        <w:t xml:space="preserve">gesynthetiseerd en </w:t>
      </w:r>
      <w:r w:rsidR="00F62A6D" w:rsidRPr="00B21FAC">
        <w:t xml:space="preserve">gebundeld in een </w:t>
      </w:r>
      <w:r w:rsidR="00F62A6D" w:rsidRPr="00B21FAC">
        <w:rPr>
          <w:u w:val="single"/>
        </w:rPr>
        <w:t>algemene tekst</w:t>
      </w:r>
      <w:r w:rsidR="00A95276" w:rsidRPr="00B21FAC">
        <w:t>, waarvan het onderhavige rapport de neerslag vormt.</w:t>
      </w:r>
    </w:p>
    <w:p w14:paraId="134BD344" w14:textId="7FBC751D" w:rsidR="00410B77" w:rsidRDefault="00410B77" w:rsidP="00BA7E3E">
      <w:pPr>
        <w:spacing w:after="0"/>
        <w:jc w:val="both"/>
      </w:pPr>
    </w:p>
    <w:p w14:paraId="7BE5E8B8" w14:textId="454C4A77" w:rsidR="006906CC" w:rsidRPr="00B21FAC" w:rsidRDefault="006906CC" w:rsidP="00BA7E3E">
      <w:pPr>
        <w:spacing w:after="0"/>
        <w:jc w:val="both"/>
      </w:pPr>
      <w:r>
        <w:t xml:space="preserve">Zoals hoger reeds aangehaald beoogt dit rapport inzonderheid de eventuele krachtlijnen van een hervorming </w:t>
      </w:r>
      <w:r w:rsidR="00FF6201">
        <w:t xml:space="preserve">in kaart te brengen. Het is daarbij onontbeerlijk dat ook de </w:t>
      </w:r>
      <w:r w:rsidR="00C546CB">
        <w:t xml:space="preserve">budgettaire en economische impact van de hervorming zorgvuldig wordt berekend. </w:t>
      </w:r>
      <w:r w:rsidR="00785F5E">
        <w:t>Het lijkt meer dan opportuun ook de Nationale Bank en het Federaal Planbureau hierbij te betrekken</w:t>
      </w:r>
      <w:r w:rsidR="00194309">
        <w:t>. Zij beschikken immers over econometrische modellen die de impact kunnen simuleren over een meerjarige periode.</w:t>
      </w:r>
    </w:p>
    <w:p w14:paraId="2E969D38" w14:textId="26297476" w:rsidR="006E62C7" w:rsidRDefault="006E62C7">
      <w:r>
        <w:br w:type="page"/>
      </w:r>
    </w:p>
    <w:p w14:paraId="7446BA7A" w14:textId="5BB87188" w:rsidR="006E62C7" w:rsidRDefault="006E62C7">
      <w:pPr>
        <w:spacing w:after="0"/>
        <w:jc w:val="both"/>
      </w:pPr>
    </w:p>
    <w:p w14:paraId="297628BB" w14:textId="77777777" w:rsidR="006E62C7" w:rsidRPr="00B21FAC" w:rsidRDefault="006E62C7" w:rsidP="00BA7E3E">
      <w:pPr>
        <w:spacing w:after="0"/>
        <w:jc w:val="both"/>
      </w:pPr>
    </w:p>
    <w:p w14:paraId="01FEBB6C" w14:textId="31613F40" w:rsidR="00463417" w:rsidRPr="00B21FAC" w:rsidRDefault="00D50979" w:rsidP="00BA7E3E">
      <w:pPr>
        <w:pStyle w:val="Kop2"/>
        <w:numPr>
          <w:ilvl w:val="0"/>
          <w:numId w:val="33"/>
        </w:numPr>
      </w:pPr>
      <w:bookmarkStart w:id="8" w:name="_Toc107210869"/>
      <w:r w:rsidRPr="00B21FAC">
        <w:t>A</w:t>
      </w:r>
      <w:r w:rsidR="002571A0" w:rsidRPr="00B21FAC">
        <w:t>fbakening van de hervorming</w:t>
      </w:r>
      <w:bookmarkEnd w:id="8"/>
    </w:p>
    <w:p w14:paraId="65DD124C" w14:textId="6D13D023" w:rsidR="00946DD7" w:rsidRPr="00B21FAC" w:rsidRDefault="00946DD7" w:rsidP="00BA7E3E">
      <w:pPr>
        <w:spacing w:after="0"/>
        <w:ind w:right="-1134"/>
        <w:jc w:val="both"/>
      </w:pPr>
    </w:p>
    <w:p w14:paraId="0F3DDC20" w14:textId="4FF44CF5" w:rsidR="00322BCD" w:rsidRPr="00B21FAC" w:rsidRDefault="00322BCD" w:rsidP="00BA7E3E">
      <w:pPr>
        <w:spacing w:after="0"/>
        <w:ind w:right="-1134"/>
        <w:jc w:val="both"/>
      </w:pPr>
    </w:p>
    <w:p w14:paraId="6A39244D" w14:textId="099E8A98" w:rsidR="0028276E" w:rsidRPr="00B21FAC" w:rsidRDefault="0028276E" w:rsidP="00BA7E3E">
      <w:pPr>
        <w:pStyle w:val="Kop3"/>
        <w:numPr>
          <w:ilvl w:val="0"/>
          <w:numId w:val="98"/>
        </w:numPr>
      </w:pPr>
      <w:bookmarkStart w:id="9" w:name="_Toc107210870"/>
      <w:bookmarkStart w:id="10" w:name="_Hlk90130008"/>
      <w:r w:rsidRPr="00B21FAC">
        <w:t>Federale bevoegdheid</w:t>
      </w:r>
      <w:bookmarkEnd w:id="9"/>
    </w:p>
    <w:bookmarkEnd w:id="10"/>
    <w:p w14:paraId="65E9E329" w14:textId="31F52BC6" w:rsidR="00322BCD" w:rsidRPr="00B21FAC" w:rsidRDefault="00322BCD" w:rsidP="00BA7E3E">
      <w:pPr>
        <w:spacing w:after="0"/>
        <w:ind w:right="1"/>
        <w:jc w:val="both"/>
      </w:pPr>
    </w:p>
    <w:p w14:paraId="31C5101C" w14:textId="7007D32B" w:rsidR="00946DD7" w:rsidRPr="00B21FAC" w:rsidRDefault="00946DD7" w:rsidP="00BA7E3E">
      <w:pPr>
        <w:spacing w:after="0"/>
        <w:ind w:right="1"/>
        <w:jc w:val="both"/>
      </w:pPr>
    </w:p>
    <w:p w14:paraId="717FA47B" w14:textId="17C2E5F4" w:rsidR="007F2BEF" w:rsidRPr="00B21FAC" w:rsidRDefault="00C32638" w:rsidP="00BA7E3E">
      <w:pPr>
        <w:spacing w:after="0"/>
        <w:ind w:right="1"/>
        <w:jc w:val="both"/>
      </w:pPr>
      <w:r w:rsidRPr="00B21FAC">
        <w:t xml:space="preserve">De voorgestelde hervorming is </w:t>
      </w:r>
      <w:r w:rsidR="009F0516" w:rsidRPr="00B21FAC">
        <w:t>vanuit haar aard beperkt tot de federale bevoegdheidssferen.</w:t>
      </w:r>
      <w:r w:rsidR="007F2BEF" w:rsidRPr="00B21FAC">
        <w:t xml:space="preserve"> Daarbij wordt uitgegaan van de hiernavolgende principes.</w:t>
      </w:r>
    </w:p>
    <w:p w14:paraId="2AFC7964" w14:textId="32C9AA33" w:rsidR="007F2BEF" w:rsidRPr="00B21FAC" w:rsidRDefault="007F2BEF" w:rsidP="00BA7E3E">
      <w:pPr>
        <w:spacing w:after="0"/>
        <w:ind w:right="1"/>
        <w:jc w:val="both"/>
      </w:pPr>
    </w:p>
    <w:p w14:paraId="7D933B31" w14:textId="5FB70165" w:rsidR="007F2BEF" w:rsidRPr="00B21FAC" w:rsidRDefault="007F2BEF" w:rsidP="00BA7E3E">
      <w:pPr>
        <w:spacing w:after="0"/>
        <w:ind w:right="1"/>
        <w:jc w:val="both"/>
      </w:pPr>
      <w:r w:rsidRPr="00B21FAC">
        <w:t xml:space="preserve">In de verhouding met de </w:t>
      </w:r>
      <w:r w:rsidRPr="00B21FAC">
        <w:rPr>
          <w:b/>
          <w:bCs/>
        </w:rPr>
        <w:t>Gewesten</w:t>
      </w:r>
      <w:r w:rsidRPr="00B21FAC">
        <w:t>,</w:t>
      </w:r>
      <w:r w:rsidR="0061573C" w:rsidRPr="00B21FAC">
        <w:t xml:space="preserve"> wordt uitgegaan van de </w:t>
      </w:r>
      <w:r w:rsidR="00200953" w:rsidRPr="00B21FAC">
        <w:rPr>
          <w:u w:val="single"/>
        </w:rPr>
        <w:t>fiscale bevoegdheids</w:t>
      </w:r>
      <w:r w:rsidR="00A9539F">
        <w:rPr>
          <w:u w:val="single"/>
        </w:rPr>
        <w:t>regels</w:t>
      </w:r>
      <w:r w:rsidR="0061573C" w:rsidRPr="00B21FAC">
        <w:t xml:space="preserve"> zoals die thans </w:t>
      </w:r>
      <w:r w:rsidR="00195BC0">
        <w:t>zijn</w:t>
      </w:r>
      <w:r w:rsidR="00195BC0" w:rsidRPr="00B21FAC">
        <w:t xml:space="preserve"> </w:t>
      </w:r>
      <w:r w:rsidR="0061573C" w:rsidRPr="00B21FAC">
        <w:t>verankerd</w:t>
      </w:r>
      <w:r w:rsidR="003B5C74" w:rsidRPr="00B21FAC">
        <w:t xml:space="preserve"> in (i) de Grondwet, (ii) de Bijzondere Financieringswet </w:t>
      </w:r>
      <w:r w:rsidR="003846F7">
        <w:t xml:space="preserve">(BFW) </w:t>
      </w:r>
      <w:r w:rsidR="003B5C74" w:rsidRPr="00B21FAC">
        <w:t>en (iii) de wet van 23 januari 1989</w:t>
      </w:r>
      <w:r w:rsidR="0061573C" w:rsidRPr="00B21FAC">
        <w:t>.</w:t>
      </w:r>
      <w:r w:rsidR="001C7CB0" w:rsidRPr="00B21FAC">
        <w:t xml:space="preserve"> Wat specifiek de </w:t>
      </w:r>
      <w:r w:rsidR="008A7416" w:rsidRPr="00B21FAC">
        <w:t xml:space="preserve">Gewestelijke Belastingen betreft, vermeld in artikel 3 van de BFW, wordt </w:t>
      </w:r>
      <w:r w:rsidR="009628DF" w:rsidRPr="00B21FAC">
        <w:t xml:space="preserve">er vanuit gegaan dat de federale overheid </w:t>
      </w:r>
      <w:r w:rsidR="00651628" w:rsidRPr="00B21FAC">
        <w:t>niet zal raken aan het bestaan zelf</w:t>
      </w:r>
      <w:r w:rsidR="001D2376" w:rsidRPr="00B21FAC">
        <w:t xml:space="preserve"> van deze heffingen</w:t>
      </w:r>
      <w:r w:rsidR="0088419E" w:rsidRPr="00B21FAC">
        <w:t xml:space="preserve">, noch aan </w:t>
      </w:r>
      <w:r w:rsidR="00651628" w:rsidRPr="00B21FAC">
        <w:t>de belastbare materie</w:t>
      </w:r>
      <w:r w:rsidR="0088419E" w:rsidRPr="00B21FAC">
        <w:t>.</w:t>
      </w:r>
      <w:r w:rsidR="006B1038" w:rsidRPr="00B21FAC">
        <w:t xml:space="preserve"> In diezelfde zin wordt ook uitgegaan van een bestendiging van de regelgeving zoals opgenomen in Titel III/1 van de BFW (</w:t>
      </w:r>
      <w:r w:rsidR="001C55B6" w:rsidRPr="00B21FAC">
        <w:t>‘Gewestelijke aanvullende belasting op de pe</w:t>
      </w:r>
      <w:r w:rsidR="004B5C6D" w:rsidRPr="00B21FAC">
        <w:t>r</w:t>
      </w:r>
      <w:r w:rsidR="001C55B6" w:rsidRPr="00B21FAC">
        <w:t xml:space="preserve">sonenbelasting’). </w:t>
      </w:r>
    </w:p>
    <w:p w14:paraId="6DB0B455" w14:textId="2F030A87" w:rsidR="00560EA4" w:rsidRPr="00B21FAC" w:rsidRDefault="00560EA4" w:rsidP="00BA7E3E">
      <w:pPr>
        <w:spacing w:after="0"/>
        <w:ind w:right="1"/>
        <w:jc w:val="both"/>
      </w:pPr>
    </w:p>
    <w:p w14:paraId="22B7BB61" w14:textId="298816ED" w:rsidR="00560EA4" w:rsidRPr="00B21FAC" w:rsidRDefault="00560EA4" w:rsidP="00BA7E3E">
      <w:pPr>
        <w:spacing w:after="0"/>
        <w:ind w:right="1"/>
        <w:jc w:val="both"/>
      </w:pPr>
      <w:r w:rsidRPr="00B21FAC">
        <w:t xml:space="preserve">Dit neemt uiteraard niet weg dat de </w:t>
      </w:r>
      <w:r w:rsidR="005F270F" w:rsidRPr="00B21FAC">
        <w:t>op federaal niveau</w:t>
      </w:r>
      <w:r w:rsidRPr="00B21FAC">
        <w:t xml:space="preserve"> voorgestelde wijzigingen een </w:t>
      </w:r>
      <w:r w:rsidR="002F34D0" w:rsidRPr="00B21FAC">
        <w:t xml:space="preserve">impact kunnen hebben op de </w:t>
      </w:r>
      <w:r w:rsidR="00937F7D" w:rsidRPr="00B21FAC">
        <w:t xml:space="preserve">financiering van de Gewesten. Voorts is het niet uitgesloten </w:t>
      </w:r>
      <w:r w:rsidR="00F4557B" w:rsidRPr="00B21FAC">
        <w:t>dat de federale koers</w:t>
      </w:r>
      <w:r w:rsidR="00ED57F3" w:rsidRPr="00B21FAC">
        <w:t xml:space="preserve"> afwijkt </w:t>
      </w:r>
      <w:r w:rsidR="000E03A2" w:rsidRPr="00B21FAC">
        <w:t xml:space="preserve">van, of zelfs mogelijkerwijze conflicteert met de uitoefening van de regionale bevoegdheden. </w:t>
      </w:r>
      <w:r w:rsidR="00DB4B55" w:rsidRPr="00B21FAC">
        <w:t>Om die reden z</w:t>
      </w:r>
      <w:r w:rsidR="00C42EBD" w:rsidRPr="00B21FAC">
        <w:t xml:space="preserve">al de </w:t>
      </w:r>
      <w:r w:rsidR="004C3612" w:rsidRPr="00B21FAC">
        <w:t>gewestelijke</w:t>
      </w:r>
      <w:r w:rsidR="00C42EBD" w:rsidRPr="00B21FAC">
        <w:t xml:space="preserve"> fiscaliteit minstens zijdelings aan bod moeten komen teneinde </w:t>
      </w:r>
      <w:r w:rsidR="004C3612" w:rsidRPr="00B21FAC">
        <w:t>de mogelijke interferenties in kaart te brengen</w:t>
      </w:r>
      <w:r w:rsidR="004506C5" w:rsidRPr="00B21FAC">
        <w:t xml:space="preserve"> en zoveel als mogelijk de coherentie </w:t>
      </w:r>
      <w:r w:rsidR="00B20DA3" w:rsidRPr="00B21FAC">
        <w:t xml:space="preserve">van </w:t>
      </w:r>
      <w:r w:rsidR="00DD0B6C" w:rsidRPr="00B21FAC">
        <w:t xml:space="preserve">het </w:t>
      </w:r>
      <w:r w:rsidR="00B20DA3" w:rsidRPr="00B21FAC">
        <w:t>volledige fiscale stelsel te vrijwaren</w:t>
      </w:r>
      <w:r w:rsidR="004C3612" w:rsidRPr="00B21FAC">
        <w:t>.</w:t>
      </w:r>
      <w:r w:rsidR="00C60175">
        <w:t xml:space="preserve"> Dit is inzonderheid het geval m.b.t. de fiscaliteit van toepassing op onroerende goederen</w:t>
      </w:r>
      <w:r w:rsidR="000616BD">
        <w:t xml:space="preserve">. </w:t>
      </w:r>
      <w:r w:rsidR="00D8411B">
        <w:t>Een overleg met de Gewesten</w:t>
      </w:r>
      <w:r w:rsidR="00145524">
        <w:t xml:space="preserve"> is dan ook aangewezen</w:t>
      </w:r>
      <w:r w:rsidR="00D8411B">
        <w:t xml:space="preserve">. </w:t>
      </w:r>
    </w:p>
    <w:p w14:paraId="57605151" w14:textId="251C6998" w:rsidR="004C3612" w:rsidRPr="00B21FAC" w:rsidRDefault="004C3612" w:rsidP="00BA7E3E">
      <w:pPr>
        <w:spacing w:after="0"/>
        <w:ind w:right="1"/>
        <w:jc w:val="both"/>
      </w:pPr>
    </w:p>
    <w:p w14:paraId="4E0BA58A" w14:textId="58C0A182" w:rsidR="004C3612" w:rsidRPr="00B21FAC" w:rsidRDefault="00A659BF" w:rsidP="00BA7E3E">
      <w:pPr>
        <w:spacing w:after="0"/>
        <w:ind w:right="1"/>
        <w:jc w:val="both"/>
      </w:pPr>
      <w:r>
        <w:t>Naast</w:t>
      </w:r>
      <w:r w:rsidRPr="00B21FAC">
        <w:t xml:space="preserve"> </w:t>
      </w:r>
      <w:r w:rsidR="00096B70" w:rsidRPr="00B21FAC">
        <w:t xml:space="preserve">de loutere fiscale bevoegdheidsverdeling, </w:t>
      </w:r>
      <w:r w:rsidR="008D3D8B">
        <w:t>moet ook rekening worden gehouden met</w:t>
      </w:r>
      <w:r w:rsidR="00096B70" w:rsidRPr="00B21FAC">
        <w:t xml:space="preserve"> de </w:t>
      </w:r>
      <w:r w:rsidR="008D3D8B">
        <w:t xml:space="preserve">verdeling van de </w:t>
      </w:r>
      <w:r w:rsidR="00096B70" w:rsidRPr="00B21FAC">
        <w:rPr>
          <w:u w:val="single"/>
        </w:rPr>
        <w:t>materiële bevoegdheden</w:t>
      </w:r>
      <w:r w:rsidR="00096B70" w:rsidRPr="00B21FAC">
        <w:t xml:space="preserve">. Op vandaag </w:t>
      </w:r>
      <w:r w:rsidR="007379F7" w:rsidRPr="00B21FAC">
        <w:t xml:space="preserve">streeft </w:t>
      </w:r>
      <w:r w:rsidR="00096B70" w:rsidRPr="00B21FAC">
        <w:t>de federale overheid niet zelden via de fiscale wetgeving doelstellingen na</w:t>
      </w:r>
      <w:r w:rsidR="00BF7BB9" w:rsidRPr="00B21FAC">
        <w:t xml:space="preserve"> </w:t>
      </w:r>
      <w:r w:rsidR="00096B70" w:rsidRPr="00B21FAC">
        <w:t xml:space="preserve">die </w:t>
      </w:r>
      <w:r w:rsidR="009E117D" w:rsidRPr="00B21FAC">
        <w:t xml:space="preserve">eigenlijk </w:t>
      </w:r>
      <w:r w:rsidR="00A6713F">
        <w:t xml:space="preserve">ook </w:t>
      </w:r>
      <w:r w:rsidR="00CD14D7" w:rsidRPr="00B21FAC">
        <w:t xml:space="preserve">vallen onder de materiële bevoegdheid van de deelstaten. In het kader van een vereenvoudiging </w:t>
      </w:r>
      <w:r w:rsidR="00B6598D" w:rsidRPr="00B21FAC">
        <w:t xml:space="preserve">en/of een streven </w:t>
      </w:r>
      <w:r w:rsidR="00492A20">
        <w:t>naar</w:t>
      </w:r>
      <w:r w:rsidR="00492A20" w:rsidRPr="00B21FAC">
        <w:t xml:space="preserve"> </w:t>
      </w:r>
      <w:r w:rsidR="00B6598D" w:rsidRPr="00B21FAC">
        <w:t xml:space="preserve">meer efficiëntie, valt dus niet uit te sluiten dat de beslissing van de federale overheid </w:t>
      </w:r>
      <w:r w:rsidR="003302BE" w:rsidRPr="00B21FAC">
        <w:t xml:space="preserve">een impact </w:t>
      </w:r>
      <w:r w:rsidR="00CB1D05">
        <w:t>heeft</w:t>
      </w:r>
      <w:r w:rsidR="003302BE" w:rsidRPr="00B21FAC">
        <w:t xml:space="preserve"> op het beleid</w:t>
      </w:r>
      <w:r w:rsidR="00A27F53" w:rsidRPr="00B21FAC">
        <w:t xml:space="preserve"> van de deelstaten</w:t>
      </w:r>
      <w:r w:rsidR="003302BE" w:rsidRPr="00B21FAC">
        <w:t>.</w:t>
      </w:r>
      <w:r w:rsidR="00CF79FB" w:rsidRPr="00B21FAC">
        <w:t xml:space="preserve"> </w:t>
      </w:r>
      <w:r w:rsidR="001D4D09" w:rsidRPr="00B21FAC">
        <w:t xml:space="preserve">Een overleg met de deelentiteiten omtrent de hervorming is dan ook </w:t>
      </w:r>
      <w:r w:rsidR="00072C13">
        <w:t xml:space="preserve">om die reden </w:t>
      </w:r>
      <w:r w:rsidR="001D4D09" w:rsidRPr="00B21FAC">
        <w:t>aangewezen.</w:t>
      </w:r>
    </w:p>
    <w:p w14:paraId="3B04009A" w14:textId="33ED2B8D" w:rsidR="00EE2EE0" w:rsidRPr="00B21FAC" w:rsidRDefault="00EE2EE0" w:rsidP="00BA7E3E">
      <w:pPr>
        <w:spacing w:after="0"/>
        <w:ind w:right="1"/>
        <w:jc w:val="both"/>
      </w:pPr>
    </w:p>
    <w:p w14:paraId="56989837" w14:textId="5CACBC31" w:rsidR="006F29FC" w:rsidRPr="00B21FAC" w:rsidRDefault="00FA545E" w:rsidP="00BA7E3E">
      <w:pPr>
        <w:spacing w:after="0"/>
        <w:ind w:right="1"/>
        <w:jc w:val="both"/>
      </w:pPr>
      <w:r w:rsidRPr="00B21FAC">
        <w:t>In ieder geval wordt er i</w:t>
      </w:r>
      <w:r w:rsidR="00EE6C73" w:rsidRPr="00B21FAC">
        <w:t xml:space="preserve">n het kader van de fiscale hervorming principieel uitgegaan </w:t>
      </w:r>
      <w:r w:rsidR="006F29FC" w:rsidRPr="00B21FAC">
        <w:t>van de bestaande bevoegdheidsverdeling en financiële evenwichten. Dit sluit niet uit dat voorstellen kunnen worden geformuleerd om bepaalde bevoegdheidsverdelingen meer homogeen en efficiënt te maken, zodat meteen ook een bijdrage wordt geleverd aan het in het Regeerakkoord vooropgestelde debat omtrent de institutionele hervormingen.</w:t>
      </w:r>
      <w:r w:rsidR="009C45E4" w:rsidRPr="00B21FAC">
        <w:t xml:space="preserve"> </w:t>
      </w:r>
      <w:r w:rsidR="00FB20C7" w:rsidRPr="00FB20C7">
        <w:t xml:space="preserve">Het voorstellen van een nieuwe fiscale architectuur kan er </w:t>
      </w:r>
      <w:r w:rsidR="00FB20C7">
        <w:t>immers</w:t>
      </w:r>
      <w:r w:rsidR="00FB20C7" w:rsidRPr="00FB20C7">
        <w:t xml:space="preserve"> toe leiden dat middels de afbakening van grotere gehelen beter ingespeeld kan worden op </w:t>
      </w:r>
      <w:r w:rsidR="002542FA">
        <w:t xml:space="preserve">deze </w:t>
      </w:r>
      <w:r w:rsidR="00FB20C7" w:rsidRPr="00FB20C7">
        <w:t>institutionele hervormingen.</w:t>
      </w:r>
      <w:r w:rsidR="00FB20C7">
        <w:t xml:space="preserve"> </w:t>
      </w:r>
      <w:r w:rsidR="009C45E4" w:rsidRPr="00B21FAC">
        <w:t xml:space="preserve">In diezelfde geest kunnen ook </w:t>
      </w:r>
      <w:r w:rsidR="0043234D" w:rsidRPr="00B21FAC">
        <w:t>de mi</w:t>
      </w:r>
      <w:r w:rsidR="006B4C24" w:rsidRPr="00B21FAC">
        <w:t>ddelen in kaart worden gebracht die desgevallend aan de deelentiteiten kunnen worden overgedragen.</w:t>
      </w:r>
    </w:p>
    <w:p w14:paraId="0B12FD09" w14:textId="7282022E" w:rsidR="003302BE" w:rsidRPr="00B21FAC" w:rsidRDefault="003302BE" w:rsidP="00BA7E3E">
      <w:pPr>
        <w:spacing w:after="0"/>
        <w:ind w:right="1"/>
        <w:jc w:val="both"/>
      </w:pPr>
    </w:p>
    <w:p w14:paraId="123B5666" w14:textId="6D129E21" w:rsidR="00DE1085" w:rsidRPr="00DE1085" w:rsidRDefault="00F94AFD" w:rsidP="00DE1085">
      <w:pPr>
        <w:spacing w:after="0"/>
        <w:ind w:right="1"/>
        <w:jc w:val="both"/>
      </w:pPr>
      <w:r w:rsidRPr="00B21FAC">
        <w:t xml:space="preserve">In de verhouding met de </w:t>
      </w:r>
      <w:r w:rsidRPr="00B21FAC">
        <w:rPr>
          <w:b/>
          <w:bCs/>
        </w:rPr>
        <w:t>lokale overheden</w:t>
      </w:r>
      <w:r w:rsidRPr="00B21FAC">
        <w:t xml:space="preserve"> (inz. gemeenten en provincies) wordt in essentie uitgegaan van dezelfde principes. </w:t>
      </w:r>
      <w:r w:rsidR="00F54255" w:rsidRPr="00B21FAC">
        <w:t>Dit betekent dat de fiscale autonomie van de lokale overheden in acht wordt genomen en dat uitgegaan wordt van de</w:t>
      </w:r>
      <w:r w:rsidR="00271456" w:rsidRPr="00B21FAC">
        <w:t xml:space="preserve"> bestendiging van de toegewezen</w:t>
      </w:r>
      <w:r w:rsidR="00862870" w:rsidRPr="00B21FAC">
        <w:t xml:space="preserve"> bevoegdheden</w:t>
      </w:r>
      <w:r w:rsidR="00271456" w:rsidRPr="00B21FAC">
        <w:t xml:space="preserve">, zoals de bevoegdheid tot heffing van een aanvullende gemeentebelasting op de personenbelasting (art. </w:t>
      </w:r>
      <w:r w:rsidR="00ED4EE8" w:rsidRPr="00B21FAC">
        <w:t>465 WIB92).</w:t>
      </w:r>
      <w:r w:rsidR="00DE1085" w:rsidRPr="00DE1085">
        <w:t xml:space="preserve"> Een overleg met de </w:t>
      </w:r>
      <w:r w:rsidR="00DE1085">
        <w:t>vertegenwoordigers van de lokale overheden is uiteraard</w:t>
      </w:r>
      <w:r w:rsidR="00DE1085" w:rsidRPr="00DE1085">
        <w:t xml:space="preserve"> aangewezen.</w:t>
      </w:r>
    </w:p>
    <w:p w14:paraId="69805E12" w14:textId="77777777" w:rsidR="00D729DE" w:rsidRPr="00B21FAC" w:rsidRDefault="00D729DE" w:rsidP="00BA7E3E">
      <w:pPr>
        <w:spacing w:after="0"/>
        <w:ind w:right="1"/>
        <w:jc w:val="both"/>
      </w:pPr>
    </w:p>
    <w:p w14:paraId="25884A52" w14:textId="7897EE52" w:rsidR="00D729DE" w:rsidRPr="00B21FAC" w:rsidRDefault="00D729DE" w:rsidP="00BA7E3E">
      <w:pPr>
        <w:spacing w:after="0"/>
        <w:ind w:right="1"/>
        <w:jc w:val="both"/>
      </w:pPr>
    </w:p>
    <w:p w14:paraId="779ECB61" w14:textId="11BAF610" w:rsidR="00D729DE" w:rsidRPr="00B21FAC" w:rsidRDefault="00375800" w:rsidP="00BA7E3E">
      <w:pPr>
        <w:pStyle w:val="Kop3"/>
        <w:numPr>
          <w:ilvl w:val="0"/>
          <w:numId w:val="98"/>
        </w:numPr>
      </w:pPr>
      <w:bookmarkStart w:id="11" w:name="_Toc107210871"/>
      <w:r w:rsidRPr="00B21FAC">
        <w:t>Fiscaliteit / parafiscaliteit</w:t>
      </w:r>
      <w:bookmarkEnd w:id="11"/>
    </w:p>
    <w:p w14:paraId="5A54036E" w14:textId="641481EE" w:rsidR="00375800" w:rsidRPr="00B21FAC" w:rsidRDefault="00375800" w:rsidP="00BA7E3E">
      <w:pPr>
        <w:spacing w:after="0"/>
        <w:ind w:right="1"/>
        <w:jc w:val="both"/>
      </w:pPr>
    </w:p>
    <w:p w14:paraId="01C961AE" w14:textId="5C2EE6E1" w:rsidR="00375800" w:rsidRPr="00B21FAC" w:rsidRDefault="00375800" w:rsidP="00BA7E3E">
      <w:pPr>
        <w:spacing w:after="0"/>
        <w:ind w:right="1"/>
        <w:jc w:val="both"/>
      </w:pPr>
    </w:p>
    <w:p w14:paraId="20243B88" w14:textId="77777777" w:rsidR="00882F80" w:rsidRPr="00B21FAC" w:rsidRDefault="00A01AEB" w:rsidP="00BA7E3E">
      <w:pPr>
        <w:spacing w:after="0"/>
        <w:ind w:right="1"/>
        <w:jc w:val="both"/>
      </w:pPr>
      <w:r w:rsidRPr="00B21FAC">
        <w:t xml:space="preserve">De heffingsdruk op arbeid is het resultaat van het samengaan van inkomstenbelastingen (inz. personenbelasting) enerzijds en sociale zekerheidsbijdragen anderzijds. </w:t>
      </w:r>
      <w:r w:rsidR="00FE5282" w:rsidRPr="00B21FAC">
        <w:t xml:space="preserve">Daarbij wordt een verder onderscheid gemaakt tussen </w:t>
      </w:r>
      <w:r w:rsidR="007250A2" w:rsidRPr="00B21FAC">
        <w:t xml:space="preserve">de sociale zekerheid in het zelfstandigenstatuut en de sociale zekerheid in het werknemersstatuut. </w:t>
      </w:r>
      <w:r w:rsidR="00076FCC" w:rsidRPr="00B21FAC">
        <w:t xml:space="preserve">Deze laatste vallen verder uiteen in werknemersbijdragen en werkgeversbijdragen. </w:t>
      </w:r>
    </w:p>
    <w:p w14:paraId="633FE356" w14:textId="77777777" w:rsidR="00882F80" w:rsidRPr="00B21FAC" w:rsidRDefault="00882F80" w:rsidP="00BA7E3E">
      <w:pPr>
        <w:spacing w:after="0"/>
        <w:ind w:right="1"/>
        <w:jc w:val="both"/>
      </w:pPr>
    </w:p>
    <w:p w14:paraId="0FDC4FB1" w14:textId="436288BC" w:rsidR="00BE3933" w:rsidRPr="00B21FAC" w:rsidRDefault="00041E96" w:rsidP="00BA7E3E">
      <w:pPr>
        <w:spacing w:after="0"/>
        <w:ind w:right="1"/>
        <w:jc w:val="both"/>
      </w:pPr>
      <w:r w:rsidRPr="00B21FAC">
        <w:t>Ofschoon de beide ‘heffingen</w:t>
      </w:r>
      <w:r w:rsidR="002542FA">
        <w:t>’</w:t>
      </w:r>
      <w:r w:rsidRPr="00B21FAC">
        <w:t xml:space="preserve"> </w:t>
      </w:r>
      <w:r w:rsidR="00D4011E" w:rsidRPr="00B21FAC">
        <w:t>(inkomstenbelastingen en sociale zekerheid</w:t>
      </w:r>
      <w:r w:rsidR="00B45F2E">
        <w:t>sbijdragen</w:t>
      </w:r>
      <w:r w:rsidR="00D4011E" w:rsidRPr="00B21FAC">
        <w:t xml:space="preserve">) </w:t>
      </w:r>
      <w:r w:rsidRPr="00B21FAC">
        <w:t xml:space="preserve">een andere finaliteit hebben, </w:t>
      </w:r>
      <w:r w:rsidR="00335100" w:rsidRPr="00B21FAC">
        <w:t xml:space="preserve">blijken zij conceptueel toch zeer sterk bij elkaar aan te sluiten, temeer daar </w:t>
      </w:r>
      <w:r w:rsidR="00EF4320" w:rsidRPr="00B21FAC">
        <w:t xml:space="preserve">(wat de sociale bijdragen betreft) </w:t>
      </w:r>
      <w:r w:rsidR="00335100" w:rsidRPr="00B21FAC">
        <w:t>het verzekeringsprincipe</w:t>
      </w:r>
      <w:r w:rsidR="00EF4320" w:rsidRPr="00B21FAC">
        <w:t xml:space="preserve"> </w:t>
      </w:r>
      <w:r w:rsidR="006400EE">
        <w:t>steeds verder teruggedrongen werd ten voordele van</w:t>
      </w:r>
      <w:r w:rsidR="00EF4320" w:rsidRPr="00B21FAC">
        <w:t xml:space="preserve"> het solidariteitsprincipe. </w:t>
      </w:r>
    </w:p>
    <w:p w14:paraId="2B7F54A1" w14:textId="66A7F8B2" w:rsidR="00A60E5B" w:rsidRPr="00B21FAC" w:rsidRDefault="00A60E5B" w:rsidP="00BA7E3E">
      <w:pPr>
        <w:spacing w:after="0"/>
        <w:ind w:right="1"/>
        <w:jc w:val="both"/>
      </w:pPr>
    </w:p>
    <w:p w14:paraId="54FCC4A4" w14:textId="5E3FC04B" w:rsidR="00A60E5B" w:rsidRPr="00B21FAC" w:rsidRDefault="00A60E5B" w:rsidP="00BA7E3E">
      <w:pPr>
        <w:spacing w:after="0"/>
        <w:ind w:right="1"/>
        <w:jc w:val="both"/>
      </w:pPr>
      <w:r w:rsidRPr="00B21FAC">
        <w:t xml:space="preserve">Dit kan aanleiding </w:t>
      </w:r>
      <w:r w:rsidR="007379F7" w:rsidRPr="00B21FAC">
        <w:t xml:space="preserve">geven </w:t>
      </w:r>
      <w:r w:rsidRPr="00B21FAC">
        <w:t>tot diverse bedenkingen en/of overwegingen, zoals:</w:t>
      </w:r>
    </w:p>
    <w:p w14:paraId="3DBD9391" w14:textId="7145EE95" w:rsidR="005A36C7" w:rsidRDefault="005A36C7" w:rsidP="00BA7E3E">
      <w:pPr>
        <w:pStyle w:val="Lijstalinea"/>
        <w:numPr>
          <w:ilvl w:val="0"/>
          <w:numId w:val="7"/>
        </w:numPr>
        <w:spacing w:after="0"/>
        <w:ind w:left="426" w:right="1" w:hanging="426"/>
        <w:jc w:val="both"/>
      </w:pPr>
      <w:r>
        <w:t xml:space="preserve">een </w:t>
      </w:r>
      <w:r w:rsidR="00C836E3">
        <w:t>harmonisatie van de heffingsbasis;</w:t>
      </w:r>
    </w:p>
    <w:p w14:paraId="6F81D9D6" w14:textId="41037C1F" w:rsidR="00A60E5B" w:rsidRPr="00B21FAC" w:rsidRDefault="00A60E5B" w:rsidP="00BA7E3E">
      <w:pPr>
        <w:pStyle w:val="Lijstalinea"/>
        <w:numPr>
          <w:ilvl w:val="0"/>
          <w:numId w:val="7"/>
        </w:numPr>
        <w:spacing w:after="0"/>
        <w:ind w:left="426" w:right="1" w:hanging="426"/>
        <w:jc w:val="both"/>
      </w:pPr>
      <w:r w:rsidRPr="00B21FAC">
        <w:t>een gezamenlijke inning middels één enkele heffing</w:t>
      </w:r>
      <w:r w:rsidR="00DB5E30" w:rsidRPr="00B21FAC">
        <w:t>;</w:t>
      </w:r>
      <w:r w:rsidR="003D649E" w:rsidRPr="00B21FAC">
        <w:t xml:space="preserve"> </w:t>
      </w:r>
    </w:p>
    <w:p w14:paraId="6134928D" w14:textId="2D4640B6" w:rsidR="00A60E5B" w:rsidRPr="00B21FAC" w:rsidRDefault="00A60E5B" w:rsidP="00BA7E3E">
      <w:pPr>
        <w:pStyle w:val="Lijstalinea"/>
        <w:numPr>
          <w:ilvl w:val="0"/>
          <w:numId w:val="7"/>
        </w:numPr>
        <w:spacing w:after="0"/>
        <w:ind w:left="426" w:right="1" w:hanging="426"/>
        <w:jc w:val="both"/>
      </w:pPr>
      <w:r w:rsidRPr="00B21FAC">
        <w:t xml:space="preserve">een verruiming van </w:t>
      </w:r>
      <w:r w:rsidR="002201D3" w:rsidRPr="00B21FAC">
        <w:t>de heffingsbasis</w:t>
      </w:r>
      <w:r w:rsidRPr="00B21FAC">
        <w:t xml:space="preserve"> tot andere inkomsten</w:t>
      </w:r>
      <w:r w:rsidR="00DB5E30" w:rsidRPr="00B21FAC">
        <w:t>;</w:t>
      </w:r>
    </w:p>
    <w:p w14:paraId="6123C429" w14:textId="50331108" w:rsidR="00A60E5B" w:rsidRPr="00B21FAC" w:rsidRDefault="00A60E5B" w:rsidP="00BA7E3E">
      <w:pPr>
        <w:pStyle w:val="Lijstalinea"/>
        <w:numPr>
          <w:ilvl w:val="0"/>
          <w:numId w:val="7"/>
        </w:numPr>
        <w:spacing w:after="0"/>
        <w:ind w:left="426" w:right="1" w:hanging="426"/>
        <w:jc w:val="both"/>
      </w:pPr>
      <w:r w:rsidRPr="00B21FAC">
        <w:t xml:space="preserve">het </w:t>
      </w:r>
      <w:r w:rsidR="001152C7" w:rsidRPr="00B21FAC">
        <w:t>sterker benadrukken van het verzekeringsprincipe</w:t>
      </w:r>
      <w:r w:rsidR="00DB5E30" w:rsidRPr="00B21FAC">
        <w:t>;</w:t>
      </w:r>
    </w:p>
    <w:p w14:paraId="5F0210E1" w14:textId="34457678" w:rsidR="00DB5E30" w:rsidRPr="00B21FAC" w:rsidRDefault="00DB5E30" w:rsidP="00BA7E3E">
      <w:pPr>
        <w:pStyle w:val="Lijstalinea"/>
        <w:numPr>
          <w:ilvl w:val="0"/>
          <w:numId w:val="7"/>
        </w:numPr>
        <w:spacing w:after="0"/>
        <w:ind w:left="426" w:right="1" w:hanging="426"/>
        <w:jc w:val="both"/>
      </w:pPr>
      <w:r w:rsidRPr="00B21FAC">
        <w:t>….</w:t>
      </w:r>
    </w:p>
    <w:p w14:paraId="42240AC6" w14:textId="5754FD7B" w:rsidR="0064270B" w:rsidRPr="00B21FAC" w:rsidRDefault="0064270B" w:rsidP="00BA7E3E">
      <w:pPr>
        <w:spacing w:after="0"/>
        <w:ind w:right="1"/>
        <w:jc w:val="both"/>
      </w:pPr>
    </w:p>
    <w:p w14:paraId="728D49B9" w14:textId="7986B1E0" w:rsidR="00DB5E30" w:rsidRPr="00B21FAC" w:rsidRDefault="00D76846" w:rsidP="00BA7E3E">
      <w:pPr>
        <w:spacing w:after="0"/>
        <w:ind w:right="1"/>
        <w:jc w:val="both"/>
      </w:pPr>
      <w:r w:rsidRPr="00B21FAC">
        <w:t xml:space="preserve">In het kader van de voorliggende </w:t>
      </w:r>
      <w:r w:rsidR="00387BC6">
        <w:t xml:space="preserve">‘fiscale’ </w:t>
      </w:r>
      <w:r w:rsidRPr="00B21FAC">
        <w:t xml:space="preserve">hervormingsplannen, wordt </w:t>
      </w:r>
      <w:r w:rsidR="007C2A29" w:rsidRPr="00B21FAC">
        <w:t xml:space="preserve">vooralsnog </w:t>
      </w:r>
      <w:r w:rsidR="00AB74D1">
        <w:t xml:space="preserve">grotendeels </w:t>
      </w:r>
      <w:r w:rsidR="007C2A29" w:rsidRPr="00B21FAC">
        <w:t>uitgegaan van een bestendiging van de huidige bijdrage- en inningsstructuren</w:t>
      </w:r>
      <w:r w:rsidR="00CB6694" w:rsidRPr="00B21FAC">
        <w:t xml:space="preserve">, zonder uiteraard abstractie te </w:t>
      </w:r>
      <w:r w:rsidR="00FA2F2C">
        <w:t xml:space="preserve">kunnen </w:t>
      </w:r>
      <w:r w:rsidR="00CB6694" w:rsidRPr="00B21FAC">
        <w:t xml:space="preserve">maken van de talrijke wisselwerkingen tussen het sociaal </w:t>
      </w:r>
      <w:r w:rsidR="00DD3128" w:rsidRPr="00B21FAC">
        <w:t xml:space="preserve">recht (zowel op het niveau van de bijdragen als op het niveau van de uitkeringen) </w:t>
      </w:r>
      <w:r w:rsidR="00CB6694" w:rsidRPr="00B21FAC">
        <w:t>en het fiscaal recht</w:t>
      </w:r>
      <w:r w:rsidR="001F423A" w:rsidRPr="00B21FAC">
        <w:t xml:space="preserve">. </w:t>
      </w:r>
    </w:p>
    <w:p w14:paraId="0539C691" w14:textId="77777777" w:rsidR="005B681C" w:rsidRPr="00B21FAC" w:rsidRDefault="005B681C" w:rsidP="00BA7E3E">
      <w:pPr>
        <w:spacing w:after="0"/>
        <w:ind w:right="1"/>
        <w:jc w:val="both"/>
      </w:pPr>
    </w:p>
    <w:p w14:paraId="282CC495" w14:textId="587E457E" w:rsidR="00A22AEF" w:rsidRPr="00B21FAC" w:rsidRDefault="00A22AEF" w:rsidP="00BA7E3E">
      <w:pPr>
        <w:spacing w:after="0"/>
        <w:ind w:right="1"/>
        <w:jc w:val="both"/>
      </w:pPr>
    </w:p>
    <w:p w14:paraId="7F3CE9E8" w14:textId="2D822B18" w:rsidR="00A22AEF" w:rsidRPr="00B21FAC" w:rsidRDefault="002F1F59" w:rsidP="00BA7E3E">
      <w:pPr>
        <w:pStyle w:val="Kop3"/>
        <w:numPr>
          <w:ilvl w:val="0"/>
          <w:numId w:val="98"/>
        </w:numPr>
      </w:pPr>
      <w:bookmarkStart w:id="12" w:name="_Toc107210872"/>
      <w:r w:rsidRPr="00B21FAC">
        <w:t>Budgettaire ruimte</w:t>
      </w:r>
      <w:bookmarkEnd w:id="12"/>
    </w:p>
    <w:p w14:paraId="0CB6A977" w14:textId="568FF31A" w:rsidR="002F1F59" w:rsidRPr="00B21FAC" w:rsidRDefault="002F1F59" w:rsidP="00BA7E3E">
      <w:pPr>
        <w:spacing w:after="0"/>
        <w:jc w:val="both"/>
      </w:pPr>
    </w:p>
    <w:p w14:paraId="6B6E011D" w14:textId="5B761422" w:rsidR="002F1F59" w:rsidRPr="00B21FAC" w:rsidRDefault="002F1F59" w:rsidP="00BA7E3E">
      <w:pPr>
        <w:spacing w:after="0"/>
        <w:jc w:val="both"/>
      </w:pPr>
    </w:p>
    <w:p w14:paraId="394F6374" w14:textId="77777777" w:rsidR="004B2DBC" w:rsidRDefault="00297167">
      <w:pPr>
        <w:spacing w:after="0"/>
        <w:jc w:val="both"/>
      </w:pPr>
      <w:r>
        <w:t xml:space="preserve">Er wordt uitgegaan van de assumptie van een vooropgestelde </w:t>
      </w:r>
      <w:r w:rsidR="00201F5A" w:rsidRPr="00B21FAC">
        <w:t>budgettair</w:t>
      </w:r>
      <w:r>
        <w:t>e</w:t>
      </w:r>
      <w:r w:rsidR="00201F5A" w:rsidRPr="00B21FAC">
        <w:t xml:space="preserve"> neutral</w:t>
      </w:r>
      <w:r>
        <w:t>iteit</w:t>
      </w:r>
      <w:r w:rsidR="00201F5A" w:rsidRPr="00B21FAC">
        <w:t xml:space="preserve">, rekening houdend met redelijke terugverdieneffecten. </w:t>
      </w:r>
      <w:r w:rsidR="007E3045">
        <w:t>O.m. d</w:t>
      </w:r>
      <w:r w:rsidR="00633195" w:rsidRPr="00B21FAC">
        <w:t xml:space="preserve">aartoe </w:t>
      </w:r>
      <w:r w:rsidR="007E3045">
        <w:t>zal (conform het Regeerakkoord)</w:t>
      </w:r>
      <w:r w:rsidR="00633195" w:rsidRPr="00B21FAC">
        <w:t xml:space="preserve"> aan de bevoegde instellingen gevraagd </w:t>
      </w:r>
      <w:r w:rsidR="007E3045">
        <w:t xml:space="preserve">worden </w:t>
      </w:r>
      <w:r w:rsidR="00633195" w:rsidRPr="00B21FAC">
        <w:t xml:space="preserve">om naar best vermogen de financiële gevolgen van de hervorming op microniveau alsook op macroniveau door te rekenen met het oog op een weloverwogen beslissing. </w:t>
      </w:r>
      <w:r w:rsidR="00872080" w:rsidRPr="00B21FAC">
        <w:t>Bij het uittekenen van</w:t>
      </w:r>
      <w:r w:rsidR="002F1F59" w:rsidRPr="00B21FAC">
        <w:t xml:space="preserve"> </w:t>
      </w:r>
      <w:r w:rsidR="00F45DBA" w:rsidRPr="00B21FAC">
        <w:t xml:space="preserve">de </w:t>
      </w:r>
      <w:r w:rsidR="002F1F59" w:rsidRPr="00B21FAC">
        <w:t xml:space="preserve">fiscale hervorming </w:t>
      </w:r>
      <w:r w:rsidR="00280448">
        <w:t>word</w:t>
      </w:r>
      <w:r w:rsidR="00280448" w:rsidRPr="00B21FAC">
        <w:t xml:space="preserve">t </w:t>
      </w:r>
      <w:r w:rsidR="00F45AFA" w:rsidRPr="00B21FAC">
        <w:t xml:space="preserve">bijgevolg uitgegaan </w:t>
      </w:r>
      <w:r w:rsidR="00872080" w:rsidRPr="00B21FAC">
        <w:t>van een bepaald niveau aan overheidsuitgaven.</w:t>
      </w:r>
      <w:r w:rsidR="00AE16ED" w:rsidRPr="00B21FAC">
        <w:t xml:space="preserve"> </w:t>
      </w:r>
      <w:r w:rsidR="00D312DA" w:rsidRPr="00B21FAC">
        <w:t xml:space="preserve">In </w:t>
      </w:r>
      <w:r w:rsidR="00B82B67" w:rsidRPr="00B21FAC">
        <w:t>het kader van de voorliggende werkzaamheden zal dan ook op</w:t>
      </w:r>
      <w:r w:rsidR="00D312DA" w:rsidRPr="00B21FAC">
        <w:t xml:space="preserve"> </w:t>
      </w:r>
      <w:r w:rsidR="00AE16ED" w:rsidRPr="00B21FAC">
        <w:t xml:space="preserve">generlei wijze </w:t>
      </w:r>
      <w:r w:rsidR="00B82B67" w:rsidRPr="00B21FAC">
        <w:t xml:space="preserve">worden </w:t>
      </w:r>
      <w:r w:rsidR="00AE16ED" w:rsidRPr="00B21FAC">
        <w:t>in</w:t>
      </w:r>
      <w:r w:rsidR="00D312DA" w:rsidRPr="00B21FAC">
        <w:t>gegaan</w:t>
      </w:r>
      <w:r w:rsidR="00AE16ED" w:rsidRPr="00B21FAC">
        <w:t xml:space="preserve"> op </w:t>
      </w:r>
      <w:r w:rsidR="001A1C30" w:rsidRPr="00B21FAC">
        <w:t xml:space="preserve">de hoogte en de opportuniteit van </w:t>
      </w:r>
      <w:r w:rsidR="00F45AFA" w:rsidRPr="00B21FAC">
        <w:t xml:space="preserve">deze </w:t>
      </w:r>
      <w:r w:rsidR="001A1C30" w:rsidRPr="00B21FAC">
        <w:t>overheidsuitgaven.</w:t>
      </w:r>
    </w:p>
    <w:p w14:paraId="6B47FBB8" w14:textId="77777777" w:rsidR="004B2DBC" w:rsidRDefault="004B2DBC">
      <w:pPr>
        <w:spacing w:after="0"/>
        <w:jc w:val="both"/>
      </w:pPr>
    </w:p>
    <w:p w14:paraId="379D41CC" w14:textId="6AA56A54" w:rsidR="003C359B" w:rsidRDefault="003234BE" w:rsidP="00844B5C">
      <w:pPr>
        <w:spacing w:after="0"/>
        <w:jc w:val="both"/>
      </w:pPr>
      <w:r>
        <w:t xml:space="preserve">Het voorgaande komt er dan ook op neer dat </w:t>
      </w:r>
      <w:r w:rsidR="00804AEA">
        <w:t xml:space="preserve">de ‘taxshift’ of een verschuiving van belastingen als conceptueel uitgangspunt zal dienen. </w:t>
      </w:r>
      <w:r w:rsidR="00284D65">
        <w:t>De essentie ervan houdt in dat b</w:t>
      </w:r>
      <w:r w:rsidR="00844B5C" w:rsidRPr="00844B5C">
        <w:t>estaande belastingvormen, die de economische bedrijvigheid te sterk hinderen, flagrant onrechtvaardig zijn of te ingewikkeld</w:t>
      </w:r>
      <w:r w:rsidR="00284D65">
        <w:t xml:space="preserve"> zijn </w:t>
      </w:r>
      <w:r w:rsidR="007C7871">
        <w:t>best vervangen worden door a</w:t>
      </w:r>
      <w:r w:rsidR="00844B5C" w:rsidRPr="00844B5C">
        <w:t>ndere  belasting</w:t>
      </w:r>
      <w:r w:rsidR="007C7871">
        <w:t>en of belas</w:t>
      </w:r>
      <w:r w:rsidR="00272B17">
        <w:t>t</w:t>
      </w:r>
      <w:r w:rsidR="007C7871">
        <w:t>bare grondslagen</w:t>
      </w:r>
      <w:r w:rsidR="00844B5C" w:rsidRPr="00844B5C">
        <w:t>.</w:t>
      </w:r>
      <w:r w:rsidR="00272B17">
        <w:t xml:space="preserve"> </w:t>
      </w:r>
      <w:r w:rsidR="00844B5C" w:rsidRPr="00844B5C">
        <w:t xml:space="preserve">Een taxshift </w:t>
      </w:r>
      <w:r w:rsidR="00272B17">
        <w:t xml:space="preserve">heeft dus </w:t>
      </w:r>
      <w:r w:rsidR="00844B5C" w:rsidRPr="00844B5C">
        <w:t xml:space="preserve">macro-economisch </w:t>
      </w:r>
      <w:r w:rsidR="00272B17">
        <w:t xml:space="preserve">geen impact op de </w:t>
      </w:r>
      <w:r w:rsidR="00844B5C" w:rsidRPr="00844B5C">
        <w:t>belastingdruk</w:t>
      </w:r>
      <w:r w:rsidR="006D758A">
        <w:t>, onverminderd de eventuele redelijke terugverdieneffecten</w:t>
      </w:r>
      <w:r w:rsidR="003C359B">
        <w:t xml:space="preserve">. </w:t>
      </w:r>
    </w:p>
    <w:p w14:paraId="1BB0D561" w14:textId="77777777" w:rsidR="003C359B" w:rsidRDefault="003C359B" w:rsidP="00844B5C">
      <w:pPr>
        <w:spacing w:after="0"/>
        <w:jc w:val="both"/>
      </w:pPr>
    </w:p>
    <w:p w14:paraId="3BB94DFD" w14:textId="669F8378" w:rsidR="00844B5C" w:rsidRPr="00844B5C" w:rsidRDefault="00FA2F2C" w:rsidP="00844B5C">
      <w:pPr>
        <w:spacing w:after="0"/>
        <w:jc w:val="both"/>
      </w:pPr>
      <w:r>
        <w:t>M</w:t>
      </w:r>
      <w:r w:rsidR="003C359B">
        <w:t xml:space="preserve">ethodologisch is dit </w:t>
      </w:r>
      <w:r>
        <w:t xml:space="preserve">in ieder geval </w:t>
      </w:r>
      <w:r w:rsidR="003C359B">
        <w:t xml:space="preserve">een goed uitgangspunt, vermits het noodzaakt tot het ontwikkelen van een </w:t>
      </w:r>
      <w:r w:rsidR="00844B5C" w:rsidRPr="00844B5C">
        <w:t>objectieve en coherente visie</w:t>
      </w:r>
      <w:r w:rsidR="00B46211">
        <w:t xml:space="preserve">, zonder dit ex ante te moeten koppelen aan een (ideologische) voorkeur voor een </w:t>
      </w:r>
      <w:r w:rsidR="008F0CE7">
        <w:t>verlaging of verhoging van de collectieve heffingsdruk</w:t>
      </w:r>
      <w:r w:rsidR="00844B5C" w:rsidRPr="00844B5C">
        <w:t>.</w:t>
      </w:r>
    </w:p>
    <w:p w14:paraId="43BF43B8" w14:textId="66C38FE5" w:rsidR="006E62C7" w:rsidRDefault="006E62C7">
      <w:r>
        <w:br w:type="page"/>
      </w:r>
    </w:p>
    <w:p w14:paraId="0BBCCC70" w14:textId="3310A985" w:rsidR="006E62C7" w:rsidRDefault="006E62C7">
      <w:pPr>
        <w:spacing w:after="0"/>
        <w:jc w:val="both"/>
      </w:pPr>
    </w:p>
    <w:p w14:paraId="21442464" w14:textId="77777777" w:rsidR="006E62C7" w:rsidRPr="00B21FAC" w:rsidRDefault="006E62C7" w:rsidP="00BA7E3E">
      <w:pPr>
        <w:spacing w:after="0"/>
        <w:jc w:val="both"/>
      </w:pPr>
    </w:p>
    <w:p w14:paraId="7BC1167F" w14:textId="32B6A0D8" w:rsidR="002E41A0" w:rsidRPr="00B21FAC" w:rsidRDefault="002E41A0" w:rsidP="00BA7E3E">
      <w:pPr>
        <w:pStyle w:val="Kop2"/>
        <w:numPr>
          <w:ilvl w:val="0"/>
          <w:numId w:val="33"/>
        </w:numPr>
      </w:pPr>
      <w:bookmarkStart w:id="13" w:name="_Toc107210873"/>
      <w:r w:rsidRPr="00B21FAC">
        <w:t>Context van de hervorming</w:t>
      </w:r>
      <w:bookmarkEnd w:id="13"/>
    </w:p>
    <w:p w14:paraId="4310E05C" w14:textId="09BC198C" w:rsidR="002E41A0" w:rsidRPr="00B21FAC" w:rsidRDefault="002E41A0" w:rsidP="00275FEB">
      <w:pPr>
        <w:spacing w:after="0"/>
        <w:jc w:val="both"/>
      </w:pPr>
    </w:p>
    <w:p w14:paraId="326769C7" w14:textId="18EFDBD3" w:rsidR="00B14352" w:rsidRPr="00B21FAC" w:rsidRDefault="00B14352" w:rsidP="00275FEB">
      <w:pPr>
        <w:spacing w:after="0"/>
        <w:jc w:val="both"/>
      </w:pPr>
    </w:p>
    <w:p w14:paraId="739FFD58" w14:textId="1FC77A43" w:rsidR="00680630" w:rsidRPr="00B21FAC" w:rsidRDefault="00680630" w:rsidP="00275FEB">
      <w:pPr>
        <w:spacing w:after="0"/>
        <w:jc w:val="both"/>
      </w:pPr>
      <w:r w:rsidRPr="00B21FAC">
        <w:t xml:space="preserve">België kent een vrij </w:t>
      </w:r>
      <w:r w:rsidRPr="00B21FAC">
        <w:rPr>
          <w:b/>
          <w:bCs/>
          <w:u w:val="single"/>
        </w:rPr>
        <w:t>complexe heffingsstructuur</w:t>
      </w:r>
      <w:r w:rsidRPr="00B21FAC">
        <w:t>, veroorzaakt door (i) het bestaan van meerdere bevoegdheidsniveaus, (ii) het samengaan van talrijke verschillende heffingen en heffingsinstanties en (iii) de voor quasi elke heffing opgenomen ad hoc maatregelen en specifieke regimes.</w:t>
      </w:r>
    </w:p>
    <w:p w14:paraId="5BC71E6A" w14:textId="77777777" w:rsidR="00680630" w:rsidRPr="00B21FAC" w:rsidRDefault="00680630" w:rsidP="00275FEB">
      <w:pPr>
        <w:spacing w:after="0"/>
        <w:jc w:val="both"/>
      </w:pPr>
    </w:p>
    <w:p w14:paraId="6DCDF415" w14:textId="68FD9B37" w:rsidR="003A2259" w:rsidRPr="00B21FAC" w:rsidRDefault="00680630" w:rsidP="00275FEB">
      <w:pPr>
        <w:spacing w:after="0"/>
        <w:jc w:val="both"/>
      </w:pPr>
      <w:r w:rsidRPr="00B21FAC">
        <w:t xml:space="preserve">In </w:t>
      </w:r>
      <w:r w:rsidRPr="00B21FAC">
        <w:rPr>
          <w:b/>
          <w:bCs/>
          <w:u w:val="single"/>
        </w:rPr>
        <w:t>vergelijking met andere landen</w:t>
      </w:r>
      <w:r w:rsidRPr="00B21FAC">
        <w:t>, is de totale fiscale en parafiscale heffingsdruk hoog. Hiertegenover staat ook een hoog niveau aan overheidsuitgaven.</w:t>
      </w:r>
      <w:r w:rsidR="00BE5E40" w:rsidRPr="00B21FAC">
        <w:t xml:space="preserve"> Het Belgische belasting- en uitkeringssysteem is sterk herverdelend.</w:t>
      </w:r>
    </w:p>
    <w:p w14:paraId="19928A11" w14:textId="77777777" w:rsidR="00D93B21" w:rsidRPr="00B21FAC" w:rsidRDefault="00D93B21" w:rsidP="00275FEB">
      <w:pPr>
        <w:spacing w:after="0"/>
        <w:jc w:val="both"/>
      </w:pPr>
    </w:p>
    <w:p w14:paraId="616E176C" w14:textId="7EE459D9" w:rsidR="005F33F3" w:rsidRPr="00B21FAC" w:rsidRDefault="00D309F3" w:rsidP="00275FEB">
      <w:pPr>
        <w:spacing w:after="0"/>
        <w:jc w:val="both"/>
      </w:pPr>
      <w:r w:rsidRPr="00B21FAC">
        <w:t xml:space="preserve">In </w:t>
      </w:r>
      <w:r w:rsidR="0036119B" w:rsidRPr="00B21FAC">
        <w:t xml:space="preserve">deze </w:t>
      </w:r>
      <w:r w:rsidRPr="00B21FAC">
        <w:t>internationale vergelijkingen wor</w:t>
      </w:r>
      <w:r w:rsidR="0036119B" w:rsidRPr="00B21FAC">
        <w:t xml:space="preserve">den de </w:t>
      </w:r>
      <w:r w:rsidR="00A24625" w:rsidRPr="00B21FAC">
        <w:t>heffingen</w:t>
      </w:r>
      <w:r w:rsidR="0036119B" w:rsidRPr="00B21FAC">
        <w:t xml:space="preserve"> </w:t>
      </w:r>
      <w:r w:rsidR="00E221D5">
        <w:t>doorgaans</w:t>
      </w:r>
      <w:r w:rsidR="008C58F9" w:rsidRPr="00B21FAC">
        <w:t xml:space="preserve"> </w:t>
      </w:r>
      <w:r w:rsidR="0036119B" w:rsidRPr="00B21FAC">
        <w:t xml:space="preserve">onderverdeeld in drie subcategorieën, te weten </w:t>
      </w:r>
      <w:r w:rsidR="00A8229C" w:rsidRPr="00B21FAC">
        <w:t>heffingen</w:t>
      </w:r>
      <w:r w:rsidR="00991C30" w:rsidRPr="00B21FAC">
        <w:t xml:space="preserve"> op arbeid, </w:t>
      </w:r>
      <w:r w:rsidR="005A0E95">
        <w:t xml:space="preserve">de belasting op kapitaal en de </w:t>
      </w:r>
      <w:r w:rsidR="00991C30" w:rsidRPr="00B21FAC">
        <w:t xml:space="preserve">belasting op consumptie. </w:t>
      </w:r>
      <w:r w:rsidR="001117B8" w:rsidRPr="00B21FAC">
        <w:t xml:space="preserve">Uit deze onderverdelingen blijkt dat de fiscale en parafiscale ontvangsten </w:t>
      </w:r>
      <w:r w:rsidR="00A8229C" w:rsidRPr="00B21FAC">
        <w:t xml:space="preserve">voornamelijk afkomstig zijn van de heffingen op arbeid en van de belastingen op kapitaal. </w:t>
      </w:r>
      <w:r w:rsidR="00DD46E4" w:rsidRPr="00B21FAC">
        <w:t xml:space="preserve">Relatief gezien </w:t>
      </w:r>
      <w:r w:rsidR="003F6299">
        <w:t xml:space="preserve">(in de vergelijking met </w:t>
      </w:r>
      <w:r w:rsidR="00827E61">
        <w:t>andere landen</w:t>
      </w:r>
      <w:r w:rsidR="0025120F">
        <w:t xml:space="preserve">) </w:t>
      </w:r>
      <w:r w:rsidR="00DD46E4" w:rsidRPr="00B21FAC">
        <w:t>wordt weinig beroep gedaan op belastingen op consumptie om de overheidsuitgaven te financieren.</w:t>
      </w:r>
    </w:p>
    <w:p w14:paraId="0DAD9808" w14:textId="77777777" w:rsidR="00A24625" w:rsidRPr="00B21FAC" w:rsidRDefault="00A24625" w:rsidP="00275FEB">
      <w:pPr>
        <w:spacing w:after="0"/>
        <w:jc w:val="both"/>
      </w:pPr>
    </w:p>
    <w:p w14:paraId="54897A4E" w14:textId="5EFAA478" w:rsidR="005F33F3" w:rsidRPr="00B21FAC" w:rsidRDefault="00A24625" w:rsidP="00275FEB">
      <w:pPr>
        <w:spacing w:after="0"/>
        <w:jc w:val="both"/>
      </w:pPr>
      <w:r w:rsidRPr="00B21FAC">
        <w:rPr>
          <w:u w:val="single"/>
        </w:rPr>
        <w:t>PM:</w:t>
      </w:r>
      <w:r w:rsidRPr="00B21FAC">
        <w:t xml:space="preserve"> </w:t>
      </w:r>
      <w:r w:rsidR="00BA5CEA">
        <w:t>Het is</w:t>
      </w:r>
      <w:r w:rsidR="00F547FB" w:rsidRPr="00B21FAC">
        <w:t xml:space="preserve"> van belang te noteren dat in deze internationale vergelijkingen </w:t>
      </w:r>
      <w:r w:rsidR="00640DEE" w:rsidRPr="00B21FAC">
        <w:t>vaak ook</w:t>
      </w:r>
      <w:r w:rsidR="00FE64F8" w:rsidRPr="00B21FAC">
        <w:t xml:space="preserve"> </w:t>
      </w:r>
      <w:r w:rsidR="002B7BD8">
        <w:t xml:space="preserve">de belastingen op </w:t>
      </w:r>
      <w:r w:rsidR="00F26E46" w:rsidRPr="00B21FAC">
        <w:t xml:space="preserve">de inkomsten van zelfstandigen </w:t>
      </w:r>
      <w:r w:rsidR="00E91086">
        <w:t xml:space="preserve">en de winsten van vennootschappen </w:t>
      </w:r>
      <w:r w:rsidR="00F26E46" w:rsidRPr="00B21FAC">
        <w:t xml:space="preserve">integraal beschouwd worden als belastingen op kapitaal. Dit is uiteraard een vereenvoudigde aanpak, vermits minstens een deel van die inkomsten </w:t>
      </w:r>
      <w:r w:rsidR="00CB1DF5" w:rsidRPr="00B21FAC">
        <w:t>vergoedingen vormen voor de geleverde arbeid.</w:t>
      </w:r>
    </w:p>
    <w:p w14:paraId="7D6F26AB" w14:textId="038C2635" w:rsidR="00A24625" w:rsidRDefault="00A24625" w:rsidP="00275FEB">
      <w:pPr>
        <w:spacing w:after="0"/>
        <w:jc w:val="both"/>
      </w:pPr>
    </w:p>
    <w:p w14:paraId="32A27594" w14:textId="49014D9A" w:rsidR="00B65C91" w:rsidRDefault="00B65C91" w:rsidP="00275FEB">
      <w:pPr>
        <w:spacing w:after="0"/>
        <w:jc w:val="both"/>
      </w:pPr>
      <w:r w:rsidRPr="00E22F44">
        <w:rPr>
          <w:u w:val="single"/>
        </w:rPr>
        <w:t>PM:</w:t>
      </w:r>
      <w:r>
        <w:t xml:space="preserve"> </w:t>
      </w:r>
      <w:r w:rsidR="00E22F44" w:rsidRPr="00E22F44">
        <w:t>De omvang van de belastinginkomsten uit kapitaal in verhouding tot het bbp geeft uiteraard slechts een partieel beeld over de heffingsdruk. Het is geen relevant gegeven voor het niveau van de heffingstarieven. De ontvangsten zijn immers sterk afhankelijk van de omvang van het</w:t>
      </w:r>
      <w:r w:rsidR="0063737C">
        <w:t xml:space="preserve"> financiële</w:t>
      </w:r>
      <w:r w:rsidR="00E22F44" w:rsidRPr="00E22F44">
        <w:t xml:space="preserve"> vermogen van de </w:t>
      </w:r>
      <w:r w:rsidR="0063737C">
        <w:t>gezinnen, dat</w:t>
      </w:r>
      <w:r w:rsidR="00E22F44" w:rsidRPr="00E22F44">
        <w:t>, in verhouding tot het bbp, in België relatief hoog is ten opzichte van de andere EU-landen.</w:t>
      </w:r>
    </w:p>
    <w:p w14:paraId="250D688C" w14:textId="77777777" w:rsidR="00B65C91" w:rsidRPr="00B21FAC" w:rsidRDefault="00B65C91" w:rsidP="00275FEB">
      <w:pPr>
        <w:spacing w:after="0"/>
        <w:jc w:val="both"/>
      </w:pPr>
    </w:p>
    <w:p w14:paraId="73D15E61" w14:textId="156A88AD" w:rsidR="005B0001" w:rsidRPr="00B21FAC" w:rsidRDefault="00A24625" w:rsidP="00275FEB">
      <w:pPr>
        <w:spacing w:after="0"/>
        <w:jc w:val="both"/>
      </w:pPr>
      <w:r w:rsidRPr="00B21FAC">
        <w:rPr>
          <w:u w:val="single"/>
        </w:rPr>
        <w:t>PM:</w:t>
      </w:r>
      <w:r w:rsidRPr="00B21FAC">
        <w:t xml:space="preserve"> </w:t>
      </w:r>
      <w:r w:rsidR="005B0001" w:rsidRPr="00B21FAC">
        <w:t xml:space="preserve">Voorts is het ook van belang om te noteren dat in deze internationale vergelijkingen </w:t>
      </w:r>
      <w:r w:rsidR="00E91086">
        <w:t xml:space="preserve">vaak </w:t>
      </w:r>
      <w:r w:rsidR="005B0001" w:rsidRPr="00B21FAC">
        <w:t xml:space="preserve">geen rekening wordt gehouden met </w:t>
      </w:r>
      <w:r w:rsidR="00F13FC6" w:rsidRPr="00B21FAC">
        <w:t xml:space="preserve">gerichte belasting- of sociale zekerheidsbijdrageverminderingen. Ook dit is </w:t>
      </w:r>
      <w:r w:rsidR="0009424F">
        <w:t xml:space="preserve">een </w:t>
      </w:r>
      <w:r w:rsidR="00F13FC6" w:rsidRPr="00B21FAC">
        <w:t>belangrijk gegeven, temeer daar België, meer dan andere landen</w:t>
      </w:r>
      <w:r w:rsidR="00BC30B4" w:rsidRPr="00B21FAC">
        <w:t>, een beroep doet o</w:t>
      </w:r>
      <w:r w:rsidR="00B1294C" w:rsidRPr="00B21FAC">
        <w:t>p</w:t>
      </w:r>
      <w:r w:rsidR="00BC30B4" w:rsidRPr="00B21FAC">
        <w:t xml:space="preserve"> dergelijke verminderingen</w:t>
      </w:r>
      <w:r w:rsidR="00E45B53">
        <w:t xml:space="preserve"> (cf. bv. de verschillende regimes tot vrijstelling van doorstorting bedrijfsvoorheffing)</w:t>
      </w:r>
      <w:r w:rsidR="00BC30B4" w:rsidRPr="00B21FAC">
        <w:t>.</w:t>
      </w:r>
    </w:p>
    <w:p w14:paraId="1D211201" w14:textId="7280608D" w:rsidR="00991C30" w:rsidRPr="00B21FAC" w:rsidRDefault="00991C30" w:rsidP="00275FEB">
      <w:pPr>
        <w:spacing w:after="0"/>
        <w:jc w:val="both"/>
      </w:pPr>
    </w:p>
    <w:p w14:paraId="26B9556B" w14:textId="080AA381" w:rsidR="00222F3C" w:rsidRPr="00B21FAC" w:rsidRDefault="00103D69" w:rsidP="00275FEB">
      <w:pPr>
        <w:spacing w:after="0"/>
        <w:jc w:val="both"/>
      </w:pPr>
      <w:r w:rsidRPr="00B21FAC">
        <w:t xml:space="preserve">De </w:t>
      </w:r>
      <w:r w:rsidRPr="00B21FAC">
        <w:rPr>
          <w:b/>
          <w:bCs/>
          <w:u w:val="single"/>
        </w:rPr>
        <w:t xml:space="preserve">hoge belastingdruk </w:t>
      </w:r>
      <w:r w:rsidR="009C2273" w:rsidRPr="00B21FAC">
        <w:rPr>
          <w:b/>
          <w:bCs/>
          <w:u w:val="single"/>
        </w:rPr>
        <w:t>op arbeid</w:t>
      </w:r>
      <w:r w:rsidR="009C2273" w:rsidRPr="00B21FAC">
        <w:t xml:space="preserve"> </w:t>
      </w:r>
      <w:r w:rsidRPr="00B21FAC">
        <w:t>is in ieder geval een essentiële bekommerni</w:t>
      </w:r>
      <w:r w:rsidR="00F2332B" w:rsidRPr="00B21FAC">
        <w:t>s</w:t>
      </w:r>
      <w:r w:rsidR="00222F3C" w:rsidRPr="00B21FAC">
        <w:t>, die overigens ook d</w:t>
      </w:r>
      <w:r w:rsidR="007D1573">
        <w:t xml:space="preserve">e </w:t>
      </w:r>
      <w:r w:rsidR="00222F3C" w:rsidRPr="00B21FAC">
        <w:t xml:space="preserve">vorige </w:t>
      </w:r>
      <w:r w:rsidR="00240439">
        <w:t>r</w:t>
      </w:r>
      <w:r w:rsidR="00222F3C" w:rsidRPr="00B21FAC">
        <w:t>egering</w:t>
      </w:r>
      <w:r w:rsidR="00240439">
        <w:t>en</w:t>
      </w:r>
      <w:r w:rsidR="00222F3C" w:rsidRPr="00B21FAC">
        <w:t xml:space="preserve"> ertoe heeft aangezet de lasten op arbeid te doen. Desondanks blijft de heffingsdruk op arbeid ook op vandaag aanzienlijk hoog.</w:t>
      </w:r>
    </w:p>
    <w:p w14:paraId="1614DD2C" w14:textId="77777777" w:rsidR="00222F3C" w:rsidRPr="00B21FAC" w:rsidRDefault="00222F3C" w:rsidP="00275FEB">
      <w:pPr>
        <w:spacing w:after="0"/>
        <w:jc w:val="both"/>
      </w:pPr>
    </w:p>
    <w:p w14:paraId="39A32876" w14:textId="509D30B6" w:rsidR="00D174CA" w:rsidRPr="00B21FAC" w:rsidRDefault="00BC30B4" w:rsidP="00275FEB">
      <w:pPr>
        <w:spacing w:after="0"/>
        <w:jc w:val="both"/>
      </w:pPr>
      <w:r w:rsidRPr="00B21FAC">
        <w:t>De hoge impliciete heffing</w:t>
      </w:r>
      <w:r w:rsidR="00764A5B" w:rsidRPr="00B21FAC">
        <w:t>en op arbeid kunnen nefast zijn voor de economische bedrijvigheid in België</w:t>
      </w:r>
      <w:r w:rsidR="008352B9" w:rsidRPr="00B21FAC">
        <w:t xml:space="preserve"> indie</w:t>
      </w:r>
      <w:r w:rsidR="00476083" w:rsidRPr="00B21FAC">
        <w:t>n</w:t>
      </w:r>
      <w:r w:rsidR="008352B9" w:rsidRPr="00B21FAC">
        <w:t xml:space="preserve"> </w:t>
      </w:r>
      <w:r w:rsidR="002D560E" w:rsidRPr="00B21FAC">
        <w:t>zij de</w:t>
      </w:r>
      <w:r w:rsidR="008352B9" w:rsidRPr="00B21FAC">
        <w:t xml:space="preserve"> groeibevorderende impact van de </w:t>
      </w:r>
      <w:r w:rsidR="000D00F6">
        <w:t xml:space="preserve">ermee gefinancierde </w:t>
      </w:r>
      <w:r w:rsidR="008352B9" w:rsidRPr="00B21FAC">
        <w:t>overheidsuitgaven</w:t>
      </w:r>
      <w:r w:rsidR="002D560E" w:rsidRPr="00B21FAC">
        <w:t xml:space="preserve"> overstijgen. </w:t>
      </w:r>
      <w:r w:rsidR="005E7AE4" w:rsidRPr="00B21FAC">
        <w:t xml:space="preserve">Dergelijke hoge belastingdruk ontmoedigt de vraag naar en het aanbod van arbeid en beïnvloedt dan ook op negatieve wijze de arbeidsmarktparticipatie </w:t>
      </w:r>
      <w:r w:rsidR="00995420" w:rsidRPr="00B21FAC">
        <w:t>van de bevolking en het concurrentievermogen van de ondernemingen.</w:t>
      </w:r>
      <w:r w:rsidR="000811AE" w:rsidRPr="00B21FAC">
        <w:t xml:space="preserve"> </w:t>
      </w:r>
      <w:r w:rsidR="00D174CA" w:rsidRPr="00B21FAC">
        <w:t>O.m. deze hoge belastingdruk leidt overigens vaak tot de introductie en de bestendiging van alternatieve (en gunstiger getaxeerde) verloning</w:t>
      </w:r>
      <w:r w:rsidR="00AF4F0C">
        <w:t>s</w:t>
      </w:r>
      <w:r w:rsidR="00D174CA" w:rsidRPr="00B21FAC">
        <w:t>vormen.</w:t>
      </w:r>
    </w:p>
    <w:p w14:paraId="5F5398F4" w14:textId="77777777" w:rsidR="00D16A8F" w:rsidRPr="00B21FAC" w:rsidRDefault="00D16A8F" w:rsidP="00275FEB">
      <w:pPr>
        <w:spacing w:after="0"/>
        <w:jc w:val="both"/>
      </w:pPr>
    </w:p>
    <w:p w14:paraId="7DE4E90A" w14:textId="168F8C4A" w:rsidR="009D70AD" w:rsidRPr="00B21FAC" w:rsidRDefault="001F73A4" w:rsidP="00275FEB">
      <w:pPr>
        <w:spacing w:after="0"/>
        <w:jc w:val="both"/>
      </w:pPr>
      <w:r w:rsidRPr="00B21FAC">
        <w:t xml:space="preserve">De hoge heffingsdruk op arbeid, ook op de lagere lonen, leidt (in combinatie met het verlies aan sociale uitkeringen) voorts en onvermijdelijk tot </w:t>
      </w:r>
      <w:r w:rsidRPr="00B21FAC">
        <w:rPr>
          <w:u w:val="single"/>
        </w:rPr>
        <w:t>vrij hoge participatiebelastingvoeten</w:t>
      </w:r>
      <w:r w:rsidRPr="00B21FAC">
        <w:t xml:space="preserve">, </w:t>
      </w:r>
      <w:r w:rsidR="00AF4F0C">
        <w:t>die</w:t>
      </w:r>
      <w:r w:rsidR="00AF4F0C" w:rsidRPr="00B21FAC">
        <w:t xml:space="preserve"> </w:t>
      </w:r>
      <w:r w:rsidRPr="00B21FAC">
        <w:t>een goede parameter vorm</w:t>
      </w:r>
      <w:r w:rsidR="00AF4F0C">
        <w:t>en</w:t>
      </w:r>
      <w:r w:rsidRPr="00B21FAC">
        <w:t xml:space="preserve"> om de werkloosheids</w:t>
      </w:r>
      <w:r w:rsidR="00213DC1">
        <w:t>- en inactiviteits</w:t>
      </w:r>
      <w:r w:rsidRPr="00B21FAC">
        <w:t>val te meten.</w:t>
      </w:r>
    </w:p>
    <w:p w14:paraId="71A93BDC" w14:textId="77777777" w:rsidR="009D70AD" w:rsidRPr="00B21FAC" w:rsidRDefault="009D70AD" w:rsidP="00275FEB">
      <w:pPr>
        <w:spacing w:after="0"/>
        <w:jc w:val="both"/>
      </w:pPr>
    </w:p>
    <w:p w14:paraId="6A0A7C04" w14:textId="42AA28D7" w:rsidR="00CB1DF5" w:rsidRPr="00B21FAC" w:rsidRDefault="002B493B" w:rsidP="00275FEB">
      <w:pPr>
        <w:spacing w:after="0"/>
        <w:jc w:val="both"/>
      </w:pPr>
      <w:r w:rsidRPr="00B21FAC">
        <w:t>Teneinde de participatiebelastingvoet</w:t>
      </w:r>
      <w:r w:rsidR="006D11A0">
        <w:t>en</w:t>
      </w:r>
      <w:r w:rsidRPr="00B21FAC">
        <w:t xml:space="preserve"> te milderen voorziet het Belgisch belastingsysteem </w:t>
      </w:r>
      <w:r w:rsidR="008A6EE1">
        <w:t xml:space="preserve">wel </w:t>
      </w:r>
      <w:r w:rsidRPr="00B21FAC">
        <w:t xml:space="preserve">mechanismen om de heffingsdruk, inzonderheid voor de lagere lonen, te beperken. Dit wordt bewerkstelligd middels de zogenaamde ‘werkbonus’. Dankzij deze werkbonus werd de participatiebelastingvoet aanzienlijk verminderd. </w:t>
      </w:r>
      <w:r w:rsidR="009B0F7C">
        <w:t>De beperking van deze werkbonus tot het onderste deel van de loonverdeling en de daarmee samenhangende afbouw van deze lastenverlaging boven een bepaalde inkomensdrempel leidt wel</w:t>
      </w:r>
      <w:r w:rsidR="00FF129E">
        <w:t xml:space="preserve">, </w:t>
      </w:r>
      <w:r w:rsidR="009B0F7C">
        <w:t>g</w:t>
      </w:r>
      <w:r w:rsidRPr="00B21FAC">
        <w:t>ecombineerd met de eigenheid van de aangepaste Bijzondere Bijdrage voor de Sociale Zekerheid</w:t>
      </w:r>
      <w:r w:rsidR="009846E9" w:rsidRPr="00B21FAC">
        <w:t xml:space="preserve">, </w:t>
      </w:r>
      <w:r w:rsidRPr="00B21FAC">
        <w:t xml:space="preserve">tot (zeer) </w:t>
      </w:r>
      <w:r w:rsidRPr="00B21FAC">
        <w:rPr>
          <w:u w:val="single"/>
        </w:rPr>
        <w:t>hoge marginale belastingvoeten</w:t>
      </w:r>
      <w:r w:rsidRPr="00B21FAC">
        <w:t xml:space="preserve">, inzonderheid in de range van 0,5 tot 0,7 </w:t>
      </w:r>
      <w:r w:rsidR="008A6EE1">
        <w:t>maal</w:t>
      </w:r>
      <w:r w:rsidR="008A6EE1" w:rsidRPr="00B21FAC">
        <w:t xml:space="preserve"> </w:t>
      </w:r>
      <w:r w:rsidRPr="00B21FAC">
        <w:t>het gemiddeld loon</w:t>
      </w:r>
      <w:r w:rsidR="00F870AE" w:rsidRPr="00B21FAC">
        <w:t>.</w:t>
      </w:r>
    </w:p>
    <w:p w14:paraId="2DD4A0A4" w14:textId="5B36701C" w:rsidR="00680630" w:rsidRPr="00B21FAC" w:rsidRDefault="00680630" w:rsidP="00275FEB">
      <w:pPr>
        <w:spacing w:after="0"/>
        <w:jc w:val="both"/>
      </w:pPr>
    </w:p>
    <w:p w14:paraId="5277B677" w14:textId="568D5C37" w:rsidR="00F36BBC" w:rsidRPr="00B21FAC" w:rsidRDefault="00C17BB2" w:rsidP="00275FEB">
      <w:pPr>
        <w:spacing w:after="0"/>
        <w:jc w:val="both"/>
      </w:pPr>
      <w:r w:rsidRPr="00B21FAC">
        <w:t xml:space="preserve">Tot slot </w:t>
      </w:r>
      <w:r w:rsidR="00A9574A">
        <w:t>geeft</w:t>
      </w:r>
      <w:r w:rsidR="00A9574A" w:rsidRPr="00B21FAC">
        <w:t xml:space="preserve"> </w:t>
      </w:r>
      <w:r w:rsidRPr="00B21FAC">
        <w:t>de Belgische fiscaliteit</w:t>
      </w:r>
      <w:r w:rsidR="002D19B6">
        <w:t xml:space="preserve"> en parafiscaliteit</w:t>
      </w:r>
      <w:r w:rsidRPr="00B21FAC">
        <w:t xml:space="preserve"> aanleiding tot </w:t>
      </w:r>
      <w:r w:rsidRPr="00B21FAC">
        <w:rPr>
          <w:u w:val="single"/>
        </w:rPr>
        <w:t>substantiële verschillen</w:t>
      </w:r>
      <w:r w:rsidRPr="00B21FAC">
        <w:t xml:space="preserve"> in heffingsdruk, in functie van het statuut (loontrekkende/zelfstandige), de gekozen ondernemingsvorm (eenmanszaak/vennootschap) en de gekozen fiscale opties (minimumbezoldiging, VVPRbis, liquidatiereserve,…).</w:t>
      </w:r>
    </w:p>
    <w:p w14:paraId="1991BAC6" w14:textId="06B6FB00" w:rsidR="00F36BBC" w:rsidRPr="00B21FAC" w:rsidRDefault="00F36BBC" w:rsidP="00275FEB">
      <w:pPr>
        <w:spacing w:after="0"/>
        <w:jc w:val="both"/>
      </w:pPr>
    </w:p>
    <w:p w14:paraId="1A034E3D" w14:textId="0C1F0537" w:rsidR="007138E1" w:rsidRPr="00B21FAC" w:rsidRDefault="00807EEC" w:rsidP="00275FEB">
      <w:pPr>
        <w:spacing w:after="0"/>
        <w:jc w:val="both"/>
      </w:pPr>
      <w:r w:rsidRPr="00B21FAC">
        <w:t xml:space="preserve">De </w:t>
      </w:r>
      <w:r w:rsidRPr="00B21FAC">
        <w:rPr>
          <w:b/>
          <w:bCs/>
          <w:u w:val="single"/>
        </w:rPr>
        <w:t>belastingen</w:t>
      </w:r>
      <w:r w:rsidR="006E6454" w:rsidRPr="00B21FAC">
        <w:rPr>
          <w:b/>
          <w:bCs/>
          <w:u w:val="single"/>
        </w:rPr>
        <w:t xml:space="preserve"> op kapitaal</w:t>
      </w:r>
      <w:r w:rsidR="006E6454" w:rsidRPr="00B21FAC">
        <w:t xml:space="preserve"> </w:t>
      </w:r>
      <w:r w:rsidRPr="00B21FAC">
        <w:t xml:space="preserve">kunnen </w:t>
      </w:r>
      <w:r w:rsidR="00974B20" w:rsidRPr="00B21FAC">
        <w:rPr>
          <w:i/>
          <w:iCs/>
        </w:rPr>
        <w:t>grosso modo</w:t>
      </w:r>
      <w:r w:rsidR="00974B20" w:rsidRPr="00B21FAC">
        <w:t xml:space="preserve"> </w:t>
      </w:r>
      <w:r w:rsidRPr="00B21FAC">
        <w:t xml:space="preserve">onderverdeeld worden in drie categorieën: (i) de heffingen op het inkomen uit vermogen van de particulieren, (ii) de heffingen op het vermogen en op vermogenstransacties en (iii) de vennootschapsbelasting. </w:t>
      </w:r>
    </w:p>
    <w:p w14:paraId="545B4811" w14:textId="77777777" w:rsidR="007138E1" w:rsidRPr="00B21FAC" w:rsidRDefault="007138E1" w:rsidP="00275FEB">
      <w:pPr>
        <w:spacing w:after="0"/>
        <w:jc w:val="both"/>
      </w:pPr>
    </w:p>
    <w:p w14:paraId="3EEC455F" w14:textId="55D7C87C" w:rsidR="009D2A94" w:rsidRPr="00B21FAC" w:rsidRDefault="00412E41" w:rsidP="00275FEB">
      <w:pPr>
        <w:spacing w:after="0"/>
        <w:jc w:val="both"/>
      </w:pPr>
      <w:r w:rsidRPr="00B21FAC">
        <w:t xml:space="preserve">In België </w:t>
      </w:r>
      <w:r w:rsidR="00564F34" w:rsidRPr="00B21FAC">
        <w:t>valt vooral het relatief hoge aandeel op van de</w:t>
      </w:r>
      <w:r w:rsidR="00807EEC" w:rsidRPr="00B21FAC">
        <w:t xml:space="preserve"> heffingen op het vermogen en op de </w:t>
      </w:r>
      <w:r w:rsidR="00807EEC" w:rsidRPr="00B21FAC">
        <w:rPr>
          <w:u w:val="single"/>
        </w:rPr>
        <w:t>vermogenstransacties</w:t>
      </w:r>
      <w:r w:rsidR="00EE0D9C" w:rsidRPr="00B21FAC">
        <w:t xml:space="preserve"> (inzonderheid registratie- en successierechten)</w:t>
      </w:r>
      <w:r w:rsidR="00807EEC" w:rsidRPr="00B21FAC">
        <w:t>.</w:t>
      </w:r>
      <w:r w:rsidR="00E849B4" w:rsidRPr="00B21FAC">
        <w:t xml:space="preserve"> </w:t>
      </w:r>
      <w:r w:rsidR="007D2035" w:rsidRPr="007D2035">
        <w:t xml:space="preserve">Dit is alvast een belangrijke vaststelling in die zin dat deze heffingen zich situeren op het regionale niveau. Transactiebelastingen, waaronder </w:t>
      </w:r>
      <w:r w:rsidR="004F5964">
        <w:t xml:space="preserve">het </w:t>
      </w:r>
      <w:r w:rsidR="00E64AE1">
        <w:t>registratierecht op de overdrachten ten bezwarende titel van onroerende goederen</w:t>
      </w:r>
      <w:r w:rsidR="007D2035" w:rsidRPr="007D2035">
        <w:t>, worden voorts vanuit economisch perspectief als negatief voor de welvaart beschouwd omdat ze de wederzijdse voordelige uitwisseling van goederen ontmoedigen.</w:t>
      </w:r>
    </w:p>
    <w:p w14:paraId="295B5788" w14:textId="77777777" w:rsidR="00C61FEC" w:rsidRPr="00B21FAC" w:rsidRDefault="00C61FEC" w:rsidP="00275FEB">
      <w:pPr>
        <w:spacing w:after="0"/>
        <w:jc w:val="both"/>
      </w:pPr>
    </w:p>
    <w:p w14:paraId="7684BB23" w14:textId="6E131770" w:rsidR="000A681A" w:rsidRPr="00B21FAC" w:rsidRDefault="009246C5" w:rsidP="00275FEB">
      <w:pPr>
        <w:spacing w:after="0"/>
        <w:jc w:val="both"/>
      </w:pPr>
      <w:r w:rsidRPr="00B21FAC">
        <w:t xml:space="preserve">De heffingen op vermogensinkomsten </w:t>
      </w:r>
      <w:r w:rsidR="00EE0D9C" w:rsidRPr="00B21FAC">
        <w:t>zijn dus (relatief gezien) eerder beperkt</w:t>
      </w:r>
      <w:r w:rsidR="008A6251" w:rsidRPr="00B21FAC">
        <w:t>, ook vanuit een internationaal vergelijkend perspectief</w:t>
      </w:r>
      <w:r w:rsidR="006776CF" w:rsidRPr="00B21FAC">
        <w:t xml:space="preserve"> (terwijl </w:t>
      </w:r>
      <w:r w:rsidR="005772F7" w:rsidRPr="00B21FAC">
        <w:t>de Belgen toch een relatief hoog niveau aan financiële activa aanhouden)</w:t>
      </w:r>
      <w:r w:rsidR="008A6251" w:rsidRPr="00B21FAC">
        <w:t>.</w:t>
      </w:r>
      <w:r w:rsidR="008162D1" w:rsidRPr="00B21FAC">
        <w:t xml:space="preserve"> </w:t>
      </w:r>
      <w:r w:rsidR="00212A80" w:rsidRPr="00B21FAC">
        <w:t xml:space="preserve">Bovendien blijkt er ook een </w:t>
      </w:r>
      <w:r w:rsidR="00212A80" w:rsidRPr="00B21FAC">
        <w:rPr>
          <w:u w:val="single"/>
        </w:rPr>
        <w:t xml:space="preserve">zeer ongelijke </w:t>
      </w:r>
      <w:r w:rsidR="00DC2395" w:rsidRPr="00B21FAC">
        <w:rPr>
          <w:u w:val="single"/>
        </w:rPr>
        <w:t>belasting van de inkomsten uit de diverse beleggingsvormen</w:t>
      </w:r>
      <w:r w:rsidR="00DC2395" w:rsidRPr="00B21FAC">
        <w:t xml:space="preserve">. </w:t>
      </w:r>
    </w:p>
    <w:p w14:paraId="4C0CE32D" w14:textId="77777777" w:rsidR="001B1D45" w:rsidRPr="00B21FAC" w:rsidRDefault="001B1D45" w:rsidP="00275FEB">
      <w:pPr>
        <w:spacing w:after="0"/>
        <w:jc w:val="both"/>
      </w:pPr>
    </w:p>
    <w:p w14:paraId="3B277661" w14:textId="60B3C34C" w:rsidR="00D45745" w:rsidRPr="00B21FAC" w:rsidRDefault="001B1D45" w:rsidP="00275FEB">
      <w:pPr>
        <w:spacing w:after="0"/>
        <w:jc w:val="both"/>
      </w:pPr>
      <w:r w:rsidRPr="00B21FAC">
        <w:t>In België wordt (relatief gezien</w:t>
      </w:r>
      <w:r w:rsidR="00032FF2" w:rsidRPr="00B21FAC">
        <w:t xml:space="preserve"> in vergelijking met andere landen</w:t>
      </w:r>
      <w:r w:rsidRPr="00B21FAC">
        <w:t>) minder een beroep gedaan op</w:t>
      </w:r>
      <w:r w:rsidR="009A6C89" w:rsidRPr="00B21FAC">
        <w:t xml:space="preserve"> </w:t>
      </w:r>
      <w:r w:rsidR="009A6C89" w:rsidRPr="00B21FAC">
        <w:rPr>
          <w:b/>
          <w:bCs/>
          <w:u w:val="single"/>
        </w:rPr>
        <w:t>belastingen op consumptie</w:t>
      </w:r>
      <w:r w:rsidR="009A6C89" w:rsidRPr="00B21FAC">
        <w:t xml:space="preserve"> (m.i.v. vervuiling)</w:t>
      </w:r>
      <w:r w:rsidRPr="00B21FAC">
        <w:t xml:space="preserve">. </w:t>
      </w:r>
      <w:r w:rsidR="00467864" w:rsidRPr="00B21FAC">
        <w:t>Dit neemt niet weg dat het impliciet heffingstarief op con</w:t>
      </w:r>
      <w:r w:rsidR="000B1471" w:rsidRPr="00B21FAC">
        <w:t xml:space="preserve">sumptie aansluit op het gemiddelde impliciete heffingstarief in de EU (2017 – België: </w:t>
      </w:r>
      <w:r w:rsidR="00D45745" w:rsidRPr="00B21FAC">
        <w:t>21,6% tegenover een EU-gemiddelde van 22,5%)</w:t>
      </w:r>
      <w:r w:rsidR="008F2867" w:rsidRPr="00B21FAC">
        <w:t>.</w:t>
      </w:r>
      <w:r w:rsidR="00503CA7">
        <w:t xml:space="preserve"> Het impliciet </w:t>
      </w:r>
      <w:r w:rsidR="008F28C6">
        <w:t>heffingstarief op consumptie omvat het geheel van de betaalde belastingen op consumptie in verhouding tot de consumptieve bestedingen van de gezinnen op het grondgebied van een land.</w:t>
      </w:r>
    </w:p>
    <w:p w14:paraId="41C98BAA" w14:textId="77777777" w:rsidR="0021554E" w:rsidRPr="00B21FAC" w:rsidRDefault="0021554E" w:rsidP="00275FEB">
      <w:pPr>
        <w:spacing w:after="0"/>
        <w:jc w:val="both"/>
      </w:pPr>
    </w:p>
    <w:p w14:paraId="3F0D37F5" w14:textId="6D770E28" w:rsidR="000470BD" w:rsidRPr="00B21FAC" w:rsidRDefault="000470BD" w:rsidP="00275FEB">
      <w:pPr>
        <w:spacing w:after="0"/>
        <w:jc w:val="both"/>
      </w:pPr>
      <w:r w:rsidRPr="00B21FAC">
        <w:t xml:space="preserve">Opvallend is wel dat het </w:t>
      </w:r>
      <w:r w:rsidR="00473250" w:rsidRPr="00B21FAC">
        <w:t xml:space="preserve">impliciete btw-tarief in België </w:t>
      </w:r>
      <w:r w:rsidR="00FB7A17" w:rsidRPr="00B21FAC">
        <w:t xml:space="preserve">sterk afwijkt van het standaardtarief (2017 – impliciet btw-tarief van 14% tegenover een standaardtarief van 21%). </w:t>
      </w:r>
      <w:r w:rsidR="00953B34" w:rsidRPr="00B21FAC">
        <w:t xml:space="preserve">Dit is voornamelijk het gevolg van de </w:t>
      </w:r>
      <w:r w:rsidR="00FB75EB" w:rsidRPr="00B21FAC">
        <w:rPr>
          <w:u w:val="single"/>
        </w:rPr>
        <w:t xml:space="preserve">vrij ruime </w:t>
      </w:r>
      <w:r w:rsidR="00953B34" w:rsidRPr="00B21FAC">
        <w:rPr>
          <w:u w:val="single"/>
        </w:rPr>
        <w:t>toepassing va</w:t>
      </w:r>
      <w:r w:rsidR="00EA25D4" w:rsidRPr="00B21FAC">
        <w:rPr>
          <w:u w:val="single"/>
        </w:rPr>
        <w:t>n</w:t>
      </w:r>
      <w:r w:rsidR="00953B34" w:rsidRPr="00B21FAC">
        <w:rPr>
          <w:u w:val="single"/>
        </w:rPr>
        <w:t xml:space="preserve"> </w:t>
      </w:r>
      <w:r w:rsidR="00EA25D4" w:rsidRPr="00B21FAC">
        <w:rPr>
          <w:u w:val="single"/>
        </w:rPr>
        <w:t>verlaagde tarieven en btw-vrijstellingen</w:t>
      </w:r>
      <w:r w:rsidR="00EA25D4" w:rsidRPr="00B21FAC">
        <w:t>.</w:t>
      </w:r>
      <w:r w:rsidR="00946BA7" w:rsidRPr="00B21FAC">
        <w:t xml:space="preserve"> </w:t>
      </w:r>
      <w:r w:rsidR="00806E62" w:rsidRPr="00B21FAC">
        <w:t>Dergelijke vrijstellingen of verlaagde tarieven worden vaak ingevoerd om de negatieve impact van consumptiebelastingen op de herve</w:t>
      </w:r>
      <w:r w:rsidR="001137F6" w:rsidRPr="00B21FAC">
        <w:t>r</w:t>
      </w:r>
      <w:r w:rsidR="00806E62" w:rsidRPr="00B21FAC">
        <w:t>deling</w:t>
      </w:r>
      <w:r w:rsidR="00A15887" w:rsidRPr="00B21FAC">
        <w:t>s</w:t>
      </w:r>
      <w:r w:rsidR="00806E62" w:rsidRPr="00B21FAC">
        <w:t>doelstelling te temperen</w:t>
      </w:r>
      <w:r w:rsidR="001137F6" w:rsidRPr="00B21FAC">
        <w:t xml:space="preserve">. </w:t>
      </w:r>
      <w:r w:rsidR="00A15887" w:rsidRPr="00B21FAC">
        <w:t>Soms worden de tarieven ook verlaagd om de consumptie van bepaalde goederen en diensten te stimuleren</w:t>
      </w:r>
      <w:r w:rsidR="00EB1446">
        <w:t xml:space="preserve"> of om (tijdelijk) bepaalde excessief geachte prijsstijgingen als gevolg van marktontwikkelingen te temperen</w:t>
      </w:r>
      <w:r w:rsidR="00A15887" w:rsidRPr="00B21FAC">
        <w:t xml:space="preserve">. </w:t>
      </w:r>
      <w:r w:rsidR="00A975FF">
        <w:t>O</w:t>
      </w:r>
      <w:r w:rsidR="00FB75EB" w:rsidRPr="00B21FAC">
        <w:t>f deze doelstellingen via de btw-structuur moeten bewerkstelligd worden, wordt vanuit economisch oogpunt in vraag gesteld.</w:t>
      </w:r>
    </w:p>
    <w:p w14:paraId="55C49566" w14:textId="6D5DEE9B" w:rsidR="00FB75EB" w:rsidRPr="00B21FAC" w:rsidRDefault="00FB75EB" w:rsidP="00275FEB">
      <w:pPr>
        <w:spacing w:after="0"/>
        <w:jc w:val="both"/>
      </w:pPr>
    </w:p>
    <w:p w14:paraId="4797ACD7" w14:textId="3D427CF0" w:rsidR="0021554E" w:rsidRPr="00B21FAC" w:rsidRDefault="00391348" w:rsidP="00275FEB">
      <w:pPr>
        <w:spacing w:after="0"/>
        <w:jc w:val="both"/>
      </w:pPr>
      <w:r w:rsidRPr="00B21FAC">
        <w:t xml:space="preserve">Naast de btw, bestaan er ook </w:t>
      </w:r>
      <w:r w:rsidRPr="00B21FAC">
        <w:rPr>
          <w:u w:val="single"/>
        </w:rPr>
        <w:t>milieu- en congestieheffingen</w:t>
      </w:r>
      <w:r w:rsidRPr="00B21FAC">
        <w:t xml:space="preserve">, die </w:t>
      </w:r>
      <w:r w:rsidR="002F4A81" w:rsidRPr="00B21FAC">
        <w:t xml:space="preserve">er vooral toe strekken de maatschappelijke kosten van vervuiling en congestie te internaliseren. </w:t>
      </w:r>
    </w:p>
    <w:p w14:paraId="3ABFCF77" w14:textId="5CBD91D6" w:rsidR="007C1B4E" w:rsidRDefault="007C1B4E" w:rsidP="00275FEB">
      <w:pPr>
        <w:spacing w:after="0"/>
        <w:jc w:val="both"/>
      </w:pPr>
      <w:r w:rsidRPr="00B21FAC">
        <w:t>Ook hiervan is het relatieve aandeel in de totale fiscale ontvangsten</w:t>
      </w:r>
      <w:r w:rsidR="00FF4C74" w:rsidRPr="00B21FAC">
        <w:t xml:space="preserve"> van België</w:t>
      </w:r>
      <w:r w:rsidRPr="00B21FAC">
        <w:t xml:space="preserve"> eerder gering (in vergelijking tot onze buurlanden). </w:t>
      </w:r>
      <w:r w:rsidR="00170482" w:rsidRPr="00B21FAC">
        <w:t xml:space="preserve">De CO2-uitstoot op de weg wordt veruit het meest belast. </w:t>
      </w:r>
      <w:r w:rsidR="002C0BE0" w:rsidRPr="00B21FAC">
        <w:t xml:space="preserve">De belasting op brandstoffen verbruikt door huishoudens en commerciële of publieke diensten </w:t>
      </w:r>
      <w:r w:rsidR="00BB26C8" w:rsidRPr="00B21FAC">
        <w:t xml:space="preserve">(andere dan voor transport), </w:t>
      </w:r>
      <w:r w:rsidR="008D2252" w:rsidRPr="00B21FAC">
        <w:t>is evenwel laag</w:t>
      </w:r>
      <w:r w:rsidR="00BB26C8" w:rsidRPr="00B21FAC">
        <w:t xml:space="preserve">. Ook de industrie </w:t>
      </w:r>
      <w:r w:rsidR="00A16949" w:rsidRPr="00B21FAC">
        <w:t>lijkt in België relatief gespaard van energieheffingen</w:t>
      </w:r>
      <w:r w:rsidR="000C175A" w:rsidRPr="00B21FAC">
        <w:t>.</w:t>
      </w:r>
    </w:p>
    <w:p w14:paraId="7FCF3ABE" w14:textId="3DAF9BA0" w:rsidR="006E62C7" w:rsidRDefault="006E62C7" w:rsidP="00275FEB">
      <w:pPr>
        <w:spacing w:after="0"/>
        <w:jc w:val="both"/>
      </w:pPr>
    </w:p>
    <w:p w14:paraId="14F22A16" w14:textId="1D01B926" w:rsidR="006E62C7" w:rsidRDefault="006E62C7">
      <w:r>
        <w:br w:type="page"/>
      </w:r>
    </w:p>
    <w:p w14:paraId="60F08F86" w14:textId="00FC8BC0" w:rsidR="006E62C7" w:rsidRDefault="006E62C7" w:rsidP="00275FEB">
      <w:pPr>
        <w:spacing w:after="0"/>
        <w:jc w:val="both"/>
      </w:pPr>
    </w:p>
    <w:p w14:paraId="7389F467" w14:textId="77777777" w:rsidR="006E62C7" w:rsidRPr="00B21FAC" w:rsidRDefault="006E62C7" w:rsidP="00275FEB">
      <w:pPr>
        <w:spacing w:after="0"/>
        <w:jc w:val="both"/>
      </w:pPr>
    </w:p>
    <w:p w14:paraId="1EEB5672" w14:textId="1A89004E" w:rsidR="003302BE" w:rsidRPr="007B25DE" w:rsidRDefault="003A7787" w:rsidP="00BA7E3E">
      <w:pPr>
        <w:pStyle w:val="Kop1"/>
        <w:numPr>
          <w:ilvl w:val="0"/>
          <w:numId w:val="32"/>
        </w:numPr>
        <w:rPr>
          <w:smallCaps/>
        </w:rPr>
      </w:pPr>
      <w:bookmarkStart w:id="14" w:name="_Toc94168140"/>
      <w:bookmarkStart w:id="15" w:name="_Toc94168141"/>
      <w:bookmarkStart w:id="16" w:name="_Toc107210874"/>
      <w:bookmarkEnd w:id="14"/>
      <w:bookmarkEnd w:id="15"/>
      <w:r w:rsidRPr="007B25DE">
        <w:rPr>
          <w:smallCaps/>
        </w:rPr>
        <w:t xml:space="preserve">Algemene uitgangspunten </w:t>
      </w:r>
      <w:r w:rsidR="00F16E9D" w:rsidRPr="007B25DE">
        <w:rPr>
          <w:smallCaps/>
        </w:rPr>
        <w:t>van de hervorming</w:t>
      </w:r>
      <w:bookmarkEnd w:id="16"/>
    </w:p>
    <w:p w14:paraId="73AB32CF" w14:textId="09C9230B" w:rsidR="00F16E9D" w:rsidRPr="00B21FAC" w:rsidRDefault="00F16E9D" w:rsidP="00BA7E3E">
      <w:pPr>
        <w:spacing w:after="0"/>
        <w:jc w:val="both"/>
      </w:pPr>
    </w:p>
    <w:p w14:paraId="04A0E601" w14:textId="6166F6B9" w:rsidR="00F46DC6" w:rsidRPr="00B21FAC" w:rsidRDefault="00F46DC6" w:rsidP="00BA7E3E">
      <w:pPr>
        <w:spacing w:after="0"/>
        <w:jc w:val="both"/>
      </w:pPr>
    </w:p>
    <w:p w14:paraId="4614099F" w14:textId="1F598F2E" w:rsidR="005A7E3A" w:rsidRPr="00B21FAC" w:rsidRDefault="000A4C29" w:rsidP="00BA7E3E">
      <w:pPr>
        <w:pStyle w:val="Kop2"/>
        <w:numPr>
          <w:ilvl w:val="0"/>
          <w:numId w:val="34"/>
        </w:numPr>
        <w:spacing w:before="0"/>
      </w:pPr>
      <w:bookmarkStart w:id="17" w:name="_Toc107210875"/>
      <w:r w:rsidRPr="00B21FAC">
        <w:t>Algemeen</w:t>
      </w:r>
      <w:r w:rsidR="001C7AA0" w:rsidRPr="00B21FAC">
        <w:t xml:space="preserve"> – het Regeerakkoord</w:t>
      </w:r>
      <w:bookmarkEnd w:id="17"/>
    </w:p>
    <w:p w14:paraId="12D7A63F" w14:textId="77777777" w:rsidR="000A4C29" w:rsidRPr="00B21FAC" w:rsidRDefault="000A4C29" w:rsidP="00BA7E3E">
      <w:pPr>
        <w:spacing w:after="0"/>
        <w:jc w:val="both"/>
      </w:pPr>
    </w:p>
    <w:p w14:paraId="222BDE87" w14:textId="77777777" w:rsidR="005A7E3A" w:rsidRPr="00B21FAC" w:rsidRDefault="005A7E3A" w:rsidP="00BA7E3E">
      <w:pPr>
        <w:spacing w:after="0"/>
        <w:jc w:val="both"/>
      </w:pPr>
    </w:p>
    <w:p w14:paraId="61256589" w14:textId="1A014CB9" w:rsidR="00042211" w:rsidRPr="00B21FAC" w:rsidRDefault="00E11733" w:rsidP="00BA7E3E">
      <w:pPr>
        <w:spacing w:after="0"/>
        <w:jc w:val="both"/>
      </w:pPr>
      <w:r>
        <w:t>D</w:t>
      </w:r>
      <w:r w:rsidR="005232F1" w:rsidRPr="00B21FAC">
        <w:t xml:space="preserve">e Belgische belastingstructuur </w:t>
      </w:r>
      <w:r>
        <w:t xml:space="preserve">bevat ontegensprekelijk </w:t>
      </w:r>
      <w:r w:rsidR="005232F1" w:rsidRPr="00B21FAC">
        <w:t xml:space="preserve">een aantal onvolkomenheden waaraan </w:t>
      </w:r>
      <w:r w:rsidR="00BA2757" w:rsidRPr="00B21FAC">
        <w:t>moet geremedieerd worden.</w:t>
      </w:r>
      <w:r w:rsidR="005940B4" w:rsidRPr="00B21FAC">
        <w:t xml:space="preserve"> </w:t>
      </w:r>
      <w:r w:rsidR="00042211" w:rsidRPr="00B21FAC">
        <w:t xml:space="preserve">De huidige complexe regelgeving is het resultaat van jarenlang wetgevend werk, dat stilaan geleid heeft tot een opeenstapeling aan </w:t>
      </w:r>
      <w:r w:rsidR="00486795" w:rsidRPr="00B21FAC">
        <w:t>fiscale bepalingen</w:t>
      </w:r>
      <w:r w:rsidR="00042211" w:rsidRPr="00B21FAC">
        <w:t xml:space="preserve"> die ad hoc bepaalde problemen </w:t>
      </w:r>
      <w:r w:rsidR="00486795" w:rsidRPr="00B21FAC">
        <w:t>(</w:t>
      </w:r>
      <w:r w:rsidR="00042211" w:rsidRPr="00B21FAC">
        <w:t>probe</w:t>
      </w:r>
      <w:r w:rsidR="00486795" w:rsidRPr="00B21FAC">
        <w:t>ren)</w:t>
      </w:r>
      <w:r w:rsidR="00042211" w:rsidRPr="00B21FAC">
        <w:t xml:space="preserve"> aan </w:t>
      </w:r>
      <w:r w:rsidR="00486795" w:rsidRPr="00B21FAC">
        <w:t>(</w:t>
      </w:r>
      <w:r w:rsidR="00042211" w:rsidRPr="00B21FAC">
        <w:t>te</w:t>
      </w:r>
      <w:r w:rsidR="00486795" w:rsidRPr="00B21FAC">
        <w:t>)</w:t>
      </w:r>
      <w:r w:rsidR="00042211" w:rsidRPr="00B21FAC">
        <w:t xml:space="preserve"> pakken of, op zijn minst, de impact van deze problemen </w:t>
      </w:r>
      <w:r w:rsidR="00FD5136" w:rsidRPr="00B21FAC">
        <w:t xml:space="preserve">(beogen </w:t>
      </w:r>
      <w:r w:rsidR="00042211" w:rsidRPr="00B21FAC">
        <w:t>te</w:t>
      </w:r>
      <w:r w:rsidR="00FD5136" w:rsidRPr="00B21FAC">
        <w:t>)</w:t>
      </w:r>
      <w:r w:rsidR="00042211" w:rsidRPr="00B21FAC">
        <w:t xml:space="preserve"> verzachten.</w:t>
      </w:r>
    </w:p>
    <w:p w14:paraId="6986CC91" w14:textId="77777777" w:rsidR="00042211" w:rsidRPr="00B21FAC" w:rsidRDefault="00042211" w:rsidP="00BA7E3E">
      <w:pPr>
        <w:spacing w:after="0"/>
        <w:jc w:val="both"/>
      </w:pPr>
    </w:p>
    <w:p w14:paraId="4386A8E8" w14:textId="0C7AE164" w:rsidR="007C045D" w:rsidRPr="00B21FAC" w:rsidRDefault="005940B4" w:rsidP="00BA7E3E">
      <w:pPr>
        <w:spacing w:after="0"/>
        <w:jc w:val="both"/>
      </w:pPr>
      <w:r w:rsidRPr="00B21FAC">
        <w:t xml:space="preserve">In het algemeen voorziet het Regeerakkoord op dit vlak </w:t>
      </w:r>
      <w:r w:rsidR="001F5A12" w:rsidRPr="00B21FAC">
        <w:t xml:space="preserve">dat het effectief de </w:t>
      </w:r>
      <w:r w:rsidR="001F5A12" w:rsidRPr="00BE11E5">
        <w:rPr>
          <w:u w:val="single"/>
        </w:rPr>
        <w:t>bedoeling</w:t>
      </w:r>
      <w:r w:rsidR="001F5A12" w:rsidRPr="00B21FAC">
        <w:t xml:space="preserve"> is om het </w:t>
      </w:r>
      <w:r w:rsidR="007C045D" w:rsidRPr="00B21FAC">
        <w:t>belastingstelsel te moderniseren, te vereenvoudigen, meer rechtvaardig</w:t>
      </w:r>
      <w:r w:rsidR="00585C93" w:rsidRPr="00B21FAC">
        <w:t xml:space="preserve"> en</w:t>
      </w:r>
      <w:r w:rsidR="007C045D" w:rsidRPr="00B21FAC">
        <w:t xml:space="preserve"> meer neutraal te maken. </w:t>
      </w:r>
    </w:p>
    <w:p w14:paraId="421A33D4" w14:textId="77777777" w:rsidR="007C045D" w:rsidRPr="00B21FAC" w:rsidRDefault="007C045D" w:rsidP="00BA7E3E">
      <w:pPr>
        <w:spacing w:after="0"/>
        <w:jc w:val="both"/>
      </w:pPr>
    </w:p>
    <w:p w14:paraId="1CA041FA" w14:textId="4047BF75" w:rsidR="007C045D" w:rsidRPr="00B21FAC" w:rsidRDefault="007C045D" w:rsidP="00BA7E3E">
      <w:pPr>
        <w:spacing w:after="0"/>
        <w:jc w:val="both"/>
      </w:pPr>
      <w:r w:rsidRPr="00B21FAC">
        <w:t xml:space="preserve">Deze hervorming moet op die manier </w:t>
      </w:r>
      <w:r w:rsidR="00962310" w:rsidRPr="00B21FAC">
        <w:t xml:space="preserve">ook </w:t>
      </w:r>
      <w:r w:rsidRPr="00B21FAC">
        <w:t xml:space="preserve">bijdragen aan de </w:t>
      </w:r>
      <w:r w:rsidRPr="00BE11E5">
        <w:rPr>
          <w:u w:val="single"/>
        </w:rPr>
        <w:t>engagementen</w:t>
      </w:r>
      <w:r w:rsidRPr="00B21FAC">
        <w:t xml:space="preserve"> van de regering in dit regeerakkoord zoals: </w:t>
      </w:r>
    </w:p>
    <w:p w14:paraId="34F7A5D5" w14:textId="3CDD9BC3" w:rsidR="00962310" w:rsidRPr="00B21FAC" w:rsidRDefault="007A12EE" w:rsidP="00BA7E3E">
      <w:pPr>
        <w:pStyle w:val="Lijstalinea"/>
        <w:numPr>
          <w:ilvl w:val="0"/>
          <w:numId w:val="8"/>
        </w:numPr>
        <w:spacing w:after="0"/>
        <w:ind w:left="426" w:hanging="426"/>
        <w:jc w:val="both"/>
      </w:pPr>
      <w:r>
        <w:t>h</w:t>
      </w:r>
      <w:r w:rsidR="007C045D" w:rsidRPr="00B21FAC">
        <w:t xml:space="preserve">et verhogen van de werkzaamheidsgraad; </w:t>
      </w:r>
    </w:p>
    <w:p w14:paraId="57BD3E57" w14:textId="1CAD53D2" w:rsidR="00962310" w:rsidRPr="00B21FAC" w:rsidRDefault="007A12EE" w:rsidP="00BA7E3E">
      <w:pPr>
        <w:pStyle w:val="Lijstalinea"/>
        <w:numPr>
          <w:ilvl w:val="0"/>
          <w:numId w:val="8"/>
        </w:numPr>
        <w:spacing w:after="0"/>
        <w:ind w:left="426" w:hanging="426"/>
        <w:jc w:val="both"/>
      </w:pPr>
      <w:r>
        <w:t>h</w:t>
      </w:r>
      <w:r w:rsidR="007C045D" w:rsidRPr="00B21FAC">
        <w:t xml:space="preserve">et ondersteunen van de klimaatambities; </w:t>
      </w:r>
    </w:p>
    <w:p w14:paraId="2503B5A0" w14:textId="407559CF" w:rsidR="00962310" w:rsidRPr="00B21FAC" w:rsidRDefault="007A12EE" w:rsidP="00BA7E3E">
      <w:pPr>
        <w:pStyle w:val="Lijstalinea"/>
        <w:numPr>
          <w:ilvl w:val="0"/>
          <w:numId w:val="8"/>
        </w:numPr>
        <w:spacing w:after="0"/>
        <w:ind w:left="426" w:hanging="426"/>
        <w:jc w:val="both"/>
      </w:pPr>
      <w:r>
        <w:t>h</w:t>
      </w:r>
      <w:r w:rsidR="007C045D" w:rsidRPr="00B21FAC">
        <w:t xml:space="preserve">et aanmoedigen van het ondernemerschap; </w:t>
      </w:r>
    </w:p>
    <w:p w14:paraId="02C8E8C1" w14:textId="71032EB7" w:rsidR="00962310" w:rsidRPr="00B21FAC" w:rsidRDefault="007A12EE" w:rsidP="00BA7E3E">
      <w:pPr>
        <w:pStyle w:val="Lijstalinea"/>
        <w:numPr>
          <w:ilvl w:val="0"/>
          <w:numId w:val="8"/>
        </w:numPr>
        <w:spacing w:after="0"/>
        <w:ind w:left="426" w:hanging="426"/>
        <w:jc w:val="both"/>
      </w:pPr>
      <w:r>
        <w:t>h</w:t>
      </w:r>
      <w:r w:rsidR="007C045D" w:rsidRPr="00B21FAC">
        <w:t xml:space="preserve">et stimuleren van investeringen; </w:t>
      </w:r>
    </w:p>
    <w:p w14:paraId="1D82A5E4" w14:textId="22241E7D" w:rsidR="00962310" w:rsidRPr="00B21FAC" w:rsidRDefault="007A12EE" w:rsidP="00BA7E3E">
      <w:pPr>
        <w:pStyle w:val="Lijstalinea"/>
        <w:numPr>
          <w:ilvl w:val="0"/>
          <w:numId w:val="8"/>
        </w:numPr>
        <w:spacing w:after="0"/>
        <w:ind w:left="426" w:hanging="426"/>
        <w:jc w:val="both"/>
      </w:pPr>
      <w:r>
        <w:t>d</w:t>
      </w:r>
      <w:r w:rsidR="007C045D" w:rsidRPr="00B21FAC">
        <w:t xml:space="preserve">e strijd tegen de armoede; </w:t>
      </w:r>
    </w:p>
    <w:p w14:paraId="2336FB9B" w14:textId="5EB26C90" w:rsidR="00042211" w:rsidRPr="00B21FAC" w:rsidRDefault="007A12EE" w:rsidP="00BA7E3E">
      <w:pPr>
        <w:pStyle w:val="Lijstalinea"/>
        <w:numPr>
          <w:ilvl w:val="0"/>
          <w:numId w:val="8"/>
        </w:numPr>
        <w:spacing w:after="0"/>
        <w:ind w:left="426" w:hanging="426"/>
        <w:jc w:val="both"/>
      </w:pPr>
      <w:r>
        <w:t>d</w:t>
      </w:r>
      <w:r w:rsidR="007C045D" w:rsidRPr="00B21FAC">
        <w:t xml:space="preserve">e ondersteuning van gezinnen. </w:t>
      </w:r>
    </w:p>
    <w:p w14:paraId="2473E336" w14:textId="08998C7F" w:rsidR="00042211" w:rsidRDefault="00042211" w:rsidP="00BA7E3E">
      <w:pPr>
        <w:spacing w:after="0"/>
        <w:jc w:val="both"/>
      </w:pPr>
    </w:p>
    <w:p w14:paraId="5B20F57B" w14:textId="1B1F4CD3" w:rsidR="00CD66A8" w:rsidRPr="00CD66A8" w:rsidRDefault="00CD66A8" w:rsidP="00BA7E3E">
      <w:pPr>
        <w:spacing w:after="0"/>
        <w:jc w:val="both"/>
      </w:pPr>
      <w:r>
        <w:t>Nog volgens het Regeerakkoord zijn d</w:t>
      </w:r>
      <w:r w:rsidRPr="00CD66A8">
        <w:t xml:space="preserve">e </w:t>
      </w:r>
      <w:r w:rsidRPr="00BE11E5">
        <w:rPr>
          <w:u w:val="single"/>
        </w:rPr>
        <w:t>leidende principes</w:t>
      </w:r>
      <w:r w:rsidRPr="00CD66A8">
        <w:t xml:space="preserve"> voor de hervorming de volgende: </w:t>
      </w:r>
    </w:p>
    <w:p w14:paraId="1A764494" w14:textId="77777777" w:rsidR="00CD66A8" w:rsidRPr="00CD66A8" w:rsidRDefault="00CD66A8" w:rsidP="00BA7E3E">
      <w:pPr>
        <w:pStyle w:val="Lijstalinea"/>
        <w:numPr>
          <w:ilvl w:val="0"/>
          <w:numId w:val="88"/>
        </w:numPr>
        <w:spacing w:after="0"/>
        <w:ind w:left="426" w:hanging="426"/>
        <w:jc w:val="both"/>
      </w:pPr>
      <w:r w:rsidRPr="00CD66A8">
        <w:t xml:space="preserve">We zetten in op een verdere verlaging van de lasten op arbeid (zowel voor werknemers, ambtenaren als zelfstandigen, waarbij ook rekening moet gehouden worden met de parafiscale lasten); </w:t>
      </w:r>
    </w:p>
    <w:p w14:paraId="4631B3E3" w14:textId="77777777" w:rsidR="00CD66A8" w:rsidRPr="00CD66A8" w:rsidRDefault="00CD66A8" w:rsidP="00BA7E3E">
      <w:pPr>
        <w:pStyle w:val="Lijstalinea"/>
        <w:numPr>
          <w:ilvl w:val="0"/>
          <w:numId w:val="88"/>
        </w:numPr>
        <w:spacing w:after="0"/>
        <w:ind w:left="426" w:hanging="426"/>
        <w:jc w:val="both"/>
      </w:pPr>
      <w:r w:rsidRPr="00CD66A8">
        <w:t xml:space="preserve">Dankzij een verbreding van de belastbare basis voorzien we een duurzame financiering voor deze verlaging. Het gaat dus om een verschuiving van de fiscale druk. De totale fiscale druk zal niet toenemen aangezien de maatregelen van de fiscale hervorming, rekening houdend met redelijke terugverdieneffecten, in evenwicht zullen moeten zijn; </w:t>
      </w:r>
    </w:p>
    <w:p w14:paraId="7BCEE84C" w14:textId="4C86D301" w:rsidR="00CD66A8" w:rsidRPr="00CD66A8" w:rsidRDefault="00CD66A8" w:rsidP="00BA7E3E">
      <w:pPr>
        <w:pStyle w:val="Lijstalinea"/>
        <w:numPr>
          <w:ilvl w:val="0"/>
          <w:numId w:val="88"/>
        </w:numPr>
        <w:spacing w:after="0"/>
        <w:ind w:left="426" w:hanging="426"/>
        <w:jc w:val="both"/>
      </w:pPr>
      <w:r w:rsidRPr="00CD66A8">
        <w:t xml:space="preserve">Met betrekking tot de personenbelasting streeft de regering naar een vereenvoudiging waarbij aftrekposten, belastingverminderingen en uitzonderingsregimes zo veel mogelijk uitdoven en waarbij we een geleidelijke verschuiving organiseren van alternatieve verloningsvormen richting verloning in euro’s; </w:t>
      </w:r>
    </w:p>
    <w:p w14:paraId="4BB2ADD6" w14:textId="77777777" w:rsidR="00CD66A8" w:rsidRPr="00CD66A8" w:rsidRDefault="00CD66A8" w:rsidP="00BA7E3E">
      <w:pPr>
        <w:pStyle w:val="Lijstalinea"/>
        <w:numPr>
          <w:ilvl w:val="0"/>
          <w:numId w:val="88"/>
        </w:numPr>
        <w:spacing w:after="0"/>
        <w:ind w:left="426" w:hanging="426"/>
        <w:jc w:val="both"/>
      </w:pPr>
      <w:r w:rsidRPr="00CD66A8">
        <w:t xml:space="preserve">Met het oog op voorzienbaarheid en rechtszekerheid zullen de fiscale hervormingsplannen ruim op tijd kenbaar worden gemaakt. Dit laat toe dat er gedegen fiscale wetgeving uitgewerkt kan worden. Er wordt rekening gehouden met lopende contracten op een redelijke en billijke wijze; </w:t>
      </w:r>
    </w:p>
    <w:p w14:paraId="20C3B8E5" w14:textId="77777777" w:rsidR="00CD66A8" w:rsidRPr="00CD66A8" w:rsidRDefault="00CD66A8" w:rsidP="00BA7E3E">
      <w:pPr>
        <w:pStyle w:val="Lijstalinea"/>
        <w:numPr>
          <w:ilvl w:val="0"/>
          <w:numId w:val="88"/>
        </w:numPr>
        <w:spacing w:after="0"/>
        <w:ind w:left="426" w:hanging="426"/>
        <w:jc w:val="both"/>
      </w:pPr>
      <w:r w:rsidRPr="00CD66A8">
        <w:t xml:space="preserve">Er wordt aan de bevoegde instellingen gevraagd om naar best vermogen de financiële gevolgen van de hervorming op microniveau alsook op macroniveau door te rekenen met het oog op een weloverwogen beslissing; </w:t>
      </w:r>
    </w:p>
    <w:p w14:paraId="0F98EDFB" w14:textId="77777777" w:rsidR="00CD66A8" w:rsidRPr="00CD66A8" w:rsidRDefault="00CD66A8" w:rsidP="00BA7E3E">
      <w:pPr>
        <w:pStyle w:val="Lijstalinea"/>
        <w:numPr>
          <w:ilvl w:val="0"/>
          <w:numId w:val="88"/>
        </w:numPr>
        <w:spacing w:after="0"/>
        <w:ind w:left="426" w:hanging="426"/>
        <w:jc w:val="both"/>
      </w:pPr>
      <w:r w:rsidRPr="00CD66A8">
        <w:t xml:space="preserve">Het nieuwe belastingstelsel moet zo worden opgezet dat de mogelijkheden op het vlak van optimalisatie tot een minimum worden beperkt of ontmoedigd met het oog op de correcte toepassing van de belasting; </w:t>
      </w:r>
    </w:p>
    <w:p w14:paraId="78EE5FEA" w14:textId="77777777" w:rsidR="00CD66A8" w:rsidRPr="00CD66A8" w:rsidRDefault="00CD66A8" w:rsidP="00BA7E3E">
      <w:pPr>
        <w:pStyle w:val="Lijstalinea"/>
        <w:numPr>
          <w:ilvl w:val="0"/>
          <w:numId w:val="88"/>
        </w:numPr>
        <w:spacing w:after="0"/>
        <w:ind w:left="426" w:hanging="426"/>
        <w:jc w:val="both"/>
      </w:pPr>
      <w:r w:rsidRPr="00CD66A8">
        <w:t xml:space="preserve">Het nieuwe belastingstelsel zal ook moeten bijdragen aan de verwezenlijking van de klimaat- en milieudoelstellingen die in dit regeerakkoord zijn vastgelegd; </w:t>
      </w:r>
    </w:p>
    <w:p w14:paraId="6BE29AE0" w14:textId="77777777" w:rsidR="00CD66A8" w:rsidRPr="00CD66A8" w:rsidRDefault="00CD66A8" w:rsidP="00BA7E3E">
      <w:pPr>
        <w:pStyle w:val="Lijstalinea"/>
        <w:numPr>
          <w:ilvl w:val="0"/>
          <w:numId w:val="88"/>
        </w:numPr>
        <w:spacing w:after="0"/>
        <w:ind w:left="426" w:hanging="426"/>
        <w:jc w:val="both"/>
      </w:pPr>
      <w:r w:rsidRPr="00CD66A8">
        <w:t xml:space="preserve">De belastingen worden zo eenvoudig en effectief mogelijk geheven en geïnd. </w:t>
      </w:r>
    </w:p>
    <w:p w14:paraId="699CA0F5" w14:textId="77777777" w:rsidR="00CD66A8" w:rsidRPr="00B21FAC" w:rsidRDefault="00CD66A8" w:rsidP="00BA7E3E">
      <w:pPr>
        <w:spacing w:after="0"/>
        <w:jc w:val="both"/>
      </w:pPr>
    </w:p>
    <w:p w14:paraId="1A0E4AA6" w14:textId="7D5C733D" w:rsidR="00DD2F2C" w:rsidRPr="00B21FAC" w:rsidRDefault="00A04B77" w:rsidP="00BA7E3E">
      <w:pPr>
        <w:spacing w:after="0"/>
        <w:jc w:val="both"/>
      </w:pPr>
      <w:r w:rsidRPr="00B21FAC">
        <w:t>Ofschoon de hervorming dus principieel betrekking kan hebben op het gehele federale belastingstelsel, is het niettemin toch belangrijk om een bepaalde metho</w:t>
      </w:r>
      <w:r w:rsidR="00B64208" w:rsidRPr="00B21FAC">
        <w:t>do</w:t>
      </w:r>
      <w:r w:rsidRPr="00B21FAC">
        <w:t xml:space="preserve">logische focus </w:t>
      </w:r>
      <w:r w:rsidR="00383B89" w:rsidRPr="00B21FAC">
        <w:t>te hebben, die het best aansluit op de verdere doelstellingen van het Regeerakkoord.</w:t>
      </w:r>
    </w:p>
    <w:p w14:paraId="7C0F99E6" w14:textId="09ECF08F" w:rsidR="00B441F6" w:rsidRPr="00B21FAC" w:rsidRDefault="00B441F6" w:rsidP="00BA7E3E">
      <w:pPr>
        <w:spacing w:after="0"/>
        <w:jc w:val="both"/>
      </w:pPr>
    </w:p>
    <w:p w14:paraId="5F2AFC1C" w14:textId="3BCC7F8E" w:rsidR="00624A9E" w:rsidRPr="00B21FAC" w:rsidRDefault="00211BE5" w:rsidP="00BA7E3E">
      <w:pPr>
        <w:spacing w:after="0"/>
        <w:jc w:val="both"/>
      </w:pPr>
      <w:r w:rsidRPr="00B21FAC">
        <w:t>Uit he</w:t>
      </w:r>
      <w:r w:rsidR="00B3065D" w:rsidRPr="00B21FAC">
        <w:t xml:space="preserve">t Regeerakkoord blijkt dat </w:t>
      </w:r>
      <w:r w:rsidR="00166636" w:rsidRPr="00B21FAC">
        <w:t xml:space="preserve">specifiek ingezet wordt </w:t>
      </w:r>
      <w:r w:rsidR="0009547B" w:rsidRPr="00B21FAC">
        <w:t>“op e</w:t>
      </w:r>
      <w:r w:rsidR="00FC50AB" w:rsidRPr="00B21FAC">
        <w:t xml:space="preserve">en verdere verlaging van de </w:t>
      </w:r>
      <w:r w:rsidR="00FC50AB" w:rsidRPr="00B21FAC">
        <w:rPr>
          <w:u w:val="single"/>
        </w:rPr>
        <w:t>lasten op arbeid</w:t>
      </w:r>
      <w:r w:rsidR="00FC50AB" w:rsidRPr="00B21FAC">
        <w:t xml:space="preserve"> (zowel voor werknemers, ambtenaren als zelfstandigen, waarbij ook rekening moet gehouden worden met de parafiscale lasten)</w:t>
      </w:r>
      <w:r w:rsidR="0009547B" w:rsidRPr="00B21FAC">
        <w:t>”.</w:t>
      </w:r>
      <w:r w:rsidR="00A3206F" w:rsidRPr="00B21FAC">
        <w:t xml:space="preserve"> Met name </w:t>
      </w:r>
      <w:r w:rsidR="00D10081">
        <w:t>voor</w:t>
      </w:r>
      <w:r w:rsidR="00D10081" w:rsidRPr="00B21FAC">
        <w:t xml:space="preserve"> </w:t>
      </w:r>
      <w:r w:rsidR="00A3206F" w:rsidRPr="00B21FAC">
        <w:t xml:space="preserve">de personenbelasting, </w:t>
      </w:r>
      <w:r w:rsidR="00152440">
        <w:t>is</w:t>
      </w:r>
      <w:r w:rsidR="00152440" w:rsidRPr="00B21FAC">
        <w:t xml:space="preserve"> </w:t>
      </w:r>
      <w:r w:rsidR="00A3206F" w:rsidRPr="00B21FAC">
        <w:t>ook de ambitie geuit om te streven naar een doorgedreven “vereenvoudiging waarbij aftrekposten, belastingverminderingen en uitzonderingsregimes zo veel mogelijk uitdoven en waarbij we een geleidelijke verschuiving organiseren van alternatieve verloningsvormen richting verloning in euro’s”.</w:t>
      </w:r>
      <w:r w:rsidR="002B2349" w:rsidRPr="00B21FAC">
        <w:t xml:space="preserve"> </w:t>
      </w:r>
    </w:p>
    <w:p w14:paraId="717EF500" w14:textId="77777777" w:rsidR="00624A9E" w:rsidRPr="00B21FAC" w:rsidRDefault="00624A9E" w:rsidP="00BA7E3E">
      <w:pPr>
        <w:spacing w:after="0"/>
        <w:jc w:val="both"/>
      </w:pPr>
    </w:p>
    <w:p w14:paraId="0767885D" w14:textId="20963F7C" w:rsidR="008C01B1" w:rsidRPr="00B21FAC" w:rsidRDefault="002B2349" w:rsidP="00BA7E3E">
      <w:pPr>
        <w:spacing w:after="0"/>
        <w:jc w:val="both"/>
      </w:pPr>
      <w:r w:rsidRPr="00B21FAC">
        <w:t xml:space="preserve">Een </w:t>
      </w:r>
      <w:r w:rsidR="00CD7531" w:rsidRPr="00B21FAC">
        <w:t xml:space="preserve">analyse van de lasten op arbeid omhelst noodgedwongen ook een analyse van de </w:t>
      </w:r>
      <w:r w:rsidR="00CD7531" w:rsidRPr="00B21FAC">
        <w:rPr>
          <w:u w:val="single"/>
        </w:rPr>
        <w:t>fiscaliteit op de vervangingsinkomsten</w:t>
      </w:r>
      <w:r w:rsidR="00CD7531" w:rsidRPr="00B21FAC">
        <w:t xml:space="preserve">. </w:t>
      </w:r>
      <w:r w:rsidR="00701334" w:rsidRPr="00B21FAC">
        <w:t>Binnen dit kader kan o.m. verwezen worden naar de problematiek van de zogenaamde werkloosheidsval</w:t>
      </w:r>
      <w:r w:rsidR="00353CB7" w:rsidRPr="00B21FAC">
        <w:t xml:space="preserve"> (of ruimer: inactiviteitsval). Ook de pensioenfiscaliteit </w:t>
      </w:r>
      <w:r w:rsidR="00DA5CCD">
        <w:t>verdient binnen dit kader verdere aandacht</w:t>
      </w:r>
      <w:r w:rsidR="00624A9E" w:rsidRPr="00B21FAC">
        <w:t>.</w:t>
      </w:r>
    </w:p>
    <w:p w14:paraId="6DDDC7B6" w14:textId="26AFEA76" w:rsidR="001E0DE1" w:rsidRPr="00B21FAC" w:rsidRDefault="001E0DE1" w:rsidP="00BA7E3E">
      <w:pPr>
        <w:spacing w:after="0"/>
        <w:jc w:val="both"/>
      </w:pPr>
    </w:p>
    <w:p w14:paraId="32B1C6ED" w14:textId="3EE91FFC" w:rsidR="00166636" w:rsidRPr="00B21FAC" w:rsidRDefault="00E027F4" w:rsidP="00BA7E3E">
      <w:pPr>
        <w:spacing w:after="0"/>
        <w:jc w:val="both"/>
      </w:pPr>
      <w:r>
        <w:t>Aansluitend op</w:t>
      </w:r>
      <w:r w:rsidRPr="00B21FAC">
        <w:t xml:space="preserve"> </w:t>
      </w:r>
      <w:r w:rsidR="00E81EB2" w:rsidRPr="00B21FAC">
        <w:t xml:space="preserve">het ruimere kader van de ‘arbeidsfiscaliteit’ wenst de regering ook maatregelen te nemen </w:t>
      </w:r>
      <w:r w:rsidR="00745E2E" w:rsidRPr="00B21FAC">
        <w:t>“</w:t>
      </w:r>
      <w:r w:rsidR="00166636" w:rsidRPr="00B21FAC">
        <w:t xml:space="preserve">om de </w:t>
      </w:r>
      <w:r w:rsidR="00166636" w:rsidRPr="00B21FAC">
        <w:rPr>
          <w:u w:val="single"/>
        </w:rPr>
        <w:t>gezinsfiscaliteit</w:t>
      </w:r>
      <w:r w:rsidR="00166636" w:rsidRPr="00B21FAC">
        <w:t xml:space="preserve"> te verlichten en beter af te stemmen op de combinatie werk en gezin en de zorg voor oudere, inwonende familieleden</w:t>
      </w:r>
      <w:r w:rsidR="00745E2E" w:rsidRPr="00B21FAC">
        <w:t>”</w:t>
      </w:r>
      <w:r w:rsidR="00166636" w:rsidRPr="00B21FAC">
        <w:t xml:space="preserve">. </w:t>
      </w:r>
      <w:r w:rsidR="00745E2E" w:rsidRPr="00B21FAC">
        <w:t xml:space="preserve">In het Regeerakkoord staan ook al twee zeer concrete engagementen, te weten (i) </w:t>
      </w:r>
      <w:r w:rsidR="00166636" w:rsidRPr="00B21FAC">
        <w:t>de uitbreiding van de belastingvermindering voor kinderoppas</w:t>
      </w:r>
      <w:r w:rsidR="00745E2E" w:rsidRPr="00B21FAC">
        <w:t xml:space="preserve"> en (ii) de verhoging van de </w:t>
      </w:r>
      <w:r w:rsidR="00166636" w:rsidRPr="00B21FAC">
        <w:t>toeslag op de belastingvrije som voor (groot)ouders en broers/zussen ten laste ouder dan 65.</w:t>
      </w:r>
      <w:r w:rsidR="001021D7">
        <w:t xml:space="preserve"> Deze beide </w:t>
      </w:r>
      <w:r w:rsidR="00473FDB">
        <w:t>maatregelen hebben overigens inmiddels reeds het voorwerp uitgemaakt van een wetgevend ingrijpen.</w:t>
      </w:r>
    </w:p>
    <w:p w14:paraId="2EC2DC9B" w14:textId="77777777" w:rsidR="00CA6738" w:rsidRPr="00B21FAC" w:rsidRDefault="00CA6738" w:rsidP="00BA7E3E">
      <w:pPr>
        <w:spacing w:after="0"/>
        <w:jc w:val="both"/>
      </w:pPr>
    </w:p>
    <w:p w14:paraId="59EE8746" w14:textId="36D4A5BB" w:rsidR="007A542E" w:rsidRPr="00B21FAC" w:rsidRDefault="007C085B" w:rsidP="00BA7E3E">
      <w:pPr>
        <w:spacing w:after="0"/>
        <w:jc w:val="both"/>
      </w:pPr>
      <w:r w:rsidRPr="00B21FAC">
        <w:t xml:space="preserve">De </w:t>
      </w:r>
      <w:r w:rsidR="008265B8" w:rsidRPr="00B21FAC">
        <w:t>hervorming</w:t>
      </w:r>
      <w:r w:rsidR="00CA6738" w:rsidRPr="00B21FAC">
        <w:t xml:space="preserve"> overstijgt uiter</w:t>
      </w:r>
      <w:r w:rsidR="00487FE7" w:rsidRPr="00B21FAC">
        <w:t>a</w:t>
      </w:r>
      <w:r w:rsidR="00CA6738" w:rsidRPr="00B21FAC">
        <w:t xml:space="preserve">ard de loutere </w:t>
      </w:r>
      <w:r w:rsidR="00E32BB8" w:rsidRPr="00B21FAC">
        <w:t>‘arbeidsfiscaliteit’.</w:t>
      </w:r>
      <w:r w:rsidR="003A4790" w:rsidRPr="00B21FAC">
        <w:t xml:space="preserve"> </w:t>
      </w:r>
      <w:r w:rsidR="00E32BB8" w:rsidRPr="00B21FAC">
        <w:t xml:space="preserve">Ook de lasten op kapitaal </w:t>
      </w:r>
      <w:r w:rsidR="00AA18D6" w:rsidRPr="00B21FAC">
        <w:t xml:space="preserve">of de zogenaamde </w:t>
      </w:r>
      <w:r w:rsidR="00AA18D6" w:rsidRPr="00B21FAC">
        <w:rPr>
          <w:u w:val="single"/>
        </w:rPr>
        <w:t>vermogensfiscaliteit</w:t>
      </w:r>
      <w:r w:rsidR="00AA18D6" w:rsidRPr="00B21FAC">
        <w:t xml:space="preserve"> </w:t>
      </w:r>
      <w:r w:rsidR="00E32BB8" w:rsidRPr="00B21FAC">
        <w:t>maken het voorwerp uit van de hervormingsoefening</w:t>
      </w:r>
      <w:r w:rsidR="00AA18D6" w:rsidRPr="00B21FAC">
        <w:t xml:space="preserve">, althans voor zover </w:t>
      </w:r>
      <w:r w:rsidR="00A3206F" w:rsidRPr="00B21FAC">
        <w:t xml:space="preserve">deze </w:t>
      </w:r>
      <w:r w:rsidR="00AA18D6" w:rsidRPr="00B21FAC">
        <w:t>vallen onder de federale bevoegdheden (zie ook hiervoor)</w:t>
      </w:r>
      <w:r w:rsidR="00E32BB8" w:rsidRPr="00B21FAC">
        <w:t>.</w:t>
      </w:r>
      <w:r w:rsidR="00490D03" w:rsidRPr="00B21FAC">
        <w:t xml:space="preserve"> Uitgaande van de principes van het Regeerakkoord, zal daarbij vooral de neutraliteit van de belasti</w:t>
      </w:r>
      <w:r w:rsidR="00EA3F04" w:rsidRPr="00B21FAC">
        <w:t>n</w:t>
      </w:r>
      <w:r w:rsidR="00490D03" w:rsidRPr="00B21FAC">
        <w:t>gheffing nader onderzocht worden (ook in relatie met de arbeidsfiscaliteit).</w:t>
      </w:r>
      <w:r w:rsidR="007D519B" w:rsidRPr="00B21FAC">
        <w:t xml:space="preserve"> De vennootschapsbelasting (die conceptueel gerekend wordt tot de lasten op kapitaal) zal </w:t>
      </w:r>
      <w:r w:rsidR="00587337" w:rsidRPr="00B21FAC">
        <w:t xml:space="preserve">daarbij dus </w:t>
      </w:r>
      <w:r w:rsidR="007D519B" w:rsidRPr="00B21FAC">
        <w:t>slechts zijdelings aan bod komen. Het is (gelet op de recente hervorming terzake) inderdaad niet de bedoeling de vennootschapsbelasting zelf (andermaal) grondig te hervormen</w:t>
      </w:r>
      <w:r w:rsidR="00687C39">
        <w:t xml:space="preserve">, onverminderd uiteraard de </w:t>
      </w:r>
      <w:r w:rsidR="0074328B">
        <w:t>wijzigingen die zich ingevolge internationale ontwikkelingen zouden opdringen</w:t>
      </w:r>
      <w:r w:rsidR="007D519B" w:rsidRPr="00B21FAC">
        <w:t xml:space="preserve">. </w:t>
      </w:r>
    </w:p>
    <w:p w14:paraId="58312B3A" w14:textId="77777777" w:rsidR="00587337" w:rsidRPr="00B21FAC" w:rsidRDefault="00587337" w:rsidP="00BA7E3E">
      <w:pPr>
        <w:spacing w:after="0"/>
        <w:jc w:val="both"/>
      </w:pPr>
    </w:p>
    <w:p w14:paraId="4FA261DF" w14:textId="236DFA4F" w:rsidR="00081754" w:rsidRPr="00B21FAC" w:rsidRDefault="00E34844" w:rsidP="00BA7E3E">
      <w:pPr>
        <w:spacing w:after="0"/>
        <w:jc w:val="both"/>
      </w:pPr>
      <w:r w:rsidRPr="00B21FAC">
        <w:t xml:space="preserve">Uitgaande van een </w:t>
      </w:r>
      <w:r w:rsidR="00CA69CA" w:rsidRPr="00B21FAC">
        <w:t>budgetneutrale oefening</w:t>
      </w:r>
      <w:r w:rsidR="001220FC" w:rsidRPr="00B21FAC">
        <w:t xml:space="preserve">, </w:t>
      </w:r>
      <w:r w:rsidR="000B06C9">
        <w:t xml:space="preserve">rekening houdende met redelijke terugverdieneffecten, </w:t>
      </w:r>
      <w:r w:rsidR="001220FC" w:rsidRPr="00B21FAC">
        <w:t xml:space="preserve">moet de verlaging van de lasten op arbeid </w:t>
      </w:r>
      <w:r w:rsidR="005D1B23" w:rsidRPr="00B21FAC">
        <w:t xml:space="preserve">uiteraard </w:t>
      </w:r>
      <w:r w:rsidR="006E12FA" w:rsidRPr="00B21FAC">
        <w:t xml:space="preserve">gefinancierd worden. Blijkens het Regeerakkoord, moet hiertoe voorzien worden in een “verbreding van de belastbare basis”, hetgeen </w:t>
      </w:r>
      <w:r w:rsidR="00620205" w:rsidRPr="00B21FAC">
        <w:t xml:space="preserve">dan concreet wordt opgevat als een “verschuiving van de fiscale druk”. </w:t>
      </w:r>
      <w:r w:rsidR="002D303B" w:rsidRPr="00B21FAC">
        <w:t xml:space="preserve">Onverminderd ‘interne </w:t>
      </w:r>
      <w:r w:rsidR="00517AE9" w:rsidRPr="00B21FAC">
        <w:t>verschuivingen’ binnen de inkomstenbelasting</w:t>
      </w:r>
      <w:r w:rsidR="000B06C9">
        <w:t>en</w:t>
      </w:r>
      <w:r w:rsidR="00517AE9" w:rsidRPr="00B21FAC">
        <w:t>, zal e</w:t>
      </w:r>
      <w:r w:rsidR="000902F0" w:rsidRPr="00B21FAC">
        <w:t xml:space="preserve">en deel van de </w:t>
      </w:r>
      <w:r w:rsidR="00270FC1" w:rsidRPr="00B21FAC">
        <w:t xml:space="preserve">‘compensaties’ </w:t>
      </w:r>
      <w:r w:rsidR="00260ABA">
        <w:t xml:space="preserve">mogelijkerwijze </w:t>
      </w:r>
      <w:r w:rsidR="00270FC1" w:rsidRPr="00B21FAC">
        <w:t>ook een</w:t>
      </w:r>
      <w:r w:rsidR="007C5E51" w:rsidRPr="00B21FAC">
        <w:t xml:space="preserve"> </w:t>
      </w:r>
      <w:r w:rsidR="009172AC" w:rsidRPr="00B21FAC">
        <w:t xml:space="preserve">verschuiving </w:t>
      </w:r>
      <w:r w:rsidR="00270FC1" w:rsidRPr="00B21FAC">
        <w:t xml:space="preserve">inhouden </w:t>
      </w:r>
      <w:r w:rsidR="009172AC" w:rsidRPr="00B21FAC">
        <w:t xml:space="preserve">naar </w:t>
      </w:r>
      <w:r w:rsidR="008C5740" w:rsidRPr="00B21FAC">
        <w:rPr>
          <w:u w:val="single"/>
        </w:rPr>
        <w:t>de consumptiefiscaliteit</w:t>
      </w:r>
      <w:r w:rsidR="009172AC" w:rsidRPr="00B21FAC">
        <w:t>.</w:t>
      </w:r>
      <w:r w:rsidR="004548B9" w:rsidRPr="00B21FAC">
        <w:t xml:space="preserve"> </w:t>
      </w:r>
    </w:p>
    <w:p w14:paraId="5FA56B57" w14:textId="7D4E0F6D" w:rsidR="00267CD2" w:rsidRPr="00B21FAC" w:rsidRDefault="004548B9" w:rsidP="00BA7E3E">
      <w:pPr>
        <w:spacing w:after="0"/>
        <w:jc w:val="both"/>
      </w:pPr>
      <w:r w:rsidRPr="00B21FAC">
        <w:t xml:space="preserve">In het algemeen </w:t>
      </w:r>
      <w:r w:rsidR="001665A5" w:rsidRPr="00B21FAC">
        <w:t xml:space="preserve">wordt aangenomen dat een </w:t>
      </w:r>
      <w:r w:rsidR="00E54012" w:rsidRPr="00B21FAC">
        <w:t xml:space="preserve">dergelijke verschuiving </w:t>
      </w:r>
      <w:r w:rsidR="00EA5901" w:rsidRPr="00B21FAC">
        <w:t>effecten heeft</w:t>
      </w:r>
      <w:r w:rsidR="00992233" w:rsidRPr="00B21FAC">
        <w:t>. De eerste reden houdt verband met het feit dat</w:t>
      </w:r>
      <w:r w:rsidR="00E54012" w:rsidRPr="00B21FAC">
        <w:t xml:space="preserve"> </w:t>
      </w:r>
      <w:r w:rsidR="00992E3B" w:rsidRPr="00B21FAC">
        <w:t>consumptie niet louter wordt gefinanci</w:t>
      </w:r>
      <w:r w:rsidR="00992233" w:rsidRPr="00B21FAC">
        <w:t>e</w:t>
      </w:r>
      <w:r w:rsidR="00992E3B" w:rsidRPr="00B21FAC">
        <w:t>rd doo</w:t>
      </w:r>
      <w:r w:rsidR="00992233" w:rsidRPr="00B21FAC">
        <w:t>r</w:t>
      </w:r>
      <w:r w:rsidR="00992E3B" w:rsidRPr="00B21FAC">
        <w:t xml:space="preserve"> </w:t>
      </w:r>
      <w:r w:rsidR="00992233" w:rsidRPr="00B21FAC">
        <w:t>inkomen uit arbeid maar ook door andere inkomensbronnen zoals overheidsuitkeringen en voorheen opgebouwd vermogen</w:t>
      </w:r>
      <w:r w:rsidR="00FC1F3C" w:rsidRPr="00B21FAC">
        <w:t>. Een tweede reden houdt verband met de zogenaamde fiscale devaluatie</w:t>
      </w:r>
      <w:r w:rsidR="00267CD2" w:rsidRPr="00B21FAC">
        <w:t>.</w:t>
      </w:r>
      <w:r w:rsidR="008E5C07" w:rsidRPr="00B21FAC">
        <w:rPr>
          <w:vertAlign w:val="superscript"/>
        </w:rPr>
        <w:footnoteReference w:id="2"/>
      </w:r>
      <w:r w:rsidR="00267CD2" w:rsidRPr="00B21FAC">
        <w:t xml:space="preserve"> Het effect  van een dergelijke verschuiving, mag evenwel ook niet overschat worden, gelet op het mechanisme van de inkomensindexering. </w:t>
      </w:r>
    </w:p>
    <w:p w14:paraId="1CCD81EE" w14:textId="2053DFC3" w:rsidR="009172AC" w:rsidRPr="00B21FAC" w:rsidRDefault="00135090" w:rsidP="00BA7E3E">
      <w:pPr>
        <w:spacing w:after="0"/>
        <w:jc w:val="both"/>
      </w:pPr>
      <w:r w:rsidRPr="00B21FAC">
        <w:t xml:space="preserve">Een dergelijke verschuiving </w:t>
      </w:r>
      <w:r w:rsidR="00E750A7" w:rsidRPr="00B21FAC">
        <w:t>zal</w:t>
      </w:r>
      <w:r w:rsidRPr="00B21FAC">
        <w:t xml:space="preserve"> ook </w:t>
      </w:r>
      <w:r w:rsidR="00627A2A" w:rsidRPr="00B21FAC">
        <w:t>herverdelingseffecten</w:t>
      </w:r>
      <w:r w:rsidRPr="00B21FAC">
        <w:t xml:space="preserve"> met zich meebrengen</w:t>
      </w:r>
      <w:r w:rsidR="00813F47" w:rsidRPr="00B21FAC">
        <w:t xml:space="preserve">. </w:t>
      </w:r>
      <w:r w:rsidR="00002377" w:rsidRPr="00B21FAC">
        <w:t xml:space="preserve">De </w:t>
      </w:r>
      <w:r w:rsidR="00A92116" w:rsidRPr="00B21FAC">
        <w:t>herve</w:t>
      </w:r>
      <w:r w:rsidR="00F97890" w:rsidRPr="00B21FAC">
        <w:t>rd</w:t>
      </w:r>
      <w:r w:rsidR="00A92116" w:rsidRPr="00B21FAC">
        <w:t xml:space="preserve">elingsdoelstelling </w:t>
      </w:r>
      <w:r w:rsidR="00002377" w:rsidRPr="00B21FAC">
        <w:t xml:space="preserve">blijft </w:t>
      </w:r>
      <w:r w:rsidR="00EB77EB" w:rsidRPr="00B21FAC">
        <w:t>derhalve een belangrijk aandachtspunt</w:t>
      </w:r>
      <w:r w:rsidR="00D2448F" w:rsidRPr="00B21FAC">
        <w:t xml:space="preserve">. Het zal dan ook desgevallend vereist zijn </w:t>
      </w:r>
      <w:r w:rsidR="00F97890" w:rsidRPr="00B21FAC">
        <w:t>de progressiviteit van de inkomensbelasting en</w:t>
      </w:r>
      <w:r w:rsidR="00D2448F" w:rsidRPr="00B21FAC">
        <w:t>/of</w:t>
      </w:r>
      <w:r w:rsidR="00F97890" w:rsidRPr="00B21FAC">
        <w:t xml:space="preserve"> de uitkeringen bij te stellen</w:t>
      </w:r>
      <w:r w:rsidR="00267CD2" w:rsidRPr="00B21FAC">
        <w:t>.</w:t>
      </w:r>
    </w:p>
    <w:p w14:paraId="6B200819" w14:textId="77777777" w:rsidR="000E26C7" w:rsidRPr="00B21FAC" w:rsidRDefault="000E26C7" w:rsidP="00BA7E3E">
      <w:pPr>
        <w:spacing w:after="0"/>
        <w:jc w:val="both"/>
      </w:pPr>
    </w:p>
    <w:p w14:paraId="3CEA07FF" w14:textId="4FD64BA0" w:rsidR="00003360" w:rsidRPr="00B21FAC" w:rsidRDefault="00003360" w:rsidP="00BA7E3E">
      <w:pPr>
        <w:spacing w:after="0"/>
        <w:jc w:val="both"/>
      </w:pPr>
      <w:r w:rsidRPr="00B21FAC">
        <w:t>Niet onbelangrijk hierbij is ook de in het Regeerakkoord opgenomen betrachting om het nieuwe belastingstelsel te laten bijdragen aan de verwezenlijking van de klimaat- en milieudoelstellingen die in het regeerakkoord zijn vastgelegd.</w:t>
      </w:r>
      <w:r w:rsidR="00236227" w:rsidRPr="00B21FAC">
        <w:t xml:space="preserve"> </w:t>
      </w:r>
      <w:r w:rsidR="00057306" w:rsidRPr="00B21FAC">
        <w:t xml:space="preserve">Er moet dan ook grondig nagedacht worden over de inzet van de fiscaliteit als instrument om de </w:t>
      </w:r>
      <w:r w:rsidR="00057306" w:rsidRPr="00B21FAC">
        <w:rPr>
          <w:u w:val="single"/>
        </w:rPr>
        <w:t>milieudoelstellingen</w:t>
      </w:r>
      <w:r w:rsidR="00057306" w:rsidRPr="00B21FAC">
        <w:t xml:space="preserve"> te behalen.</w:t>
      </w:r>
    </w:p>
    <w:p w14:paraId="4141372A" w14:textId="4FBDC845" w:rsidR="00301FF2" w:rsidRDefault="00301FF2">
      <w:r>
        <w:br w:type="page"/>
      </w:r>
    </w:p>
    <w:p w14:paraId="3EB8ECB0" w14:textId="77777777" w:rsidR="009172AC" w:rsidRPr="00B21FAC" w:rsidRDefault="009172AC" w:rsidP="00BA7E3E">
      <w:pPr>
        <w:spacing w:after="0"/>
        <w:jc w:val="both"/>
      </w:pPr>
    </w:p>
    <w:p w14:paraId="4E7A14F0" w14:textId="77777777" w:rsidR="005B6584" w:rsidRPr="00B21FAC" w:rsidRDefault="005B6584" w:rsidP="00BA7E3E">
      <w:pPr>
        <w:spacing w:after="0"/>
        <w:jc w:val="both"/>
      </w:pPr>
    </w:p>
    <w:p w14:paraId="25675B5A" w14:textId="7AE8E72C" w:rsidR="00FC50AB" w:rsidRPr="00B21FAC" w:rsidRDefault="00E92265" w:rsidP="00BA7E3E">
      <w:pPr>
        <w:pStyle w:val="Kop2"/>
        <w:numPr>
          <w:ilvl w:val="0"/>
          <w:numId w:val="34"/>
        </w:numPr>
        <w:spacing w:before="0"/>
      </w:pPr>
      <w:bookmarkStart w:id="18" w:name="_Toc107210876"/>
      <w:r w:rsidRPr="00B21FAC">
        <w:t xml:space="preserve">Hervorming rond </w:t>
      </w:r>
      <w:r w:rsidR="00BD431A">
        <w:t>vier</w:t>
      </w:r>
      <w:r w:rsidRPr="00B21FAC">
        <w:t xml:space="preserve"> assen</w:t>
      </w:r>
      <w:bookmarkEnd w:id="18"/>
    </w:p>
    <w:p w14:paraId="61285DF5" w14:textId="66A06FF7" w:rsidR="003A4790" w:rsidRPr="00B21FAC" w:rsidRDefault="003A4790" w:rsidP="00BA7E3E">
      <w:pPr>
        <w:spacing w:after="0"/>
        <w:jc w:val="both"/>
      </w:pPr>
    </w:p>
    <w:p w14:paraId="55F266E2" w14:textId="6ADC309B" w:rsidR="003A4790" w:rsidRPr="00B21FAC" w:rsidRDefault="003A4790" w:rsidP="00BA7E3E">
      <w:pPr>
        <w:spacing w:after="0"/>
        <w:jc w:val="both"/>
      </w:pPr>
    </w:p>
    <w:p w14:paraId="76D5F545" w14:textId="7B230DA6" w:rsidR="004E1903" w:rsidRPr="00B21FAC" w:rsidRDefault="004E1903" w:rsidP="00BA7E3E">
      <w:pPr>
        <w:spacing w:after="0"/>
        <w:jc w:val="both"/>
      </w:pPr>
      <w:r w:rsidRPr="00B21FAC">
        <w:t xml:space="preserve">Rekening houdend met de in het Regeerakkoord vastgelegde focus, zal </w:t>
      </w:r>
      <w:r w:rsidR="00D57DFD">
        <w:t xml:space="preserve">in het kader van </w:t>
      </w:r>
      <w:r w:rsidRPr="00B21FAC">
        <w:t xml:space="preserve">de hervorming </w:t>
      </w:r>
      <w:r w:rsidR="00D57DFD">
        <w:t>gewerkt worden</w:t>
      </w:r>
      <w:r w:rsidRPr="00B21FAC">
        <w:t xml:space="preserve"> vanuit </w:t>
      </w:r>
      <w:r w:rsidR="00BD431A">
        <w:rPr>
          <w:b/>
          <w:bCs/>
          <w:u w:val="single"/>
        </w:rPr>
        <w:t>vier</w:t>
      </w:r>
      <w:r w:rsidR="00BD431A" w:rsidRPr="00B21FAC">
        <w:rPr>
          <w:b/>
          <w:bCs/>
          <w:u w:val="single"/>
        </w:rPr>
        <w:t xml:space="preserve"> </w:t>
      </w:r>
      <w:r w:rsidRPr="00B21FAC">
        <w:rPr>
          <w:b/>
          <w:bCs/>
          <w:u w:val="single"/>
        </w:rPr>
        <w:t>assen</w:t>
      </w:r>
      <w:r w:rsidR="00F90A10" w:rsidRPr="00B21FAC">
        <w:t>:</w:t>
      </w:r>
    </w:p>
    <w:p w14:paraId="126F71AC" w14:textId="0533173A" w:rsidR="004552FC" w:rsidRDefault="004552FC">
      <w:pPr>
        <w:spacing w:after="0"/>
        <w:jc w:val="both"/>
      </w:pPr>
    </w:p>
    <w:p w14:paraId="111AA18A" w14:textId="17513A9A" w:rsidR="00930EE2" w:rsidRDefault="004552FC">
      <w:pPr>
        <w:pStyle w:val="Lijstalinea"/>
        <w:numPr>
          <w:ilvl w:val="0"/>
          <w:numId w:val="9"/>
        </w:numPr>
        <w:spacing w:after="0"/>
        <w:ind w:left="426" w:hanging="426"/>
        <w:jc w:val="both"/>
      </w:pPr>
      <w:r w:rsidRPr="00B21FAC">
        <w:t>Arbeids</w:t>
      </w:r>
      <w:r w:rsidR="0021577D" w:rsidRPr="00B21FAC">
        <w:t>- en ondernemings</w:t>
      </w:r>
      <w:r w:rsidRPr="00B21FAC">
        <w:t>fiscaliteit</w:t>
      </w:r>
      <w:r w:rsidR="00323BEB" w:rsidRPr="00B21FAC">
        <w:t xml:space="preserve">: </w:t>
      </w:r>
      <w:r w:rsidR="00A81FA7" w:rsidRPr="00B21FAC">
        <w:t xml:space="preserve">het geheel aan (fiscale en parafiscale) heffingen op vergoedingen </w:t>
      </w:r>
      <w:r w:rsidR="00D439CE" w:rsidRPr="00B21FAC">
        <w:t>voor geleverde arbeidsprestaties</w:t>
      </w:r>
      <w:r w:rsidR="0000611D" w:rsidRPr="00B21FAC">
        <w:t>, onafhankelijk van het statuut (werknemer, ambtenaar, zelfstandige)</w:t>
      </w:r>
      <w:r w:rsidR="00AE7653" w:rsidRPr="00B21FAC">
        <w:t xml:space="preserve"> en met inbegrip van arbeidsprestaties die </w:t>
      </w:r>
      <w:r w:rsidR="00B00F24" w:rsidRPr="00B21FAC">
        <w:t>geen verband houden met een uitgeoefende beroepsactiviteit</w:t>
      </w:r>
      <w:r w:rsidR="0057011D" w:rsidRPr="00B21FAC">
        <w:t>.</w:t>
      </w:r>
    </w:p>
    <w:p w14:paraId="4B25F7C4" w14:textId="77777777" w:rsidR="00A96ADA" w:rsidRPr="00B21FAC" w:rsidRDefault="00A96ADA" w:rsidP="00BA7E3E">
      <w:pPr>
        <w:spacing w:after="0"/>
        <w:jc w:val="both"/>
      </w:pPr>
    </w:p>
    <w:p w14:paraId="58B623A9" w14:textId="79096A37" w:rsidR="00A96ADA" w:rsidRPr="00B21FAC" w:rsidRDefault="00A96ADA" w:rsidP="00891420">
      <w:pPr>
        <w:pStyle w:val="Lijstalinea"/>
        <w:numPr>
          <w:ilvl w:val="0"/>
          <w:numId w:val="9"/>
        </w:numPr>
        <w:spacing w:after="0"/>
        <w:ind w:left="426" w:hanging="426"/>
        <w:jc w:val="both"/>
      </w:pPr>
      <w:r w:rsidRPr="00B21FAC">
        <w:t xml:space="preserve">Fiscaliteit van de </w:t>
      </w:r>
      <w:r>
        <w:t xml:space="preserve">pensioenen en </w:t>
      </w:r>
      <w:r w:rsidRPr="00B21FAC">
        <w:t>vervangingsinkomsten: het geheel aan (fiscale en parafiscale) heffingen op vergoedingen allerhande ter compensatie van een tijdelijke of bestendige derving van beroepsinkomsten, m.i.v. de fiscale maatregelen die de opbouw van een pensioen (tweede en derde pijler) beogen aan te moedigen.</w:t>
      </w:r>
    </w:p>
    <w:p w14:paraId="526DCAB8" w14:textId="77777777" w:rsidR="0016310B" w:rsidRPr="00B21FAC" w:rsidRDefault="0016310B" w:rsidP="00BA7E3E">
      <w:pPr>
        <w:spacing w:after="0"/>
        <w:jc w:val="both"/>
      </w:pPr>
    </w:p>
    <w:p w14:paraId="5251A1BE" w14:textId="2241E26A" w:rsidR="00713ECF" w:rsidRPr="00B21FAC" w:rsidRDefault="00713ECF" w:rsidP="00BA7E3E">
      <w:pPr>
        <w:pStyle w:val="Lijstalinea"/>
        <w:numPr>
          <w:ilvl w:val="0"/>
          <w:numId w:val="9"/>
        </w:numPr>
        <w:spacing w:after="0"/>
        <w:ind w:left="426" w:hanging="426"/>
        <w:jc w:val="both"/>
      </w:pPr>
      <w:r w:rsidRPr="00B21FAC">
        <w:t xml:space="preserve">Vermogensfiscaliteit: het geheel aan heffingen </w:t>
      </w:r>
      <w:r w:rsidR="00FD5739" w:rsidRPr="00B21FAC">
        <w:t>op het vermogen</w:t>
      </w:r>
      <w:r w:rsidR="0004590D" w:rsidRPr="00B21FAC">
        <w:t xml:space="preserve"> en op de vermogenstransacties, alsook </w:t>
      </w:r>
      <w:r w:rsidRPr="00B21FAC">
        <w:t xml:space="preserve">op inkomsten die verband houden met de aanwending of de realisatie van een (desgevallend professioneel geaffecteerd) vermogen. </w:t>
      </w:r>
    </w:p>
    <w:p w14:paraId="43EAE2C0" w14:textId="77777777" w:rsidR="00386ABF" w:rsidRPr="00B21FAC" w:rsidRDefault="00386ABF" w:rsidP="00BA7E3E">
      <w:pPr>
        <w:spacing w:after="0"/>
        <w:jc w:val="both"/>
      </w:pPr>
    </w:p>
    <w:p w14:paraId="49634BAD" w14:textId="35763826" w:rsidR="00DE7A9D" w:rsidRPr="00B21FAC" w:rsidRDefault="00386ABF" w:rsidP="00BA7E3E">
      <w:pPr>
        <w:pStyle w:val="Lijstalinea"/>
        <w:numPr>
          <w:ilvl w:val="0"/>
          <w:numId w:val="9"/>
        </w:numPr>
        <w:spacing w:after="0"/>
        <w:ind w:left="426" w:hanging="426"/>
        <w:jc w:val="both"/>
      </w:pPr>
      <w:r w:rsidRPr="00B21FAC">
        <w:t>Consumptiefiscaliteit: het geheel aan heffingen op de (finale) consumptieve bestedingen van (vooral) particulieren.</w:t>
      </w:r>
    </w:p>
    <w:p w14:paraId="7AA6C81F" w14:textId="28DA2CC1" w:rsidR="00BD431A" w:rsidRDefault="00BD431A" w:rsidP="001F0046">
      <w:pPr>
        <w:spacing w:after="0"/>
        <w:jc w:val="both"/>
      </w:pPr>
    </w:p>
    <w:p w14:paraId="1B5CC763" w14:textId="107CEB07" w:rsidR="001F0046" w:rsidRPr="00D84734" w:rsidRDefault="00BD431A" w:rsidP="00BA7E3E">
      <w:pPr>
        <w:spacing w:after="0"/>
        <w:jc w:val="both"/>
      </w:pPr>
      <w:r>
        <w:t>Het voorgaande neemt niet we</w:t>
      </w:r>
      <w:r w:rsidR="00E027F4">
        <w:t>g</w:t>
      </w:r>
      <w:r>
        <w:t xml:space="preserve"> dat </w:t>
      </w:r>
      <w:r w:rsidR="004C4BD5">
        <w:t>bepaalde leerstukken</w:t>
      </w:r>
      <w:r w:rsidR="004B31C5">
        <w:t xml:space="preserve"> apart </w:t>
      </w:r>
      <w:r w:rsidR="00AE0F79">
        <w:t>onderzocht zullen worden</w:t>
      </w:r>
      <w:r w:rsidR="00484A0D">
        <w:t>, vooral om terzake een duidelijk overzicht te behouden</w:t>
      </w:r>
      <w:r w:rsidR="00AE0F79">
        <w:t xml:space="preserve">. Aldus werd er in deze nota alvast voor geopteerd om een apart hoofdstuk te wijden aan de fiscaliteit van de samenlevingsvormen (gedefinieerd als </w:t>
      </w:r>
      <w:r w:rsidR="001F0046" w:rsidRPr="00D84734">
        <w:t>het geheel aan maatregelen die betrekking hebben op de belastbare eenheid</w:t>
      </w:r>
      <w:r w:rsidR="00AE0F79">
        <w:t>)</w:t>
      </w:r>
      <w:r w:rsidR="00717C89">
        <w:t>, en dit ofschoon dit leerstuk grotendeels verband houdt met de opbouw van de personenbelasting.</w:t>
      </w:r>
    </w:p>
    <w:p w14:paraId="2B6D8595" w14:textId="77777777" w:rsidR="001F0046" w:rsidRPr="00B21FAC" w:rsidRDefault="001F0046" w:rsidP="00BA7E3E">
      <w:pPr>
        <w:spacing w:after="0"/>
        <w:jc w:val="both"/>
      </w:pPr>
    </w:p>
    <w:p w14:paraId="6E418712" w14:textId="46FA22BF" w:rsidR="007774EB" w:rsidRDefault="0081537A" w:rsidP="00BA7E3E">
      <w:pPr>
        <w:spacing w:after="0"/>
        <w:jc w:val="both"/>
      </w:pPr>
      <w:r>
        <w:t xml:space="preserve">Een ander </w:t>
      </w:r>
      <w:r w:rsidR="00CA342C">
        <w:t>belangrijk luik, dat zeker en vast aparte aandacht verdient, betreft de d</w:t>
      </w:r>
      <w:r w:rsidR="00BB651B" w:rsidRPr="00B21FAC">
        <w:t>uurzaamheidsfiscaliteit</w:t>
      </w:r>
      <w:r w:rsidR="00CA342C">
        <w:t xml:space="preserve"> (gedefinieerd als </w:t>
      </w:r>
      <w:r w:rsidR="001B4747" w:rsidRPr="00B21FAC">
        <w:t xml:space="preserve">het geheel aan maatregelen die </w:t>
      </w:r>
      <w:r w:rsidR="007774EB" w:rsidRPr="00B21FAC">
        <w:t>ertoe strekken  de milie</w:t>
      </w:r>
      <w:r w:rsidR="00583728" w:rsidRPr="00B21FAC">
        <w:t>u</w:t>
      </w:r>
      <w:r w:rsidR="007774EB" w:rsidRPr="00B21FAC">
        <w:t>doelstellingen</w:t>
      </w:r>
      <w:r w:rsidR="00583728" w:rsidRPr="00B21FAC">
        <w:t xml:space="preserve"> </w:t>
      </w:r>
      <w:r w:rsidR="007774EB" w:rsidRPr="00B21FAC">
        <w:t>te behalen</w:t>
      </w:r>
      <w:r w:rsidR="00CA342C">
        <w:t>)</w:t>
      </w:r>
      <w:r w:rsidR="007774EB" w:rsidRPr="00B21FAC">
        <w:t>.</w:t>
      </w:r>
      <w:r w:rsidR="00CA342C">
        <w:t xml:space="preserve"> Dit leerstuk – dat </w:t>
      </w:r>
      <w:r w:rsidR="00DA1883">
        <w:t xml:space="preserve">allicht ook </w:t>
      </w:r>
      <w:r w:rsidR="00CA342C">
        <w:t>aanleiding zal geven tot transversale maatregelen in diverse heffingen – maakt momenteel het voorwerp uit van een apar</w:t>
      </w:r>
      <w:r w:rsidR="00F60DED">
        <w:t>t onderzoek</w:t>
      </w:r>
      <w:r w:rsidR="00CA342C">
        <w:t>.</w:t>
      </w:r>
      <w:r w:rsidR="00E21CEF">
        <w:t xml:space="preserve"> </w:t>
      </w:r>
      <w:r w:rsidR="00EA3F9D">
        <w:t>Een belangrijk onderdeel van deze maatregelen zal zich in ieder geval situeren in de sfeer van de indirecte heffingen op consumptie (of ruimer: vervuiling). De algemene visielijnen terzake worden dan ook in dat hoofdstuk nader toegelicht.</w:t>
      </w:r>
    </w:p>
    <w:p w14:paraId="06263991" w14:textId="4F40EF68" w:rsidR="00301FF2" w:rsidRDefault="00301FF2">
      <w:r>
        <w:br w:type="page"/>
      </w:r>
    </w:p>
    <w:p w14:paraId="092D56A1" w14:textId="77777777" w:rsidR="00547BC0" w:rsidRPr="00B21FAC" w:rsidRDefault="00547BC0" w:rsidP="00BA7E3E">
      <w:pPr>
        <w:spacing w:after="0"/>
      </w:pPr>
    </w:p>
    <w:p w14:paraId="1E827331" w14:textId="77777777" w:rsidR="00547BC0" w:rsidRPr="00B21FAC" w:rsidRDefault="00547BC0" w:rsidP="00BA7E3E">
      <w:pPr>
        <w:spacing w:after="0"/>
        <w:jc w:val="both"/>
      </w:pPr>
    </w:p>
    <w:p w14:paraId="5A48B57F" w14:textId="6E00B9AC" w:rsidR="004B4D0C" w:rsidRPr="00B21FAC" w:rsidRDefault="005D5D39" w:rsidP="00BA7E3E">
      <w:pPr>
        <w:pStyle w:val="Kop2"/>
        <w:numPr>
          <w:ilvl w:val="0"/>
          <w:numId w:val="34"/>
        </w:numPr>
        <w:spacing w:before="0"/>
      </w:pPr>
      <w:bookmarkStart w:id="19" w:name="_Toc107210877"/>
      <w:r w:rsidRPr="00B21FAC">
        <w:t>Hervorming vanuit vier pijlers</w:t>
      </w:r>
      <w:bookmarkEnd w:id="19"/>
    </w:p>
    <w:p w14:paraId="65AB62DE" w14:textId="0AA5365D" w:rsidR="000864A9" w:rsidRPr="00B21FAC" w:rsidRDefault="000864A9" w:rsidP="00BA7E3E">
      <w:pPr>
        <w:spacing w:after="0"/>
        <w:jc w:val="both"/>
      </w:pPr>
    </w:p>
    <w:p w14:paraId="38922E8A" w14:textId="77777777" w:rsidR="00547BC0" w:rsidRPr="00B21FAC" w:rsidRDefault="00547BC0" w:rsidP="00BA7E3E">
      <w:pPr>
        <w:spacing w:after="0"/>
        <w:jc w:val="both"/>
      </w:pPr>
    </w:p>
    <w:p w14:paraId="5B10435E" w14:textId="35927DF1" w:rsidR="00547BC0" w:rsidRPr="00B21FAC" w:rsidRDefault="00CF41B2" w:rsidP="00BA7E3E">
      <w:pPr>
        <w:spacing w:after="0"/>
        <w:jc w:val="both"/>
      </w:pPr>
      <w:r w:rsidRPr="00B21FAC">
        <w:t xml:space="preserve">Het </w:t>
      </w:r>
      <w:r w:rsidR="00035C45">
        <w:t>moet</w:t>
      </w:r>
      <w:r w:rsidR="00035C45" w:rsidRPr="00B21FAC">
        <w:t xml:space="preserve"> </w:t>
      </w:r>
      <w:r w:rsidRPr="00B21FAC">
        <w:t xml:space="preserve">de absolute betrachting </w:t>
      </w:r>
      <w:r w:rsidR="00035C45">
        <w:t xml:space="preserve">zijn </w:t>
      </w:r>
      <w:r w:rsidRPr="00B21FAC">
        <w:t xml:space="preserve">om de hervorming, in al </w:t>
      </w:r>
      <w:r w:rsidR="001F664D">
        <w:t>haar</w:t>
      </w:r>
      <w:r w:rsidR="001F664D" w:rsidRPr="00B21FAC">
        <w:t xml:space="preserve"> </w:t>
      </w:r>
      <w:r w:rsidRPr="00B21FAC">
        <w:t xml:space="preserve">aspecten, op te bouwen vanuit de </w:t>
      </w:r>
      <w:r w:rsidR="00885698" w:rsidRPr="00B21FAC">
        <w:t>‘kenmerken’ van een ‘goede belasting’. Hiermee wordt verwezen naar</w:t>
      </w:r>
      <w:r w:rsidR="00547BC0" w:rsidRPr="00B21FAC">
        <w:t xml:space="preserve"> de vereisten van (i) efficiënt</w:t>
      </w:r>
      <w:r w:rsidR="007379F7" w:rsidRPr="00B21FAC">
        <w:t>i</w:t>
      </w:r>
      <w:r w:rsidR="00547BC0" w:rsidRPr="00B21FAC">
        <w:t>e, (ii) herverdeling</w:t>
      </w:r>
      <w:r w:rsidR="00D522B0">
        <w:t>,</w:t>
      </w:r>
      <w:r w:rsidR="00547BC0" w:rsidRPr="00B21FAC">
        <w:t xml:space="preserve"> (iii) eenvoud en (iv) rechtszekerheid. Daarbinnen moet een (eveneens beleidsmatig gestuurd en juridisch omkaderd) optimum gezocht worden. </w:t>
      </w:r>
    </w:p>
    <w:p w14:paraId="70EAD281" w14:textId="77777777" w:rsidR="00547BC0" w:rsidRPr="00B21FAC" w:rsidRDefault="00547BC0" w:rsidP="00BA7E3E">
      <w:pPr>
        <w:spacing w:after="0"/>
        <w:jc w:val="both"/>
      </w:pPr>
    </w:p>
    <w:p w14:paraId="7B9A880F" w14:textId="77777777" w:rsidR="00547BC0" w:rsidRPr="00B21FAC" w:rsidRDefault="00547BC0" w:rsidP="00BA7E3E">
      <w:pPr>
        <w:spacing w:after="0"/>
        <w:jc w:val="both"/>
      </w:pPr>
    </w:p>
    <w:p w14:paraId="7262A88C" w14:textId="4D286637" w:rsidR="00547BC0" w:rsidRPr="00B21FAC" w:rsidRDefault="00547BC0" w:rsidP="00BA7E3E">
      <w:pPr>
        <w:pStyle w:val="Kop3"/>
        <w:numPr>
          <w:ilvl w:val="0"/>
          <w:numId w:val="99"/>
        </w:numPr>
        <w:spacing w:before="0"/>
      </w:pPr>
      <w:bookmarkStart w:id="20" w:name="_Toc107210878"/>
      <w:r w:rsidRPr="00B21FAC">
        <w:t>Efficiënt</w:t>
      </w:r>
      <w:r w:rsidR="000B06C9">
        <w:t>i</w:t>
      </w:r>
      <w:r w:rsidRPr="00B21FAC">
        <w:t>e en neutraliteit</w:t>
      </w:r>
      <w:bookmarkEnd w:id="20"/>
    </w:p>
    <w:p w14:paraId="4DE901DD" w14:textId="77777777" w:rsidR="00547BC0" w:rsidRPr="00B21FAC" w:rsidRDefault="00547BC0" w:rsidP="00BA7E3E">
      <w:pPr>
        <w:spacing w:after="0"/>
      </w:pPr>
    </w:p>
    <w:p w14:paraId="3D97060F" w14:textId="77777777" w:rsidR="00547BC0" w:rsidRPr="00B21FAC" w:rsidRDefault="00547BC0" w:rsidP="00BA7E3E">
      <w:pPr>
        <w:spacing w:after="0"/>
      </w:pPr>
    </w:p>
    <w:p w14:paraId="7E8BAA10" w14:textId="011CB2EE" w:rsidR="007379F7" w:rsidRPr="00B21FAC" w:rsidRDefault="007379F7" w:rsidP="00BA7E3E">
      <w:pPr>
        <w:spacing w:after="0"/>
        <w:jc w:val="both"/>
      </w:pPr>
      <w:r w:rsidRPr="00B21FAC">
        <w:t>Vanuit economisch perspectief bestaat de ‘</w:t>
      </w:r>
      <w:r w:rsidRPr="00B21FAC">
        <w:rPr>
          <w:u w:val="single"/>
        </w:rPr>
        <w:t>efficiëntiedoelstelling</w:t>
      </w:r>
      <w:r w:rsidRPr="00B21FAC">
        <w:t xml:space="preserve">’ van </w:t>
      </w:r>
      <w:r w:rsidR="007256EF">
        <w:t xml:space="preserve">de </w:t>
      </w:r>
      <w:r w:rsidRPr="00B21FAC">
        <w:t xml:space="preserve">belastingheffing erin dat een gegeven belastingopbrengst gerealiseerd wordt met zo weinig mogelijk welvaartskosten voor de belastingbetalers. Die welvaartskost volgt uit </w:t>
      </w:r>
      <w:r w:rsidR="00AA5966" w:rsidRPr="00B21FAC">
        <w:t xml:space="preserve">het feit dat belastingbetalers hun gedrag wijzigen </w:t>
      </w:r>
      <w:r w:rsidR="00D827BC">
        <w:t>vanui</w:t>
      </w:r>
      <w:r w:rsidR="00EA498A">
        <w:t>t</w:t>
      </w:r>
      <w:r w:rsidR="00D827BC">
        <w:t xml:space="preserve"> de betrachting </w:t>
      </w:r>
      <w:r w:rsidR="00AA5966" w:rsidRPr="00B21FAC">
        <w:t xml:space="preserve">om zo weinig mogelijk belasting te betalen. Abstractie makend van belastingen die er expliciet op gericht zijn om gedragswijzigingen uit te lokken (zoals milieuheffingen), is een belasting dus des te efficiënter naarmate </w:t>
      </w:r>
      <w:r w:rsidR="00E93951">
        <w:t>ze</w:t>
      </w:r>
      <w:r w:rsidR="00E93951" w:rsidRPr="00B21FAC">
        <w:t xml:space="preserve"> </w:t>
      </w:r>
      <w:r w:rsidR="00AA5966" w:rsidRPr="00B21FAC">
        <w:t xml:space="preserve">minder gedragswijziging </w:t>
      </w:r>
      <w:r w:rsidR="00E93951">
        <w:t>veroorzaakt</w:t>
      </w:r>
      <w:r w:rsidR="00AA5966" w:rsidRPr="00B21FAC">
        <w:t>. Immers</w:t>
      </w:r>
      <w:r w:rsidR="00CF2743">
        <w:t>,</w:t>
      </w:r>
      <w:r w:rsidR="00AA5966" w:rsidRPr="00B21FAC">
        <w:t xml:space="preserve"> hoe meer gedragswijziging, hoe hoger de tarieven moeten zijn om eenzelfde bedrag aan overheidsopbrengst te realiseren. Het principe van de ‘neutraliteit’ hangt hiermee samen: als makkelijk inwisselbare belastbare grondslagen verschillend worden belast zal een belastingplichtige zijn of haar inkomen </w:t>
      </w:r>
      <w:r w:rsidR="008946E6">
        <w:t xml:space="preserve">of consumptie </w:t>
      </w:r>
      <w:r w:rsidR="00AA5966" w:rsidRPr="00B21FAC">
        <w:t>verschuiven van de ene naar de andere belastbare grondslag.</w:t>
      </w:r>
    </w:p>
    <w:p w14:paraId="7F0FD8CC" w14:textId="77777777" w:rsidR="00547BC0" w:rsidRPr="00B21FAC" w:rsidRDefault="00547BC0" w:rsidP="00BA7E3E">
      <w:pPr>
        <w:spacing w:after="0"/>
        <w:jc w:val="both"/>
      </w:pPr>
    </w:p>
    <w:p w14:paraId="1DFD0778" w14:textId="3469744A" w:rsidR="00547BC0" w:rsidRPr="00B21FAC" w:rsidRDefault="00547BC0" w:rsidP="00BA7E3E">
      <w:pPr>
        <w:spacing w:after="0"/>
        <w:jc w:val="both"/>
      </w:pPr>
      <w:r w:rsidRPr="00B21FAC">
        <w:t xml:space="preserve">De efficiëntiedoelstelling wordt in de Belgische context niet (altijd) optimaal ingevuld. In </w:t>
      </w:r>
      <w:r w:rsidR="008946E6">
        <w:t>zijn</w:t>
      </w:r>
      <w:r w:rsidR="008946E6" w:rsidRPr="00B21FAC">
        <w:t xml:space="preserve"> </w:t>
      </w:r>
      <w:r w:rsidRPr="00B21FAC">
        <w:t>advies van mei 2020 wees de Hoge Raad van Financiën, afdeling Fiscaliteit en Parafiscaliteit (HRF), op de talrijke pijnpunten in de Belgische personenbelasting en sociale zekerheid en formuleerde vanuit dit inzicht een aantal aanbevelingen die moeten leiden tot een meer efficiënte en neutrale (belasting)heffing. Ook enkele internationale instellingen hebben er reeds op gewezen dat het Belgisch belastingstelsel bepaalde inefficiënties vertoont, waaraan best geremedieerd kan worden. Binnen dit kader kan o.m. verwezen worden naar de OESO-aanbevelingen, opgenomen in de ‘Economic Survey Belgium’</w:t>
      </w:r>
      <w:r w:rsidR="002236C0">
        <w:t xml:space="preserve"> (2020 en 2022)</w:t>
      </w:r>
      <w:r w:rsidR="00E24548">
        <w:t xml:space="preserve">, </w:t>
      </w:r>
      <w:r w:rsidR="00BC5EB7" w:rsidRPr="00B21FAC">
        <w:t>naar het rapport van het IMF (2021)</w:t>
      </w:r>
      <w:r w:rsidR="00E24548">
        <w:t xml:space="preserve"> en de aanbevelingen van de Europese Commissie (2022).</w:t>
      </w:r>
    </w:p>
    <w:p w14:paraId="0F1435BA" w14:textId="77777777" w:rsidR="00547BC0" w:rsidRPr="00B21FAC" w:rsidRDefault="00547BC0" w:rsidP="00BA7E3E">
      <w:pPr>
        <w:spacing w:after="0"/>
        <w:jc w:val="both"/>
      </w:pPr>
    </w:p>
    <w:p w14:paraId="155DDDB7" w14:textId="43D9C6A5" w:rsidR="00547BC0" w:rsidRPr="00B21FAC" w:rsidRDefault="00547BC0" w:rsidP="00BA7E3E">
      <w:pPr>
        <w:spacing w:after="0"/>
        <w:jc w:val="both"/>
      </w:pPr>
      <w:r w:rsidRPr="00B21FAC">
        <w:t>De afspraken</w:t>
      </w:r>
      <w:r w:rsidR="00231293">
        <w:t xml:space="preserve"> in </w:t>
      </w:r>
      <w:r w:rsidRPr="00B21FAC">
        <w:t xml:space="preserve">het Regeerakkoord van 30 september 2020 bevatten eveneens belangrijke </w:t>
      </w:r>
      <w:r w:rsidR="000B5BC4">
        <w:t>passages</w:t>
      </w:r>
      <w:r w:rsidRPr="00B21FAC">
        <w:t xml:space="preserve"> die de vereiste van meer efficiënt</w:t>
      </w:r>
      <w:r w:rsidR="00AA5966" w:rsidRPr="00B21FAC">
        <w:t>i</w:t>
      </w:r>
      <w:r w:rsidRPr="00B21FAC">
        <w:t>e en neutraliteit benadrukken (Regeerakkoord).</w:t>
      </w:r>
    </w:p>
    <w:p w14:paraId="4D0F7159" w14:textId="77777777" w:rsidR="00547BC0" w:rsidRPr="00B21FAC" w:rsidRDefault="00547BC0" w:rsidP="00BA7E3E">
      <w:pPr>
        <w:spacing w:after="0"/>
        <w:jc w:val="both"/>
      </w:pPr>
    </w:p>
    <w:p w14:paraId="0E0429FF" w14:textId="2D327C10" w:rsidR="00547BC0" w:rsidRDefault="00547BC0">
      <w:pPr>
        <w:spacing w:after="0"/>
        <w:jc w:val="both"/>
      </w:pPr>
      <w:r w:rsidRPr="00B21FAC">
        <w:t xml:space="preserve">In de onderstaande tabel wordt </w:t>
      </w:r>
      <w:r w:rsidR="001F68FD" w:rsidRPr="00B21FAC">
        <w:t xml:space="preserve">in de rechterkolom </w:t>
      </w:r>
      <w:r w:rsidRPr="00B21FAC">
        <w:t>een overzicht aangereikt van diverse aanbevelingen</w:t>
      </w:r>
      <w:r w:rsidR="00297838" w:rsidRPr="00B21FAC">
        <w:t xml:space="preserve"> </w:t>
      </w:r>
      <w:r w:rsidR="001F68FD" w:rsidRPr="00B21FAC">
        <w:t>die verband houden met de effici</w:t>
      </w:r>
      <w:r w:rsidR="003E4713" w:rsidRPr="00B21FAC">
        <w:t xml:space="preserve">ëntiedoelstelling, </w:t>
      </w:r>
      <w:r w:rsidR="001F68FD" w:rsidRPr="00B21FAC">
        <w:t>met inbegrip van</w:t>
      </w:r>
      <w:r w:rsidRPr="00B21FAC">
        <w:t xml:space="preserve"> de afspraken uit het Regeerakkoord. De aanbevelingen en afspraken worden daarbij gegroepeerd en in verband gebracht met de theoretische principes en economische inzichten in dit verband</w:t>
      </w:r>
      <w:r w:rsidR="003E4713" w:rsidRPr="00B21FAC">
        <w:t>, opgelijst in de linkerkolom</w:t>
      </w:r>
      <w:r w:rsidRPr="00B21FAC">
        <w:t xml:space="preserve"> (zie voor een ruimer overzicht</w:t>
      </w:r>
      <w:r w:rsidR="00297838" w:rsidRPr="00B21FAC">
        <w:t xml:space="preserve"> van deze economische inzichten</w:t>
      </w:r>
      <w:r w:rsidRPr="00B21FAC">
        <w:t xml:space="preserve">: R. </w:t>
      </w:r>
      <w:r w:rsidRPr="00B21FAC">
        <w:rPr>
          <w:smallCaps/>
        </w:rPr>
        <w:t>Schoonackers</w:t>
      </w:r>
      <w:r w:rsidRPr="00B21FAC">
        <w:t xml:space="preserve"> en S. </w:t>
      </w:r>
      <w:r w:rsidRPr="00B21FAC">
        <w:rPr>
          <w:smallCaps/>
        </w:rPr>
        <w:t>Van Parys</w:t>
      </w:r>
      <w:r w:rsidRPr="00B21FAC">
        <w:t>, “Voorbeschouwingen: inzichten uit de economische literatuur over optimale belastingsystemen”, gevoegd aan het advies van mei 2020 van de HRF).</w:t>
      </w:r>
    </w:p>
    <w:p w14:paraId="5BE45E82" w14:textId="154B5164" w:rsidR="00301FF2" w:rsidRDefault="00301FF2">
      <w:r>
        <w:br w:type="page"/>
      </w:r>
    </w:p>
    <w:p w14:paraId="057E3396" w14:textId="77777777" w:rsidR="006E62C7" w:rsidRPr="00B21FAC" w:rsidRDefault="006E62C7" w:rsidP="00BA7E3E">
      <w:pPr>
        <w:spacing w:after="0"/>
        <w:jc w:val="both"/>
      </w:pPr>
    </w:p>
    <w:tbl>
      <w:tblPr>
        <w:tblStyle w:val="Tabelraster"/>
        <w:tblW w:w="11058" w:type="dxa"/>
        <w:tblInd w:w="-998" w:type="dxa"/>
        <w:tblLook w:val="04A0" w:firstRow="1" w:lastRow="0" w:firstColumn="1" w:lastColumn="0" w:noHBand="0" w:noVBand="1"/>
      </w:tblPr>
      <w:tblGrid>
        <w:gridCol w:w="5671"/>
        <w:gridCol w:w="5387"/>
      </w:tblGrid>
      <w:tr w:rsidR="00547BC0" w:rsidRPr="00B21FAC" w14:paraId="3DF75158" w14:textId="77777777" w:rsidTr="00CE45C5">
        <w:tc>
          <w:tcPr>
            <w:tcW w:w="5671" w:type="dxa"/>
          </w:tcPr>
          <w:p w14:paraId="50CBC718" w14:textId="77777777" w:rsidR="00547BC0" w:rsidRPr="00B21FAC" w:rsidRDefault="00547BC0" w:rsidP="00BA7E3E">
            <w:pPr>
              <w:spacing w:line="259" w:lineRule="auto"/>
            </w:pPr>
          </w:p>
        </w:tc>
        <w:tc>
          <w:tcPr>
            <w:tcW w:w="5387" w:type="dxa"/>
          </w:tcPr>
          <w:p w14:paraId="34A1CB0C" w14:textId="77777777" w:rsidR="00547BC0" w:rsidRPr="00B21FAC" w:rsidRDefault="00547BC0" w:rsidP="00BA7E3E">
            <w:pPr>
              <w:spacing w:line="259" w:lineRule="auto"/>
            </w:pPr>
          </w:p>
        </w:tc>
      </w:tr>
      <w:tr w:rsidR="00547BC0" w:rsidRPr="00B21FAC" w14:paraId="6C6681A0" w14:textId="77777777" w:rsidTr="00CE45C5">
        <w:tc>
          <w:tcPr>
            <w:tcW w:w="11058" w:type="dxa"/>
            <w:gridSpan w:val="2"/>
          </w:tcPr>
          <w:p w14:paraId="53F86978" w14:textId="77777777" w:rsidR="00547BC0" w:rsidRPr="00B21FAC" w:rsidRDefault="00547BC0" w:rsidP="00BA7E3E">
            <w:pPr>
              <w:spacing w:line="259" w:lineRule="auto"/>
            </w:pPr>
          </w:p>
          <w:p w14:paraId="7BF30BE3" w14:textId="77777777" w:rsidR="00547BC0" w:rsidRPr="00B21FAC" w:rsidRDefault="00547BC0" w:rsidP="00BA7E3E">
            <w:pPr>
              <w:spacing w:line="259" w:lineRule="auto"/>
              <w:jc w:val="center"/>
              <w:rPr>
                <w:b/>
                <w:bCs/>
              </w:rPr>
            </w:pPr>
            <w:r w:rsidRPr="00B21FAC">
              <w:rPr>
                <w:b/>
                <w:bCs/>
              </w:rPr>
              <w:t>EFFICIËNTIE EN NEUTRALITEIT</w:t>
            </w:r>
          </w:p>
          <w:p w14:paraId="361C07DD" w14:textId="77777777" w:rsidR="00547BC0" w:rsidRPr="00B21FAC" w:rsidRDefault="00547BC0" w:rsidP="00BA7E3E">
            <w:pPr>
              <w:spacing w:line="259" w:lineRule="auto"/>
            </w:pPr>
          </w:p>
        </w:tc>
      </w:tr>
      <w:tr w:rsidR="00547BC0" w:rsidRPr="00B21FAC" w14:paraId="5C0E46E9" w14:textId="77777777" w:rsidTr="00CE45C5">
        <w:tc>
          <w:tcPr>
            <w:tcW w:w="5671" w:type="dxa"/>
          </w:tcPr>
          <w:p w14:paraId="3387B6E2" w14:textId="77777777" w:rsidR="00547BC0" w:rsidRPr="00B21FAC" w:rsidRDefault="00547BC0" w:rsidP="00BA7E3E">
            <w:pPr>
              <w:spacing w:line="259" w:lineRule="auto"/>
            </w:pPr>
          </w:p>
        </w:tc>
        <w:tc>
          <w:tcPr>
            <w:tcW w:w="5387" w:type="dxa"/>
          </w:tcPr>
          <w:p w14:paraId="787FDB55" w14:textId="77777777" w:rsidR="00547BC0" w:rsidRPr="00B21FAC" w:rsidRDefault="00547BC0" w:rsidP="00BA7E3E">
            <w:pPr>
              <w:spacing w:line="259" w:lineRule="auto"/>
            </w:pPr>
          </w:p>
        </w:tc>
      </w:tr>
      <w:tr w:rsidR="00547BC0" w:rsidRPr="00562ABA" w14:paraId="1C82180E" w14:textId="77777777" w:rsidTr="00CE45C5">
        <w:trPr>
          <w:trHeight w:val="2328"/>
        </w:trPr>
        <w:tc>
          <w:tcPr>
            <w:tcW w:w="5671" w:type="dxa"/>
          </w:tcPr>
          <w:p w14:paraId="2AC33C60" w14:textId="77777777" w:rsidR="00547BC0" w:rsidRPr="00B21FAC" w:rsidRDefault="00547BC0" w:rsidP="00BA7E3E">
            <w:pPr>
              <w:spacing w:line="259" w:lineRule="auto"/>
              <w:jc w:val="both"/>
              <w:rPr>
                <w:sz w:val="20"/>
                <w:szCs w:val="20"/>
              </w:rPr>
            </w:pPr>
            <w:r w:rsidRPr="00B21FAC">
              <w:rPr>
                <w:sz w:val="20"/>
                <w:szCs w:val="20"/>
              </w:rPr>
              <w:t>In een efficiënt en neutraal belastingstelsel wordt zo min als mogelijk gebruik gemaakt van allerhande uitzonderingsregimes (tenzij indien een bepaald neveneffect gewenst is, zie verder).</w:t>
            </w:r>
          </w:p>
          <w:p w14:paraId="1EEFFFA6" w14:textId="77777777" w:rsidR="00547BC0" w:rsidRPr="00B21FAC" w:rsidRDefault="00547BC0" w:rsidP="00BA7E3E">
            <w:pPr>
              <w:spacing w:line="259" w:lineRule="auto"/>
              <w:jc w:val="both"/>
              <w:rPr>
                <w:sz w:val="20"/>
                <w:szCs w:val="20"/>
              </w:rPr>
            </w:pPr>
          </w:p>
          <w:p w14:paraId="782F55CC" w14:textId="77777777" w:rsidR="00547BC0" w:rsidRPr="00B21FAC" w:rsidRDefault="00547BC0" w:rsidP="00BA7E3E">
            <w:pPr>
              <w:spacing w:line="259" w:lineRule="auto"/>
              <w:jc w:val="both"/>
              <w:rPr>
                <w:sz w:val="20"/>
                <w:szCs w:val="20"/>
              </w:rPr>
            </w:pPr>
          </w:p>
          <w:p w14:paraId="4AFB72C9" w14:textId="77777777" w:rsidR="00547BC0" w:rsidRPr="00B21FAC" w:rsidRDefault="00547BC0" w:rsidP="00BA7E3E">
            <w:pPr>
              <w:spacing w:line="259" w:lineRule="auto"/>
              <w:jc w:val="both"/>
              <w:rPr>
                <w:sz w:val="20"/>
                <w:szCs w:val="20"/>
              </w:rPr>
            </w:pPr>
          </w:p>
          <w:p w14:paraId="2B6F76A4" w14:textId="77777777" w:rsidR="00547BC0" w:rsidRPr="00B21FAC" w:rsidRDefault="00547BC0" w:rsidP="00BA7E3E">
            <w:pPr>
              <w:spacing w:line="259" w:lineRule="auto"/>
              <w:jc w:val="both"/>
              <w:rPr>
                <w:sz w:val="20"/>
                <w:szCs w:val="20"/>
              </w:rPr>
            </w:pPr>
          </w:p>
          <w:p w14:paraId="6E274173" w14:textId="77777777" w:rsidR="00547BC0" w:rsidRPr="00B21FAC" w:rsidRDefault="00547BC0" w:rsidP="00BA7E3E">
            <w:pPr>
              <w:spacing w:line="259" w:lineRule="auto"/>
              <w:jc w:val="both"/>
              <w:rPr>
                <w:sz w:val="20"/>
                <w:szCs w:val="20"/>
              </w:rPr>
            </w:pPr>
          </w:p>
          <w:p w14:paraId="7306CABE" w14:textId="77777777" w:rsidR="00547BC0" w:rsidRPr="00B21FAC" w:rsidRDefault="00547BC0" w:rsidP="00BA7E3E">
            <w:pPr>
              <w:spacing w:line="259" w:lineRule="auto"/>
              <w:jc w:val="both"/>
              <w:rPr>
                <w:sz w:val="20"/>
                <w:szCs w:val="20"/>
              </w:rPr>
            </w:pPr>
          </w:p>
          <w:p w14:paraId="669CBF80" w14:textId="77777777" w:rsidR="00547BC0" w:rsidRPr="00B21FAC" w:rsidRDefault="00547BC0" w:rsidP="00BA7E3E">
            <w:pPr>
              <w:spacing w:line="259" w:lineRule="auto"/>
              <w:jc w:val="both"/>
              <w:rPr>
                <w:sz w:val="20"/>
                <w:szCs w:val="20"/>
              </w:rPr>
            </w:pPr>
          </w:p>
          <w:p w14:paraId="266B81AB" w14:textId="77777777" w:rsidR="00547BC0" w:rsidRPr="00B21FAC" w:rsidRDefault="00547BC0" w:rsidP="00BA7E3E">
            <w:pPr>
              <w:spacing w:line="259" w:lineRule="auto"/>
              <w:jc w:val="both"/>
              <w:rPr>
                <w:sz w:val="20"/>
                <w:szCs w:val="20"/>
              </w:rPr>
            </w:pPr>
          </w:p>
          <w:p w14:paraId="055A53BE" w14:textId="77777777" w:rsidR="00547BC0" w:rsidRPr="00B21FAC" w:rsidRDefault="00547BC0" w:rsidP="00BA7E3E">
            <w:pPr>
              <w:spacing w:line="259" w:lineRule="auto"/>
              <w:jc w:val="both"/>
              <w:rPr>
                <w:sz w:val="20"/>
                <w:szCs w:val="20"/>
              </w:rPr>
            </w:pPr>
          </w:p>
          <w:p w14:paraId="754B5299" w14:textId="77777777" w:rsidR="00547BC0" w:rsidRPr="00B21FAC" w:rsidRDefault="00547BC0" w:rsidP="00BA7E3E">
            <w:pPr>
              <w:spacing w:line="259" w:lineRule="auto"/>
              <w:jc w:val="both"/>
              <w:rPr>
                <w:sz w:val="20"/>
                <w:szCs w:val="20"/>
              </w:rPr>
            </w:pPr>
          </w:p>
          <w:p w14:paraId="65ACA8B9" w14:textId="77777777" w:rsidR="00547BC0" w:rsidRPr="00B21FAC" w:rsidRDefault="00547BC0" w:rsidP="00BA7E3E">
            <w:pPr>
              <w:spacing w:line="259" w:lineRule="auto"/>
              <w:jc w:val="both"/>
              <w:rPr>
                <w:sz w:val="20"/>
                <w:szCs w:val="20"/>
              </w:rPr>
            </w:pPr>
          </w:p>
          <w:p w14:paraId="2BD1A5D6" w14:textId="5B016651" w:rsidR="00547BC0" w:rsidRDefault="00547BC0" w:rsidP="00BA7E3E">
            <w:pPr>
              <w:spacing w:line="259" w:lineRule="auto"/>
              <w:jc w:val="both"/>
              <w:rPr>
                <w:sz w:val="20"/>
                <w:szCs w:val="20"/>
              </w:rPr>
            </w:pPr>
          </w:p>
          <w:p w14:paraId="5FBF288F" w14:textId="4383EECF" w:rsidR="008C598F" w:rsidRDefault="008C598F" w:rsidP="00BA7E3E">
            <w:pPr>
              <w:spacing w:line="259" w:lineRule="auto"/>
              <w:jc w:val="both"/>
              <w:rPr>
                <w:sz w:val="20"/>
                <w:szCs w:val="20"/>
              </w:rPr>
            </w:pPr>
          </w:p>
          <w:p w14:paraId="376D5484" w14:textId="78501335" w:rsidR="008C598F" w:rsidRDefault="008C598F" w:rsidP="00BA7E3E">
            <w:pPr>
              <w:spacing w:line="259" w:lineRule="auto"/>
              <w:jc w:val="both"/>
              <w:rPr>
                <w:sz w:val="20"/>
                <w:szCs w:val="20"/>
              </w:rPr>
            </w:pPr>
          </w:p>
          <w:p w14:paraId="32FDCE7E" w14:textId="4DE78387" w:rsidR="008C598F" w:rsidRDefault="008C598F" w:rsidP="00BA7E3E">
            <w:pPr>
              <w:spacing w:line="259" w:lineRule="auto"/>
              <w:jc w:val="both"/>
              <w:rPr>
                <w:sz w:val="20"/>
                <w:szCs w:val="20"/>
              </w:rPr>
            </w:pPr>
          </w:p>
          <w:p w14:paraId="45AD9E05" w14:textId="309406B3" w:rsidR="008C598F" w:rsidRDefault="008C598F" w:rsidP="00BA7E3E">
            <w:pPr>
              <w:spacing w:line="259" w:lineRule="auto"/>
              <w:jc w:val="both"/>
              <w:rPr>
                <w:sz w:val="20"/>
                <w:szCs w:val="20"/>
              </w:rPr>
            </w:pPr>
          </w:p>
          <w:p w14:paraId="39D1D58C" w14:textId="41FA3181" w:rsidR="008C598F" w:rsidRDefault="008C598F" w:rsidP="00BA7E3E">
            <w:pPr>
              <w:spacing w:line="259" w:lineRule="auto"/>
              <w:jc w:val="both"/>
              <w:rPr>
                <w:sz w:val="20"/>
                <w:szCs w:val="20"/>
              </w:rPr>
            </w:pPr>
          </w:p>
          <w:p w14:paraId="3649ECF1" w14:textId="4D13B38A" w:rsidR="008C598F" w:rsidRDefault="008C598F" w:rsidP="00BA7E3E">
            <w:pPr>
              <w:spacing w:line="259" w:lineRule="auto"/>
              <w:jc w:val="both"/>
              <w:rPr>
                <w:sz w:val="20"/>
                <w:szCs w:val="20"/>
              </w:rPr>
            </w:pPr>
          </w:p>
          <w:p w14:paraId="07DB94BF" w14:textId="0DE60E2D" w:rsidR="008C598F" w:rsidRDefault="008C598F" w:rsidP="00BA7E3E">
            <w:pPr>
              <w:spacing w:line="259" w:lineRule="auto"/>
              <w:jc w:val="both"/>
              <w:rPr>
                <w:sz w:val="20"/>
                <w:szCs w:val="20"/>
              </w:rPr>
            </w:pPr>
          </w:p>
          <w:p w14:paraId="4DBA7CF5" w14:textId="0658AE15" w:rsidR="008C598F" w:rsidRDefault="008C598F" w:rsidP="00BA7E3E">
            <w:pPr>
              <w:spacing w:line="259" w:lineRule="auto"/>
              <w:jc w:val="both"/>
              <w:rPr>
                <w:sz w:val="20"/>
                <w:szCs w:val="20"/>
              </w:rPr>
            </w:pPr>
          </w:p>
          <w:p w14:paraId="131AFE66" w14:textId="0D9E4D53" w:rsidR="008C598F" w:rsidRDefault="008C598F" w:rsidP="00BA7E3E">
            <w:pPr>
              <w:spacing w:line="259" w:lineRule="auto"/>
              <w:jc w:val="both"/>
              <w:rPr>
                <w:sz w:val="20"/>
                <w:szCs w:val="20"/>
              </w:rPr>
            </w:pPr>
          </w:p>
          <w:p w14:paraId="0D091A75" w14:textId="3148C1E9" w:rsidR="008C598F" w:rsidRDefault="008C598F" w:rsidP="00BA7E3E">
            <w:pPr>
              <w:spacing w:line="259" w:lineRule="auto"/>
              <w:jc w:val="both"/>
              <w:rPr>
                <w:sz w:val="20"/>
                <w:szCs w:val="20"/>
              </w:rPr>
            </w:pPr>
          </w:p>
          <w:p w14:paraId="4F43E574" w14:textId="7AC67CDC" w:rsidR="008C598F" w:rsidRDefault="008C598F" w:rsidP="00BA7E3E">
            <w:pPr>
              <w:spacing w:line="259" w:lineRule="auto"/>
              <w:jc w:val="both"/>
              <w:rPr>
                <w:sz w:val="20"/>
                <w:szCs w:val="20"/>
              </w:rPr>
            </w:pPr>
          </w:p>
          <w:p w14:paraId="2BB10F71" w14:textId="42AA1DEB" w:rsidR="008C598F" w:rsidRDefault="008C598F" w:rsidP="00BA7E3E">
            <w:pPr>
              <w:spacing w:line="259" w:lineRule="auto"/>
              <w:jc w:val="both"/>
              <w:rPr>
                <w:sz w:val="20"/>
                <w:szCs w:val="20"/>
              </w:rPr>
            </w:pPr>
          </w:p>
          <w:p w14:paraId="134A9F3C" w14:textId="77777777" w:rsidR="008C598F" w:rsidRPr="00B21FAC" w:rsidRDefault="008C598F" w:rsidP="00BA7E3E">
            <w:pPr>
              <w:spacing w:line="259" w:lineRule="auto"/>
              <w:jc w:val="both"/>
              <w:rPr>
                <w:sz w:val="20"/>
                <w:szCs w:val="20"/>
              </w:rPr>
            </w:pPr>
          </w:p>
          <w:p w14:paraId="24D3DA69" w14:textId="77777777" w:rsidR="00547BC0" w:rsidRPr="00B21FAC" w:rsidRDefault="00547BC0" w:rsidP="00BA7E3E">
            <w:pPr>
              <w:spacing w:line="259" w:lineRule="auto"/>
              <w:jc w:val="both"/>
              <w:rPr>
                <w:sz w:val="20"/>
                <w:szCs w:val="20"/>
              </w:rPr>
            </w:pPr>
          </w:p>
          <w:p w14:paraId="6E6EB58C" w14:textId="7AC7A69C" w:rsidR="00547BC0" w:rsidRPr="00B21FAC" w:rsidRDefault="00547BC0" w:rsidP="00BA7E3E">
            <w:pPr>
              <w:spacing w:line="259" w:lineRule="auto"/>
              <w:jc w:val="both"/>
              <w:rPr>
                <w:sz w:val="20"/>
                <w:szCs w:val="20"/>
              </w:rPr>
            </w:pPr>
          </w:p>
          <w:p w14:paraId="584F96E5" w14:textId="77777777" w:rsidR="00C7332A" w:rsidRPr="00B21FAC" w:rsidRDefault="00C7332A" w:rsidP="00BA7E3E">
            <w:pPr>
              <w:spacing w:line="259" w:lineRule="auto"/>
              <w:jc w:val="both"/>
              <w:rPr>
                <w:sz w:val="20"/>
                <w:szCs w:val="20"/>
              </w:rPr>
            </w:pPr>
          </w:p>
          <w:p w14:paraId="2837C009" w14:textId="77777777" w:rsidR="00547BC0" w:rsidRPr="00B21FAC" w:rsidRDefault="00547BC0" w:rsidP="00BA7E3E">
            <w:pPr>
              <w:spacing w:line="259" w:lineRule="auto"/>
              <w:jc w:val="both"/>
              <w:rPr>
                <w:sz w:val="20"/>
                <w:szCs w:val="20"/>
              </w:rPr>
            </w:pPr>
          </w:p>
          <w:p w14:paraId="7DCEDCA0" w14:textId="77777777" w:rsidR="00547BC0" w:rsidRPr="00B21FAC" w:rsidRDefault="00547BC0" w:rsidP="00BA7E3E">
            <w:pPr>
              <w:spacing w:line="259" w:lineRule="auto"/>
              <w:jc w:val="both"/>
              <w:rPr>
                <w:sz w:val="20"/>
                <w:szCs w:val="20"/>
              </w:rPr>
            </w:pPr>
          </w:p>
          <w:p w14:paraId="03F2F1A5" w14:textId="77777777" w:rsidR="00547BC0" w:rsidRPr="00B21FAC" w:rsidRDefault="00547BC0" w:rsidP="00BA7E3E">
            <w:pPr>
              <w:spacing w:line="259" w:lineRule="auto"/>
              <w:jc w:val="both"/>
              <w:rPr>
                <w:sz w:val="20"/>
                <w:szCs w:val="20"/>
              </w:rPr>
            </w:pPr>
            <w:r w:rsidRPr="00B21FAC">
              <w:rPr>
                <w:sz w:val="20"/>
                <w:szCs w:val="20"/>
              </w:rPr>
              <w:t>Periodieke belastingen (i.t.t. transactiebelastingen) op onroerende activa blijken het meest groeivriendelijk te zijn, gevolgd door belastingen op consumptie.</w:t>
            </w:r>
          </w:p>
          <w:p w14:paraId="1A2D02D0" w14:textId="77777777" w:rsidR="00547BC0" w:rsidRPr="00B21FAC" w:rsidRDefault="00547BC0" w:rsidP="00BA7E3E">
            <w:pPr>
              <w:spacing w:line="259" w:lineRule="auto"/>
              <w:jc w:val="both"/>
              <w:rPr>
                <w:sz w:val="20"/>
                <w:szCs w:val="20"/>
              </w:rPr>
            </w:pPr>
          </w:p>
          <w:p w14:paraId="4BD19E0F" w14:textId="4F2422C1" w:rsidR="00547BC0" w:rsidRPr="00B21FAC" w:rsidRDefault="00547BC0" w:rsidP="00BA7E3E">
            <w:pPr>
              <w:spacing w:line="259" w:lineRule="auto"/>
              <w:jc w:val="both"/>
              <w:rPr>
                <w:sz w:val="20"/>
                <w:szCs w:val="20"/>
              </w:rPr>
            </w:pPr>
          </w:p>
          <w:p w14:paraId="385635AF" w14:textId="77777777" w:rsidR="00AF3642" w:rsidRPr="00B21FAC" w:rsidRDefault="00AF3642" w:rsidP="00BA7E3E">
            <w:pPr>
              <w:spacing w:line="259" w:lineRule="auto"/>
              <w:jc w:val="both"/>
              <w:rPr>
                <w:sz w:val="20"/>
                <w:szCs w:val="20"/>
              </w:rPr>
            </w:pPr>
          </w:p>
          <w:p w14:paraId="43A97DA4" w14:textId="77777777" w:rsidR="00547BC0" w:rsidRPr="00B21FAC" w:rsidRDefault="00547BC0" w:rsidP="00BA7E3E">
            <w:pPr>
              <w:spacing w:line="259" w:lineRule="auto"/>
              <w:rPr>
                <w:sz w:val="20"/>
                <w:szCs w:val="20"/>
              </w:rPr>
            </w:pPr>
          </w:p>
        </w:tc>
        <w:tc>
          <w:tcPr>
            <w:tcW w:w="5387" w:type="dxa"/>
          </w:tcPr>
          <w:p w14:paraId="5845CE66" w14:textId="77777777" w:rsidR="00547BC0" w:rsidRPr="00B21FAC" w:rsidRDefault="00547BC0" w:rsidP="00BA7E3E">
            <w:pPr>
              <w:pStyle w:val="Lijstalinea"/>
              <w:numPr>
                <w:ilvl w:val="0"/>
                <w:numId w:val="6"/>
              </w:numPr>
              <w:spacing w:line="259" w:lineRule="auto"/>
              <w:ind w:left="320"/>
              <w:jc w:val="both"/>
              <w:rPr>
                <w:sz w:val="20"/>
                <w:szCs w:val="20"/>
              </w:rPr>
            </w:pPr>
            <w:r w:rsidRPr="00B21FAC">
              <w:rPr>
                <w:sz w:val="20"/>
                <w:szCs w:val="20"/>
              </w:rPr>
              <w:t>Zorg voor een transparanter en eenvoudiger fiscaal systeem met minder uitzonderingen, vrijstellingen, aftrekken en belastingverminderingen. – HRF</w:t>
            </w:r>
          </w:p>
          <w:p w14:paraId="090C0662" w14:textId="77777777" w:rsidR="00547BC0" w:rsidRPr="00B21FAC" w:rsidRDefault="00547BC0" w:rsidP="00BA7E3E">
            <w:pPr>
              <w:pStyle w:val="Lijstalinea"/>
              <w:numPr>
                <w:ilvl w:val="0"/>
                <w:numId w:val="6"/>
              </w:numPr>
              <w:spacing w:line="259" w:lineRule="auto"/>
              <w:ind w:left="320" w:hanging="1277"/>
              <w:jc w:val="both"/>
              <w:rPr>
                <w:sz w:val="20"/>
                <w:szCs w:val="20"/>
              </w:rPr>
            </w:pPr>
            <w:r w:rsidRPr="00B21FAC">
              <w:rPr>
                <w:color w:val="3A393B"/>
                <w:sz w:val="20"/>
                <w:szCs w:val="20"/>
              </w:rPr>
              <w:t>Met betrekking tot de personenbelasting streeft de regering naar een vereenvoudiging waarbij aftrekposten, belastingverminderingen en uitzonderingsregimes zo veel mogelijk uitdoven en waarbij we een geleidelijke verschuiving organiseren van alternatieve verloningsvormen richting verloning in euro’s – REGEERAKKOORD</w:t>
            </w:r>
          </w:p>
          <w:p w14:paraId="2D5DA396" w14:textId="77777777" w:rsidR="00547BC0" w:rsidRPr="00B21FAC" w:rsidRDefault="00547BC0" w:rsidP="00BA7E3E">
            <w:pPr>
              <w:pStyle w:val="Lijstalinea"/>
              <w:numPr>
                <w:ilvl w:val="0"/>
                <w:numId w:val="6"/>
              </w:numPr>
              <w:spacing w:line="259" w:lineRule="auto"/>
              <w:ind w:left="320"/>
              <w:jc w:val="both"/>
              <w:rPr>
                <w:sz w:val="20"/>
                <w:szCs w:val="20"/>
              </w:rPr>
            </w:pPr>
            <w:r w:rsidRPr="00B21FAC">
              <w:rPr>
                <w:color w:val="3A393B"/>
                <w:sz w:val="20"/>
                <w:szCs w:val="20"/>
              </w:rPr>
              <w:t>Het nieuwe belastingstelsel moet zo worden opgezet dat de mogelijkheden op het vlak van optimalisatie tot een minimum worden beperkt of ontmoedigd met het oog op de correcte toepassing van de belasting - REGEERAKKOORD</w:t>
            </w:r>
          </w:p>
          <w:p w14:paraId="7C597DFE" w14:textId="77777777" w:rsidR="00547BC0" w:rsidRPr="00B21FAC" w:rsidRDefault="00547BC0" w:rsidP="00BA7E3E">
            <w:pPr>
              <w:pStyle w:val="Lijstalinea"/>
              <w:numPr>
                <w:ilvl w:val="0"/>
                <w:numId w:val="6"/>
              </w:numPr>
              <w:spacing w:line="259" w:lineRule="auto"/>
              <w:ind w:left="312"/>
              <w:jc w:val="both"/>
              <w:rPr>
                <w:sz w:val="20"/>
                <w:szCs w:val="20"/>
              </w:rPr>
            </w:pPr>
            <w:r w:rsidRPr="00B21FAC">
              <w:rPr>
                <w:sz w:val="20"/>
                <w:szCs w:val="20"/>
              </w:rPr>
              <w:t>Harmoniseer het fiscale en sociale loonbegrip, ongeacht of na analyse zou blijken dat dit perspectieven biedt op een efficiëntere gezamenlijke inning van fiscale en sociale heffingen - HRF</w:t>
            </w:r>
          </w:p>
          <w:p w14:paraId="06F7AF3B" w14:textId="3784E901" w:rsidR="004922A9" w:rsidRPr="00F67C67" w:rsidRDefault="004922A9" w:rsidP="00F67C67">
            <w:pPr>
              <w:pStyle w:val="Lijstalinea"/>
              <w:numPr>
                <w:ilvl w:val="0"/>
                <w:numId w:val="6"/>
              </w:numPr>
              <w:ind w:left="315"/>
              <w:jc w:val="both"/>
              <w:rPr>
                <w:sz w:val="20"/>
                <w:szCs w:val="20"/>
                <w:lang w:val="en-GB"/>
              </w:rPr>
            </w:pPr>
            <w:r w:rsidRPr="00F67C67">
              <w:rPr>
                <w:sz w:val="20"/>
                <w:szCs w:val="20"/>
                <w:lang w:val="en-US"/>
              </w:rPr>
              <w:t>The extensive use of special schemes makes the tax-benefit system complex and creates distortions.</w:t>
            </w:r>
            <w:r w:rsidRPr="00F67C67">
              <w:rPr>
                <w:b/>
                <w:bCs/>
                <w:sz w:val="20"/>
                <w:szCs w:val="20"/>
                <w:lang w:val="en-US"/>
              </w:rPr>
              <w:t xml:space="preserve"> </w:t>
            </w:r>
            <w:r w:rsidRPr="00F67C67">
              <w:rPr>
                <w:sz w:val="20"/>
                <w:szCs w:val="20"/>
                <w:lang w:val="en-US"/>
              </w:rPr>
              <w:t xml:space="preserve">To offset the heavy tax burden on labour, wage subsidies have been broadly used. In particular, the withholding tax exemption for overtime, R&amp;D work and night/shift work is costly in budgetary terms and leads to inefficiencies (Schoonackers, 2020). Various features of the corporate tax system (e.g. tax shelter for audio-visual and film productions) do not seem to be the most cost- efficient means of supporting specific sectors. Moreover, some personal income tax deductions disproportionally benefit high- income earners. Broadening tax bases and reducing tax rates would make revenue collection easier and reduce distortions or disincentives to work, invest and consume. </w:t>
            </w:r>
            <w:r w:rsidR="00F67C67">
              <w:rPr>
                <w:sz w:val="20"/>
                <w:szCs w:val="20"/>
                <w:lang w:val="en-US"/>
              </w:rPr>
              <w:t xml:space="preserve">– </w:t>
            </w:r>
            <w:r w:rsidR="00F67C67" w:rsidRPr="00F67C67">
              <w:rPr>
                <w:smallCaps/>
                <w:sz w:val="20"/>
                <w:szCs w:val="20"/>
                <w:lang w:val="en-US"/>
              </w:rPr>
              <w:t>Europese Commissie</w:t>
            </w:r>
          </w:p>
          <w:p w14:paraId="10436493" w14:textId="77777777" w:rsidR="00547BC0" w:rsidRPr="004922A9" w:rsidRDefault="00547BC0" w:rsidP="00BA7E3E">
            <w:pPr>
              <w:spacing w:line="259" w:lineRule="auto"/>
              <w:jc w:val="both"/>
              <w:rPr>
                <w:sz w:val="20"/>
                <w:szCs w:val="20"/>
                <w:lang w:val="en-GB"/>
              </w:rPr>
            </w:pPr>
          </w:p>
          <w:p w14:paraId="04761314" w14:textId="77777777" w:rsidR="00547BC0" w:rsidRPr="004922A9" w:rsidRDefault="00547BC0" w:rsidP="00BA7E3E">
            <w:pPr>
              <w:spacing w:line="259" w:lineRule="auto"/>
              <w:jc w:val="both"/>
              <w:rPr>
                <w:sz w:val="20"/>
                <w:szCs w:val="20"/>
                <w:lang w:val="en-GB"/>
              </w:rPr>
            </w:pPr>
          </w:p>
          <w:p w14:paraId="40C6982B" w14:textId="77777777" w:rsidR="00547BC0" w:rsidRPr="00B21FAC" w:rsidRDefault="00547BC0" w:rsidP="00BA7E3E">
            <w:pPr>
              <w:pStyle w:val="Lijstalinea"/>
              <w:numPr>
                <w:ilvl w:val="0"/>
                <w:numId w:val="6"/>
              </w:numPr>
              <w:spacing w:line="259" w:lineRule="auto"/>
              <w:ind w:left="320"/>
              <w:jc w:val="both"/>
              <w:rPr>
                <w:sz w:val="20"/>
                <w:szCs w:val="20"/>
                <w:lang w:val="en-GB"/>
              </w:rPr>
            </w:pPr>
            <w:r w:rsidRPr="00B21FAC">
              <w:rPr>
                <w:sz w:val="20"/>
                <w:szCs w:val="20"/>
                <w:lang w:val="en-GB"/>
              </w:rPr>
              <w:t>Shift away from transaction taxes on housing towards recurrent property taxes.</w:t>
            </w:r>
          </w:p>
          <w:p w14:paraId="1DC8826A" w14:textId="77777777" w:rsidR="00547BC0" w:rsidRPr="00B21FAC" w:rsidRDefault="00547BC0" w:rsidP="00BA7E3E">
            <w:pPr>
              <w:pStyle w:val="Lijstalinea"/>
              <w:spacing w:line="259" w:lineRule="auto"/>
              <w:ind w:left="320"/>
              <w:jc w:val="both"/>
              <w:rPr>
                <w:sz w:val="20"/>
                <w:szCs w:val="20"/>
                <w:lang w:val="en-GB"/>
              </w:rPr>
            </w:pPr>
            <w:r w:rsidRPr="00B21FAC">
              <w:rPr>
                <w:sz w:val="20"/>
                <w:szCs w:val="20"/>
                <w:lang w:val="en-GB"/>
              </w:rPr>
              <w:t>Update the property tax base in line with market values.</w:t>
            </w:r>
          </w:p>
          <w:p w14:paraId="08721871" w14:textId="1E9CEEA4" w:rsidR="00265136" w:rsidRPr="00B21FAC" w:rsidRDefault="00547BC0" w:rsidP="00BA7E3E">
            <w:pPr>
              <w:pStyle w:val="Lijstalinea"/>
              <w:spacing w:line="259" w:lineRule="auto"/>
              <w:ind w:left="320"/>
              <w:jc w:val="both"/>
              <w:rPr>
                <w:sz w:val="20"/>
                <w:szCs w:val="20"/>
                <w:lang w:val="en-GB"/>
              </w:rPr>
            </w:pPr>
            <w:r w:rsidRPr="00B21FAC">
              <w:rPr>
                <w:sz w:val="20"/>
                <w:szCs w:val="20"/>
                <w:lang w:val="en-GB"/>
              </w:rPr>
              <w:t xml:space="preserve">Phase out mortgage tax credits </w:t>
            </w:r>
            <w:r w:rsidR="00100517" w:rsidRPr="00B21FAC">
              <w:rPr>
                <w:sz w:val="20"/>
                <w:szCs w:val="20"/>
                <w:lang w:val="en-GB"/>
              </w:rPr>
              <w:t>–</w:t>
            </w:r>
            <w:r w:rsidRPr="00B21FAC">
              <w:rPr>
                <w:sz w:val="20"/>
                <w:szCs w:val="20"/>
                <w:lang w:val="en-GB"/>
              </w:rPr>
              <w:t xml:space="preserve"> OECD</w:t>
            </w:r>
          </w:p>
          <w:p w14:paraId="4A54C847" w14:textId="072B949D" w:rsidR="00265136" w:rsidRPr="00B21FAC" w:rsidRDefault="00265136" w:rsidP="00BA7E3E">
            <w:pPr>
              <w:pStyle w:val="Lijstalinea"/>
              <w:numPr>
                <w:ilvl w:val="0"/>
                <w:numId w:val="6"/>
              </w:numPr>
              <w:spacing w:line="259" w:lineRule="auto"/>
              <w:ind w:left="315"/>
              <w:jc w:val="both"/>
              <w:rPr>
                <w:rFonts w:cstheme="minorHAnsi"/>
                <w:sz w:val="20"/>
                <w:szCs w:val="20"/>
                <w:lang w:val="en-GB"/>
              </w:rPr>
            </w:pPr>
            <w:r w:rsidRPr="00B21FAC">
              <w:rPr>
                <w:rFonts w:cstheme="minorHAnsi"/>
                <w:color w:val="000000"/>
                <w:sz w:val="20"/>
                <w:szCs w:val="20"/>
                <w:lang w:val="en-GB"/>
              </w:rPr>
              <w:t xml:space="preserve">A revenue neutral, growth-oriented reform could include a fairness-enhancing rebalancing of taxes, with some shift of the tax burden from labor taxes to less-distortive taxes, such as consumption or recurrent real estate taxes. Consideration could be given to raising the standard VAT rate but, given the relatively low productivity of the Belgian VAT and the size of VAT tax expenditures— 2.3 percent of GDP in 2018—the focus could instead be on harmonizing reduced VAT rates and cutting back exemptions. Efforts to improve Belgium’s VAT C-efficiency should address VAT policy and compliance gaps. Undertaking VAT-gap analysis based on methodology of the IMF Fiscal Affairs Department to estimate policy and compliance gaps would be an important first step. In addressing reduced rates, a gradual, well communicated, and predictable process to converge rates could help with buy-in, taking also into account the overall objective to reduce the labor tax burden (trade-off). </w:t>
            </w:r>
            <w:r w:rsidR="00765A6C" w:rsidRPr="00B21FAC">
              <w:rPr>
                <w:rFonts w:cstheme="minorHAnsi"/>
                <w:color w:val="000000"/>
                <w:sz w:val="20"/>
                <w:szCs w:val="20"/>
                <w:lang w:val="en-GB"/>
              </w:rPr>
              <w:t>– IMF</w:t>
            </w:r>
          </w:p>
          <w:p w14:paraId="532FC21D" w14:textId="57051820" w:rsidR="00817279" w:rsidRPr="00B21FAC" w:rsidRDefault="00817279" w:rsidP="00BA7E3E">
            <w:pPr>
              <w:pStyle w:val="Lijstalinea"/>
              <w:numPr>
                <w:ilvl w:val="0"/>
                <w:numId w:val="6"/>
              </w:numPr>
              <w:autoSpaceDE w:val="0"/>
              <w:autoSpaceDN w:val="0"/>
              <w:adjustRightInd w:val="0"/>
              <w:spacing w:line="259" w:lineRule="auto"/>
              <w:ind w:left="315"/>
              <w:jc w:val="both"/>
              <w:rPr>
                <w:rFonts w:cstheme="minorHAnsi"/>
                <w:color w:val="000000"/>
                <w:sz w:val="20"/>
                <w:szCs w:val="20"/>
                <w:lang w:val="en-GB"/>
              </w:rPr>
            </w:pPr>
            <w:r w:rsidRPr="00B21FAC">
              <w:rPr>
                <w:rFonts w:cstheme="minorHAnsi"/>
                <w:color w:val="000000"/>
                <w:sz w:val="20"/>
                <w:szCs w:val="20"/>
                <w:lang w:val="en-GB"/>
              </w:rPr>
              <w:t xml:space="preserve">Belgium could make better use of recuring real estate taxes, which are significantly underutilized relative to their potential. Property values—the basis of real estate taxation—do not reflect current market prices, but are instead based on cadastral values not updated since 1975. </w:t>
            </w:r>
            <w:r w:rsidR="001B6F3F" w:rsidRPr="00B21FAC">
              <w:rPr>
                <w:rFonts w:cstheme="minorHAnsi"/>
                <w:color w:val="000000"/>
                <w:sz w:val="20"/>
                <w:szCs w:val="20"/>
                <w:lang w:val="en-GB"/>
              </w:rPr>
              <w:t>– IMF</w:t>
            </w:r>
          </w:p>
          <w:p w14:paraId="5158AB6A" w14:textId="1BC8DFCA" w:rsidR="009C18ED" w:rsidRPr="00A12864" w:rsidRDefault="009C18ED" w:rsidP="009C18ED">
            <w:pPr>
              <w:pStyle w:val="Lijstalinea"/>
              <w:numPr>
                <w:ilvl w:val="0"/>
                <w:numId w:val="6"/>
              </w:numPr>
              <w:autoSpaceDE w:val="0"/>
              <w:autoSpaceDN w:val="0"/>
              <w:adjustRightInd w:val="0"/>
              <w:spacing w:line="259" w:lineRule="auto"/>
              <w:ind w:left="315"/>
              <w:jc w:val="both"/>
              <w:rPr>
                <w:rFonts w:cstheme="minorHAnsi"/>
                <w:sz w:val="20"/>
                <w:szCs w:val="20"/>
                <w:lang w:val="en-GB"/>
              </w:rPr>
            </w:pPr>
            <w:r w:rsidRPr="00A12864">
              <w:rPr>
                <w:rFonts w:cstheme="minorHAnsi"/>
                <w:sz w:val="20"/>
                <w:szCs w:val="20"/>
                <w:lang w:val="en-GB"/>
              </w:rPr>
              <w:t>Reform the taxation and benefit systems to reduce disincentives to work by shifting the tax burden away from labour and by simplifying the tax and benefit system. Reduce tax expenditures and make the tax system more investment-neutral.</w:t>
            </w:r>
            <w:r>
              <w:rPr>
                <w:rFonts w:cstheme="minorHAnsi"/>
                <w:sz w:val="20"/>
                <w:szCs w:val="20"/>
                <w:lang w:val="en-GB"/>
              </w:rPr>
              <w:t xml:space="preserve"> – EUROPESE COMMISSIE</w:t>
            </w:r>
          </w:p>
          <w:p w14:paraId="7B6B8460" w14:textId="77777777" w:rsidR="00861656" w:rsidRPr="00B21FAC" w:rsidRDefault="00861656" w:rsidP="00BA7E3E">
            <w:pPr>
              <w:spacing w:line="259" w:lineRule="auto"/>
              <w:jc w:val="both"/>
              <w:rPr>
                <w:rFonts w:cstheme="minorHAnsi"/>
                <w:sz w:val="20"/>
                <w:szCs w:val="20"/>
                <w:lang w:val="en-GB"/>
              </w:rPr>
            </w:pPr>
          </w:p>
          <w:p w14:paraId="303FD95A" w14:textId="29FD7179" w:rsidR="00100517" w:rsidRPr="00B21FAC" w:rsidRDefault="00100517" w:rsidP="00BA7E3E">
            <w:pPr>
              <w:pStyle w:val="Lijstalinea"/>
              <w:spacing w:line="259" w:lineRule="auto"/>
              <w:ind w:left="315"/>
              <w:jc w:val="both"/>
              <w:rPr>
                <w:sz w:val="20"/>
                <w:szCs w:val="20"/>
                <w:lang w:val="en-GB"/>
              </w:rPr>
            </w:pPr>
          </w:p>
        </w:tc>
      </w:tr>
      <w:tr w:rsidR="00547BC0" w:rsidRPr="00562ABA" w14:paraId="0051420F" w14:textId="77777777" w:rsidTr="00CE45C5">
        <w:trPr>
          <w:trHeight w:val="1878"/>
        </w:trPr>
        <w:tc>
          <w:tcPr>
            <w:tcW w:w="5671" w:type="dxa"/>
          </w:tcPr>
          <w:p w14:paraId="45E19A11" w14:textId="2456DDD8" w:rsidR="00547BC0" w:rsidRPr="00B21FAC" w:rsidRDefault="00547BC0" w:rsidP="00BA7E3E">
            <w:pPr>
              <w:spacing w:line="259" w:lineRule="auto"/>
              <w:jc w:val="both"/>
              <w:rPr>
                <w:sz w:val="20"/>
                <w:szCs w:val="20"/>
              </w:rPr>
            </w:pPr>
            <w:r w:rsidRPr="00B21FAC">
              <w:rPr>
                <w:sz w:val="20"/>
                <w:szCs w:val="20"/>
              </w:rPr>
              <w:t>De efficiënt</w:t>
            </w:r>
            <w:r w:rsidR="00AA5966" w:rsidRPr="00B21FAC">
              <w:rPr>
                <w:sz w:val="20"/>
                <w:szCs w:val="20"/>
              </w:rPr>
              <w:t>i</w:t>
            </w:r>
            <w:r w:rsidRPr="00B21FAC">
              <w:rPr>
                <w:sz w:val="20"/>
                <w:szCs w:val="20"/>
              </w:rPr>
              <w:t xml:space="preserve">e van de </w:t>
            </w:r>
            <w:r w:rsidRPr="00B21FAC">
              <w:rPr>
                <w:b/>
                <w:bCs/>
                <w:sz w:val="20"/>
                <w:szCs w:val="20"/>
              </w:rPr>
              <w:t>belastingen op arbeid</w:t>
            </w:r>
            <w:r w:rsidRPr="00B21FAC">
              <w:rPr>
                <w:sz w:val="20"/>
                <w:szCs w:val="20"/>
              </w:rPr>
              <w:t xml:space="preserve"> wordt gemeten via de participatie-belastingvoeten (extensieve marge of werkloosheidsval), marginale effectieve belastingvoeten (intensieve marge of promotieval) en de belastingwig.</w:t>
            </w:r>
          </w:p>
          <w:p w14:paraId="171D6C16" w14:textId="77777777" w:rsidR="00547BC0" w:rsidRPr="00B21FAC" w:rsidRDefault="00547BC0" w:rsidP="00BA7E3E">
            <w:pPr>
              <w:spacing w:line="259" w:lineRule="auto"/>
              <w:jc w:val="both"/>
              <w:rPr>
                <w:sz w:val="20"/>
                <w:szCs w:val="20"/>
              </w:rPr>
            </w:pPr>
          </w:p>
          <w:p w14:paraId="5EC844FB" w14:textId="77777777" w:rsidR="00547BC0" w:rsidRPr="00B21FAC" w:rsidRDefault="00547BC0" w:rsidP="00BA7E3E">
            <w:pPr>
              <w:spacing w:line="259" w:lineRule="auto"/>
              <w:jc w:val="both"/>
              <w:rPr>
                <w:sz w:val="20"/>
                <w:szCs w:val="20"/>
              </w:rPr>
            </w:pPr>
          </w:p>
          <w:p w14:paraId="440B4BD7" w14:textId="77777777" w:rsidR="00547BC0" w:rsidRPr="00B21FAC" w:rsidRDefault="00547BC0" w:rsidP="00BA7E3E">
            <w:pPr>
              <w:spacing w:line="259" w:lineRule="auto"/>
              <w:jc w:val="both"/>
              <w:rPr>
                <w:sz w:val="20"/>
                <w:szCs w:val="20"/>
              </w:rPr>
            </w:pPr>
          </w:p>
          <w:p w14:paraId="00695E36" w14:textId="11275857" w:rsidR="00547BC0" w:rsidRPr="00B21FAC" w:rsidRDefault="00547BC0" w:rsidP="00BA7E3E">
            <w:pPr>
              <w:spacing w:line="259" w:lineRule="auto"/>
              <w:jc w:val="both"/>
              <w:rPr>
                <w:sz w:val="20"/>
                <w:szCs w:val="20"/>
              </w:rPr>
            </w:pPr>
          </w:p>
          <w:p w14:paraId="2D74B409" w14:textId="712B7A1C" w:rsidR="009D677F" w:rsidRPr="00B21FAC" w:rsidRDefault="009D677F" w:rsidP="00BA7E3E">
            <w:pPr>
              <w:spacing w:line="259" w:lineRule="auto"/>
              <w:jc w:val="both"/>
              <w:rPr>
                <w:sz w:val="20"/>
                <w:szCs w:val="20"/>
              </w:rPr>
            </w:pPr>
          </w:p>
          <w:p w14:paraId="2BF870E5" w14:textId="750FCA3E" w:rsidR="009D677F" w:rsidRPr="00B21FAC" w:rsidRDefault="009D677F" w:rsidP="00BA7E3E">
            <w:pPr>
              <w:spacing w:line="259" w:lineRule="auto"/>
              <w:jc w:val="both"/>
              <w:rPr>
                <w:sz w:val="20"/>
                <w:szCs w:val="20"/>
              </w:rPr>
            </w:pPr>
          </w:p>
          <w:p w14:paraId="79CEB08B" w14:textId="0957C6CD" w:rsidR="009D677F" w:rsidRPr="00B21FAC" w:rsidRDefault="009D677F" w:rsidP="00BA7E3E">
            <w:pPr>
              <w:spacing w:line="259" w:lineRule="auto"/>
              <w:jc w:val="both"/>
              <w:rPr>
                <w:sz w:val="20"/>
                <w:szCs w:val="20"/>
              </w:rPr>
            </w:pPr>
          </w:p>
          <w:p w14:paraId="07725528" w14:textId="4839993A" w:rsidR="009D677F" w:rsidRPr="00B21FAC" w:rsidRDefault="009D677F" w:rsidP="00BA7E3E">
            <w:pPr>
              <w:spacing w:line="259" w:lineRule="auto"/>
              <w:jc w:val="both"/>
              <w:rPr>
                <w:sz w:val="20"/>
                <w:szCs w:val="20"/>
              </w:rPr>
            </w:pPr>
          </w:p>
          <w:p w14:paraId="64B81AAA" w14:textId="05E3C860" w:rsidR="009D677F" w:rsidRPr="00B21FAC" w:rsidRDefault="009D677F" w:rsidP="00BA7E3E">
            <w:pPr>
              <w:spacing w:line="259" w:lineRule="auto"/>
              <w:jc w:val="both"/>
              <w:rPr>
                <w:sz w:val="20"/>
                <w:szCs w:val="20"/>
              </w:rPr>
            </w:pPr>
          </w:p>
          <w:p w14:paraId="69223717" w14:textId="1BB1519F" w:rsidR="009D677F" w:rsidRPr="00B21FAC" w:rsidRDefault="009D677F" w:rsidP="00BA7E3E">
            <w:pPr>
              <w:spacing w:line="259" w:lineRule="auto"/>
              <w:jc w:val="both"/>
              <w:rPr>
                <w:sz w:val="20"/>
                <w:szCs w:val="20"/>
              </w:rPr>
            </w:pPr>
          </w:p>
          <w:p w14:paraId="7C950BFD" w14:textId="7CF9D0D5" w:rsidR="004B36F1" w:rsidRPr="00B21FAC" w:rsidRDefault="004B36F1" w:rsidP="00BA7E3E">
            <w:pPr>
              <w:spacing w:line="259" w:lineRule="auto"/>
              <w:jc w:val="both"/>
              <w:rPr>
                <w:sz w:val="20"/>
                <w:szCs w:val="20"/>
              </w:rPr>
            </w:pPr>
          </w:p>
          <w:p w14:paraId="16CD7930" w14:textId="63AED903" w:rsidR="004B36F1" w:rsidRPr="00B21FAC" w:rsidRDefault="004B36F1" w:rsidP="00BA7E3E">
            <w:pPr>
              <w:spacing w:line="259" w:lineRule="auto"/>
              <w:jc w:val="both"/>
              <w:rPr>
                <w:sz w:val="20"/>
                <w:szCs w:val="20"/>
              </w:rPr>
            </w:pPr>
          </w:p>
          <w:p w14:paraId="45C8393B" w14:textId="2D4870EA" w:rsidR="004B36F1" w:rsidRPr="00B21FAC" w:rsidRDefault="004B36F1" w:rsidP="00BA7E3E">
            <w:pPr>
              <w:spacing w:line="259" w:lineRule="auto"/>
              <w:jc w:val="both"/>
              <w:rPr>
                <w:sz w:val="20"/>
                <w:szCs w:val="20"/>
              </w:rPr>
            </w:pPr>
          </w:p>
          <w:p w14:paraId="4F208ABD" w14:textId="2E77444F" w:rsidR="004B36F1" w:rsidRPr="00B21FAC" w:rsidRDefault="004B36F1" w:rsidP="00BA7E3E">
            <w:pPr>
              <w:spacing w:line="259" w:lineRule="auto"/>
              <w:jc w:val="both"/>
              <w:rPr>
                <w:sz w:val="20"/>
                <w:szCs w:val="20"/>
              </w:rPr>
            </w:pPr>
          </w:p>
          <w:p w14:paraId="308467C3" w14:textId="628D6E3E" w:rsidR="004B36F1" w:rsidRPr="00B21FAC" w:rsidRDefault="004B36F1" w:rsidP="00BA7E3E">
            <w:pPr>
              <w:spacing w:line="259" w:lineRule="auto"/>
              <w:jc w:val="both"/>
              <w:rPr>
                <w:sz w:val="20"/>
                <w:szCs w:val="20"/>
              </w:rPr>
            </w:pPr>
          </w:p>
          <w:p w14:paraId="66CB2886" w14:textId="1ADE7B04" w:rsidR="004B36F1" w:rsidRPr="00B21FAC" w:rsidRDefault="004B36F1" w:rsidP="00BA7E3E">
            <w:pPr>
              <w:spacing w:line="259" w:lineRule="auto"/>
              <w:jc w:val="both"/>
              <w:rPr>
                <w:sz w:val="20"/>
                <w:szCs w:val="20"/>
              </w:rPr>
            </w:pPr>
          </w:p>
          <w:p w14:paraId="6422163A" w14:textId="0ABB9DBE" w:rsidR="004B36F1" w:rsidRPr="00B21FAC" w:rsidRDefault="004B36F1" w:rsidP="00BA7E3E">
            <w:pPr>
              <w:spacing w:line="259" w:lineRule="auto"/>
              <w:jc w:val="both"/>
              <w:rPr>
                <w:sz w:val="20"/>
                <w:szCs w:val="20"/>
              </w:rPr>
            </w:pPr>
          </w:p>
          <w:p w14:paraId="5A9F405D" w14:textId="2A750E6C" w:rsidR="004B36F1" w:rsidRPr="00B21FAC" w:rsidRDefault="004B36F1" w:rsidP="00BA7E3E">
            <w:pPr>
              <w:spacing w:line="259" w:lineRule="auto"/>
              <w:jc w:val="both"/>
              <w:rPr>
                <w:sz w:val="20"/>
                <w:szCs w:val="20"/>
              </w:rPr>
            </w:pPr>
          </w:p>
          <w:p w14:paraId="67B70885" w14:textId="73CEB480" w:rsidR="004B36F1" w:rsidRPr="00B21FAC" w:rsidRDefault="004B36F1" w:rsidP="00BA7E3E">
            <w:pPr>
              <w:spacing w:line="259" w:lineRule="auto"/>
              <w:jc w:val="both"/>
              <w:rPr>
                <w:sz w:val="20"/>
                <w:szCs w:val="20"/>
              </w:rPr>
            </w:pPr>
          </w:p>
          <w:p w14:paraId="5BEF78B3" w14:textId="0CF661F1" w:rsidR="004B36F1" w:rsidRPr="00B21FAC" w:rsidRDefault="004B36F1" w:rsidP="00BA7E3E">
            <w:pPr>
              <w:spacing w:line="259" w:lineRule="auto"/>
              <w:jc w:val="both"/>
              <w:rPr>
                <w:sz w:val="20"/>
                <w:szCs w:val="20"/>
              </w:rPr>
            </w:pPr>
          </w:p>
          <w:p w14:paraId="63181824" w14:textId="2E6302C2" w:rsidR="004B36F1" w:rsidRPr="00B21FAC" w:rsidRDefault="004B36F1" w:rsidP="00BA7E3E">
            <w:pPr>
              <w:spacing w:line="259" w:lineRule="auto"/>
              <w:jc w:val="both"/>
              <w:rPr>
                <w:sz w:val="20"/>
                <w:szCs w:val="20"/>
              </w:rPr>
            </w:pPr>
          </w:p>
          <w:p w14:paraId="276D929C" w14:textId="575D4AB3" w:rsidR="004B36F1" w:rsidRPr="00B21FAC" w:rsidRDefault="004B36F1" w:rsidP="00BA7E3E">
            <w:pPr>
              <w:spacing w:line="259" w:lineRule="auto"/>
              <w:jc w:val="both"/>
              <w:rPr>
                <w:sz w:val="20"/>
                <w:szCs w:val="20"/>
              </w:rPr>
            </w:pPr>
          </w:p>
          <w:p w14:paraId="31079ADB" w14:textId="0BCC97A2" w:rsidR="004B36F1" w:rsidRPr="00B21FAC" w:rsidRDefault="004B36F1" w:rsidP="00BA7E3E">
            <w:pPr>
              <w:spacing w:line="259" w:lineRule="auto"/>
              <w:jc w:val="both"/>
              <w:rPr>
                <w:sz w:val="20"/>
                <w:szCs w:val="20"/>
              </w:rPr>
            </w:pPr>
          </w:p>
          <w:p w14:paraId="42E1CDAF" w14:textId="6B9C9660" w:rsidR="004B36F1" w:rsidRPr="00B21FAC" w:rsidRDefault="004B36F1" w:rsidP="00BA7E3E">
            <w:pPr>
              <w:spacing w:line="259" w:lineRule="auto"/>
              <w:jc w:val="both"/>
              <w:rPr>
                <w:sz w:val="20"/>
                <w:szCs w:val="20"/>
              </w:rPr>
            </w:pPr>
          </w:p>
          <w:p w14:paraId="7141DEFA" w14:textId="071411A3" w:rsidR="004B36F1" w:rsidRPr="00B21FAC" w:rsidRDefault="004B36F1" w:rsidP="00BA7E3E">
            <w:pPr>
              <w:spacing w:line="259" w:lineRule="auto"/>
              <w:jc w:val="both"/>
              <w:rPr>
                <w:sz w:val="20"/>
                <w:szCs w:val="20"/>
              </w:rPr>
            </w:pPr>
          </w:p>
          <w:p w14:paraId="27F55496" w14:textId="09BAC514" w:rsidR="004B36F1" w:rsidRPr="00B21FAC" w:rsidRDefault="004B36F1" w:rsidP="00BA7E3E">
            <w:pPr>
              <w:spacing w:line="259" w:lineRule="auto"/>
              <w:jc w:val="both"/>
              <w:rPr>
                <w:sz w:val="20"/>
                <w:szCs w:val="20"/>
              </w:rPr>
            </w:pPr>
          </w:p>
          <w:p w14:paraId="5D2747C9" w14:textId="46F9DAB6" w:rsidR="004B36F1" w:rsidRPr="00B21FAC" w:rsidRDefault="004B36F1" w:rsidP="00BA7E3E">
            <w:pPr>
              <w:spacing w:line="259" w:lineRule="auto"/>
              <w:jc w:val="both"/>
              <w:rPr>
                <w:sz w:val="20"/>
                <w:szCs w:val="20"/>
              </w:rPr>
            </w:pPr>
          </w:p>
          <w:p w14:paraId="7A485925" w14:textId="4490E943" w:rsidR="004B36F1" w:rsidRPr="00B21FAC" w:rsidRDefault="004B36F1" w:rsidP="00BA7E3E">
            <w:pPr>
              <w:spacing w:line="259" w:lineRule="auto"/>
              <w:jc w:val="both"/>
              <w:rPr>
                <w:sz w:val="20"/>
                <w:szCs w:val="20"/>
              </w:rPr>
            </w:pPr>
          </w:p>
          <w:p w14:paraId="06517CE5" w14:textId="7F311097" w:rsidR="004B36F1" w:rsidRPr="00B21FAC" w:rsidRDefault="004B36F1" w:rsidP="00BA7E3E">
            <w:pPr>
              <w:spacing w:line="259" w:lineRule="auto"/>
              <w:jc w:val="both"/>
              <w:rPr>
                <w:sz w:val="20"/>
                <w:szCs w:val="20"/>
              </w:rPr>
            </w:pPr>
          </w:p>
          <w:p w14:paraId="185661ED" w14:textId="44F77852" w:rsidR="004B36F1" w:rsidRPr="00B21FAC" w:rsidRDefault="004B36F1" w:rsidP="00BA7E3E">
            <w:pPr>
              <w:spacing w:line="259" w:lineRule="auto"/>
              <w:jc w:val="both"/>
              <w:rPr>
                <w:sz w:val="20"/>
                <w:szCs w:val="20"/>
              </w:rPr>
            </w:pPr>
          </w:p>
          <w:p w14:paraId="64CFB69B" w14:textId="0F9D49D4" w:rsidR="004B36F1" w:rsidRPr="00B21FAC" w:rsidRDefault="004B36F1" w:rsidP="00BA7E3E">
            <w:pPr>
              <w:spacing w:line="259" w:lineRule="auto"/>
              <w:jc w:val="both"/>
              <w:rPr>
                <w:sz w:val="20"/>
                <w:szCs w:val="20"/>
              </w:rPr>
            </w:pPr>
          </w:p>
          <w:p w14:paraId="2026049D" w14:textId="6D8BB028" w:rsidR="004B36F1" w:rsidRPr="00B21FAC" w:rsidRDefault="004B36F1" w:rsidP="00BA7E3E">
            <w:pPr>
              <w:spacing w:line="259" w:lineRule="auto"/>
              <w:jc w:val="both"/>
              <w:rPr>
                <w:sz w:val="20"/>
                <w:szCs w:val="20"/>
              </w:rPr>
            </w:pPr>
          </w:p>
          <w:p w14:paraId="22F1E66B" w14:textId="35216253" w:rsidR="004B36F1" w:rsidRPr="00B21FAC" w:rsidRDefault="004B36F1" w:rsidP="00BA7E3E">
            <w:pPr>
              <w:spacing w:line="259" w:lineRule="auto"/>
              <w:jc w:val="both"/>
              <w:rPr>
                <w:sz w:val="20"/>
                <w:szCs w:val="20"/>
              </w:rPr>
            </w:pPr>
          </w:p>
          <w:p w14:paraId="5CC5E09E" w14:textId="2E46FEC4" w:rsidR="004B36F1" w:rsidRPr="00B21FAC" w:rsidRDefault="004B36F1" w:rsidP="00BA7E3E">
            <w:pPr>
              <w:spacing w:line="259" w:lineRule="auto"/>
              <w:jc w:val="both"/>
              <w:rPr>
                <w:sz w:val="20"/>
                <w:szCs w:val="20"/>
              </w:rPr>
            </w:pPr>
          </w:p>
          <w:p w14:paraId="74A87839" w14:textId="77777777" w:rsidR="004B36F1" w:rsidRPr="00B21FAC" w:rsidRDefault="004B36F1" w:rsidP="00BA7E3E">
            <w:pPr>
              <w:spacing w:line="259" w:lineRule="auto"/>
              <w:jc w:val="both"/>
              <w:rPr>
                <w:sz w:val="20"/>
                <w:szCs w:val="20"/>
              </w:rPr>
            </w:pPr>
          </w:p>
          <w:p w14:paraId="654FEEB1" w14:textId="77777777" w:rsidR="00547BC0" w:rsidRPr="00B21FAC" w:rsidRDefault="00547BC0" w:rsidP="00BA7E3E">
            <w:pPr>
              <w:spacing w:line="259" w:lineRule="auto"/>
              <w:jc w:val="both"/>
              <w:rPr>
                <w:sz w:val="20"/>
                <w:szCs w:val="20"/>
              </w:rPr>
            </w:pPr>
          </w:p>
          <w:p w14:paraId="4684FB88" w14:textId="77777777" w:rsidR="00547BC0" w:rsidRPr="00B21FAC" w:rsidRDefault="00547BC0" w:rsidP="00BA7E3E">
            <w:pPr>
              <w:spacing w:line="259" w:lineRule="auto"/>
              <w:jc w:val="both"/>
              <w:rPr>
                <w:sz w:val="20"/>
                <w:szCs w:val="20"/>
              </w:rPr>
            </w:pPr>
            <w:r w:rsidRPr="00B21FAC">
              <w:rPr>
                <w:sz w:val="20"/>
                <w:szCs w:val="20"/>
              </w:rPr>
              <w:t>Bijkomende aandachtspunten:</w:t>
            </w:r>
          </w:p>
          <w:p w14:paraId="2F749ECA" w14:textId="520D49CF" w:rsidR="0042323C" w:rsidRPr="0042323C" w:rsidRDefault="00547BC0" w:rsidP="0042323C">
            <w:pPr>
              <w:pStyle w:val="Lijstalinea"/>
              <w:numPr>
                <w:ilvl w:val="0"/>
                <w:numId w:val="4"/>
              </w:numPr>
              <w:spacing w:line="259" w:lineRule="auto"/>
              <w:jc w:val="both"/>
              <w:rPr>
                <w:sz w:val="20"/>
                <w:szCs w:val="20"/>
              </w:rPr>
            </w:pPr>
            <w:r w:rsidRPr="00B21FAC">
              <w:rPr>
                <w:sz w:val="20"/>
                <w:szCs w:val="20"/>
              </w:rPr>
              <w:t>Vanuit efficiëntie-oogpunt zijn vergoedingen in cash te verkiezen.</w:t>
            </w:r>
          </w:p>
          <w:p w14:paraId="347D91C0" w14:textId="77777777" w:rsidR="00547BC0" w:rsidRPr="00B21FAC" w:rsidRDefault="00547BC0" w:rsidP="00BA7E3E">
            <w:pPr>
              <w:pStyle w:val="Lijstalinea"/>
              <w:numPr>
                <w:ilvl w:val="0"/>
                <w:numId w:val="4"/>
              </w:numPr>
              <w:spacing w:line="259" w:lineRule="auto"/>
              <w:jc w:val="both"/>
              <w:rPr>
                <w:sz w:val="20"/>
                <w:szCs w:val="20"/>
              </w:rPr>
            </w:pPr>
            <w:r w:rsidRPr="00B21FAC">
              <w:rPr>
                <w:sz w:val="20"/>
                <w:szCs w:val="20"/>
              </w:rPr>
              <w:t>Hoe meer uitzonderingen en aftrekmogelijkheden er zijn, hoe meer mogelijkheden voorliggen om de belastbare basis uit te hollen.</w:t>
            </w:r>
          </w:p>
          <w:p w14:paraId="504D4A7E" w14:textId="77777777" w:rsidR="00547BC0" w:rsidRPr="00B21FAC" w:rsidRDefault="00547BC0" w:rsidP="00BA7E3E">
            <w:pPr>
              <w:spacing w:line="259" w:lineRule="auto"/>
              <w:jc w:val="both"/>
              <w:rPr>
                <w:sz w:val="20"/>
                <w:szCs w:val="20"/>
              </w:rPr>
            </w:pPr>
          </w:p>
        </w:tc>
        <w:tc>
          <w:tcPr>
            <w:tcW w:w="5387" w:type="dxa"/>
          </w:tcPr>
          <w:p w14:paraId="28A0F153" w14:textId="7815552B" w:rsidR="00236EE0" w:rsidRPr="0076210D" w:rsidRDefault="00236EE0" w:rsidP="00236EE0">
            <w:pPr>
              <w:pStyle w:val="Lijstalinea"/>
              <w:numPr>
                <w:ilvl w:val="0"/>
                <w:numId w:val="6"/>
              </w:numPr>
              <w:spacing w:line="259" w:lineRule="auto"/>
              <w:ind w:left="312"/>
              <w:jc w:val="both"/>
              <w:rPr>
                <w:sz w:val="20"/>
                <w:szCs w:val="20"/>
                <w:lang w:val="en-US"/>
              </w:rPr>
            </w:pPr>
            <w:r>
              <w:rPr>
                <w:sz w:val="20"/>
                <w:lang w:val="en-GB"/>
              </w:rPr>
              <w:t>Introduce</w:t>
            </w:r>
            <w:r w:rsidRPr="0076210D">
              <w:rPr>
                <w:sz w:val="20"/>
                <w:lang w:val="en-GB"/>
              </w:rPr>
              <w:t xml:space="preserve"> in-work benefits</w:t>
            </w:r>
            <w:r>
              <w:rPr>
                <w:sz w:val="20"/>
                <w:lang w:val="en-GB"/>
              </w:rPr>
              <w:t xml:space="preserve"> for low-wage workers with children.  – </w:t>
            </w:r>
            <w:r w:rsidRPr="0076210D">
              <w:rPr>
                <w:sz w:val="20"/>
                <w:lang w:val="en-GB"/>
              </w:rPr>
              <w:t xml:space="preserve"> OECD</w:t>
            </w:r>
          </w:p>
          <w:p w14:paraId="66A014FE" w14:textId="06D0BDE1" w:rsidR="00547BC0" w:rsidRPr="00B21FAC" w:rsidRDefault="00547BC0" w:rsidP="00BA7E3E">
            <w:pPr>
              <w:pStyle w:val="Lijstalinea"/>
              <w:numPr>
                <w:ilvl w:val="0"/>
                <w:numId w:val="6"/>
              </w:numPr>
              <w:spacing w:line="259" w:lineRule="auto"/>
              <w:ind w:left="312"/>
              <w:jc w:val="both"/>
              <w:rPr>
                <w:sz w:val="20"/>
                <w:szCs w:val="20"/>
                <w:lang w:val="en-GB"/>
              </w:rPr>
            </w:pPr>
            <w:r w:rsidRPr="00B21FAC">
              <w:rPr>
                <w:sz w:val="20"/>
                <w:szCs w:val="20"/>
                <w:lang w:val="en-GB"/>
              </w:rPr>
              <w:t>Further lower social security contributions for low wages, financed by increases in less distortive taxes – OECD</w:t>
            </w:r>
          </w:p>
          <w:p w14:paraId="26524EDC" w14:textId="77777777" w:rsidR="00547BC0" w:rsidRPr="00B21FAC" w:rsidRDefault="00547BC0" w:rsidP="00BA7E3E">
            <w:pPr>
              <w:pStyle w:val="Lijstalinea"/>
              <w:numPr>
                <w:ilvl w:val="0"/>
                <w:numId w:val="6"/>
              </w:numPr>
              <w:spacing w:line="259" w:lineRule="auto"/>
              <w:ind w:left="312"/>
              <w:jc w:val="both"/>
              <w:rPr>
                <w:sz w:val="20"/>
                <w:szCs w:val="20"/>
              </w:rPr>
            </w:pPr>
            <w:r w:rsidRPr="00B21FAC">
              <w:rPr>
                <w:sz w:val="20"/>
                <w:szCs w:val="20"/>
              </w:rPr>
              <w:t>Vermijd regelgeving waardoor een al te hoge marginale belastingdruk ontstaat door overlappende afbouwmechanismes – HRF</w:t>
            </w:r>
          </w:p>
          <w:p w14:paraId="3EA807B1" w14:textId="77777777" w:rsidR="00547BC0" w:rsidRPr="00B21FAC" w:rsidRDefault="00547BC0" w:rsidP="00BA7E3E">
            <w:pPr>
              <w:pStyle w:val="Lijstalinea"/>
              <w:numPr>
                <w:ilvl w:val="0"/>
                <w:numId w:val="6"/>
              </w:numPr>
              <w:spacing w:line="259" w:lineRule="auto"/>
              <w:ind w:left="312"/>
              <w:jc w:val="both"/>
              <w:rPr>
                <w:sz w:val="20"/>
                <w:szCs w:val="20"/>
              </w:rPr>
            </w:pPr>
            <w:r w:rsidRPr="00B21FAC">
              <w:rPr>
                <w:sz w:val="20"/>
                <w:szCs w:val="20"/>
              </w:rPr>
              <w:t>Verlaag het tarief en/of verbreed de belastingschalen zodat de belastingdruk op inkomsten uit arbeid daalt – HRF</w:t>
            </w:r>
          </w:p>
          <w:p w14:paraId="4F3BECDD" w14:textId="77777777" w:rsidR="00547BC0" w:rsidRPr="00B21FAC" w:rsidRDefault="00547BC0" w:rsidP="00BA7E3E">
            <w:pPr>
              <w:pStyle w:val="Lijstalinea"/>
              <w:numPr>
                <w:ilvl w:val="0"/>
                <w:numId w:val="6"/>
              </w:numPr>
              <w:spacing w:line="259" w:lineRule="auto"/>
              <w:ind w:left="312"/>
              <w:jc w:val="both"/>
              <w:rPr>
                <w:sz w:val="20"/>
                <w:szCs w:val="20"/>
              </w:rPr>
            </w:pPr>
            <w:r w:rsidRPr="00B21FAC">
              <w:rPr>
                <w:sz w:val="20"/>
                <w:szCs w:val="20"/>
              </w:rPr>
              <w:t>We zetten in op een verdere verlaging van de lasten op arbeid (zowel voor werknemers, ambtenaren als zelfstandigen, waarbij ook rekening moet gehouden worden met de parafiscale lasten) - REGEERAKKOORD</w:t>
            </w:r>
          </w:p>
          <w:p w14:paraId="49D32C50" w14:textId="7FAE28B9" w:rsidR="00292C2D" w:rsidRPr="00B21FAC" w:rsidRDefault="001C09D2" w:rsidP="00BA7E3E">
            <w:pPr>
              <w:pStyle w:val="Lijstalinea"/>
              <w:numPr>
                <w:ilvl w:val="0"/>
                <w:numId w:val="6"/>
              </w:numPr>
              <w:autoSpaceDE w:val="0"/>
              <w:autoSpaceDN w:val="0"/>
              <w:adjustRightInd w:val="0"/>
              <w:spacing w:line="259" w:lineRule="auto"/>
              <w:ind w:left="315" w:hanging="315"/>
              <w:jc w:val="both"/>
              <w:rPr>
                <w:rFonts w:cstheme="minorHAnsi"/>
                <w:color w:val="000000"/>
                <w:sz w:val="20"/>
                <w:szCs w:val="20"/>
                <w:lang w:val="en-GB"/>
              </w:rPr>
            </w:pPr>
            <w:r w:rsidRPr="00B21FAC">
              <w:rPr>
                <w:rFonts w:cstheme="minorHAnsi"/>
                <w:color w:val="000000"/>
                <w:sz w:val="20"/>
                <w:szCs w:val="20"/>
                <w:lang w:val="en-GB"/>
              </w:rPr>
              <w:t xml:space="preserve">With taxation limits eroded and a shift of the burden to lower-wage earners, the system of special SSCs could be eliminated. Broadly speaking, social security contributions finance both earnings-linked and quasi-universal expenditures in Belgium, with the demarcation between taxes and the social-security system blurred. Thus, as a longer-term objective, the role and the weight of mandatory SSCs should be carefully analyzed. Consideration could be given to shifting the revenue-raising role of social contributions for quasi-universal outlays to other, less-distortive instruments, including a reformed and streamlined VAT. – IMF </w:t>
            </w:r>
          </w:p>
          <w:p w14:paraId="48FAB2C6" w14:textId="09F3A0E5" w:rsidR="00547BC0" w:rsidRPr="00B21FAC" w:rsidRDefault="00C67261" w:rsidP="00BA7E3E">
            <w:pPr>
              <w:pStyle w:val="Lijstalinea"/>
              <w:numPr>
                <w:ilvl w:val="0"/>
                <w:numId w:val="6"/>
              </w:numPr>
              <w:autoSpaceDE w:val="0"/>
              <w:autoSpaceDN w:val="0"/>
              <w:adjustRightInd w:val="0"/>
              <w:spacing w:line="259" w:lineRule="auto"/>
              <w:ind w:left="315" w:hanging="315"/>
              <w:jc w:val="both"/>
              <w:rPr>
                <w:rFonts w:cstheme="minorHAnsi"/>
                <w:color w:val="000000"/>
                <w:sz w:val="20"/>
                <w:szCs w:val="20"/>
                <w:lang w:val="en-GB"/>
              </w:rPr>
            </w:pPr>
            <w:r w:rsidRPr="00B21FAC">
              <w:rPr>
                <w:rFonts w:cstheme="minorHAnsi"/>
                <w:color w:val="000000"/>
                <w:sz w:val="20"/>
                <w:szCs w:val="20"/>
                <w:lang w:val="en-GB"/>
              </w:rPr>
              <w:t>Belgium’s PIT features an overly-narrow range of middle tax brackets, with the highest PIT rate starting at a relatively-low income threshold. To provide relief to low-to-middle income employees, broadening of the two middle bands could be considered, with the top marginal tax rate threshold starting to apply at a higher income level. Determination of the optimal brackets and the threshold of the top marginal tax rate should follow a thorough analysis and calibration of the Mirrlees-Saez model to fit the income distribution in Belgium and derive an optimal schedule of marginal tax rates. Ultimately, the marginal-rate structure will also reflect the authorities’ objectives for work-incentive improvements and fairness, as well as revenue constraints. - IMF</w:t>
            </w:r>
          </w:p>
          <w:p w14:paraId="36005124" w14:textId="6C999186" w:rsidR="00692013" w:rsidRDefault="00692013" w:rsidP="00BA7E3E">
            <w:pPr>
              <w:spacing w:line="259" w:lineRule="auto"/>
              <w:jc w:val="both"/>
              <w:rPr>
                <w:rFonts w:cstheme="minorHAnsi"/>
                <w:sz w:val="20"/>
                <w:szCs w:val="20"/>
                <w:lang w:val="en-GB"/>
              </w:rPr>
            </w:pPr>
          </w:p>
          <w:p w14:paraId="5A70B19F" w14:textId="77777777" w:rsidR="0042323C" w:rsidRDefault="0042323C" w:rsidP="00BA7E3E">
            <w:pPr>
              <w:spacing w:line="259" w:lineRule="auto"/>
              <w:jc w:val="both"/>
              <w:rPr>
                <w:rFonts w:cstheme="minorHAnsi"/>
                <w:sz w:val="20"/>
                <w:szCs w:val="20"/>
                <w:lang w:val="en-GB"/>
              </w:rPr>
            </w:pPr>
          </w:p>
          <w:p w14:paraId="30AE4353" w14:textId="77777777" w:rsidR="00692013" w:rsidRPr="00B21FAC" w:rsidRDefault="00692013" w:rsidP="00BA7E3E">
            <w:pPr>
              <w:spacing w:line="259" w:lineRule="auto"/>
              <w:jc w:val="both"/>
              <w:rPr>
                <w:rFonts w:cstheme="minorHAnsi"/>
                <w:sz w:val="20"/>
                <w:szCs w:val="20"/>
                <w:lang w:val="en-GB"/>
              </w:rPr>
            </w:pPr>
          </w:p>
          <w:p w14:paraId="19E6978B" w14:textId="0E799A54" w:rsidR="0042323C" w:rsidRPr="0042323C" w:rsidRDefault="00547BC0" w:rsidP="0042323C">
            <w:pPr>
              <w:pStyle w:val="Lijstalinea"/>
              <w:numPr>
                <w:ilvl w:val="0"/>
                <w:numId w:val="6"/>
              </w:numPr>
              <w:spacing w:line="259" w:lineRule="auto"/>
              <w:ind w:left="312"/>
              <w:jc w:val="both"/>
              <w:rPr>
                <w:sz w:val="20"/>
                <w:szCs w:val="20"/>
                <w:lang w:val="en-GB"/>
              </w:rPr>
            </w:pPr>
            <w:r w:rsidRPr="00B21FAC">
              <w:rPr>
                <w:sz w:val="20"/>
                <w:szCs w:val="20"/>
                <w:lang w:val="en-GB"/>
              </w:rPr>
              <w:t>Consider abolishing the favourable tax treatment of company cars or alternatively extend other options, such as greener vehicles – OECD</w:t>
            </w:r>
          </w:p>
          <w:p w14:paraId="5ACE1C93" w14:textId="77777777" w:rsidR="00547BC0" w:rsidRPr="00B21FAC" w:rsidRDefault="00547BC0" w:rsidP="00BA7E3E">
            <w:pPr>
              <w:pStyle w:val="Lijstalinea"/>
              <w:numPr>
                <w:ilvl w:val="0"/>
                <w:numId w:val="6"/>
              </w:numPr>
              <w:spacing w:line="259" w:lineRule="auto"/>
              <w:ind w:left="321"/>
              <w:jc w:val="both"/>
              <w:rPr>
                <w:sz w:val="20"/>
                <w:szCs w:val="20"/>
              </w:rPr>
            </w:pPr>
            <w:r w:rsidRPr="00B21FAC">
              <w:rPr>
                <w:color w:val="3A393B"/>
                <w:sz w:val="20"/>
                <w:szCs w:val="20"/>
              </w:rPr>
              <w:t>Met betrekking tot de personenbelasting streeft de regering naar een vereenvoudiging waarbij aftrekposten, belastingverminderingen en uitzonderingsregimes zo veel mogelijk uitdoven en waarbij we een geleidelijke verschuiving organiseren van alternatieve verloningsvormen richting verloning in euro’s - REGEERAKKOORD</w:t>
            </w:r>
          </w:p>
          <w:p w14:paraId="5376E226" w14:textId="111103E2" w:rsidR="00547BC0" w:rsidRPr="00B21FAC" w:rsidRDefault="00547BC0" w:rsidP="00BA7E3E">
            <w:pPr>
              <w:pStyle w:val="Lijstalinea"/>
              <w:numPr>
                <w:ilvl w:val="0"/>
                <w:numId w:val="6"/>
              </w:numPr>
              <w:spacing w:line="259" w:lineRule="auto"/>
              <w:ind w:left="321"/>
              <w:jc w:val="both"/>
              <w:rPr>
                <w:sz w:val="20"/>
                <w:szCs w:val="20"/>
              </w:rPr>
            </w:pPr>
            <w:r w:rsidRPr="00B21FAC">
              <w:rPr>
                <w:sz w:val="20"/>
                <w:szCs w:val="20"/>
              </w:rPr>
              <w:t xml:space="preserve">De regering hervormt de huidige fiscale en parafiscale voordelen van beroepssporters en sportclubs met het oog op meer billijkheid, waarbij gegarandeerd wordt dat iedereen een eerlijke bijdrage levert, afhankelijk van de draagkracht van de sport. Tevens zal de controle op de sportmakelaars versterkt worden. </w:t>
            </w:r>
            <w:r w:rsidR="004B0C46" w:rsidRPr="00B21FAC">
              <w:rPr>
                <w:sz w:val="20"/>
                <w:szCs w:val="20"/>
              </w:rPr>
              <w:t>–</w:t>
            </w:r>
            <w:r w:rsidRPr="00B21FAC">
              <w:rPr>
                <w:sz w:val="20"/>
                <w:szCs w:val="20"/>
              </w:rPr>
              <w:t xml:space="preserve"> REGEERAKKOORD</w:t>
            </w:r>
          </w:p>
          <w:p w14:paraId="0CAEE9B9" w14:textId="7333C254" w:rsidR="004B0C46" w:rsidRPr="00B21FAC" w:rsidRDefault="002C676D" w:rsidP="00BA7E3E">
            <w:pPr>
              <w:pStyle w:val="Lijstalinea"/>
              <w:numPr>
                <w:ilvl w:val="0"/>
                <w:numId w:val="6"/>
              </w:numPr>
              <w:spacing w:line="259" w:lineRule="auto"/>
              <w:ind w:left="315"/>
              <w:jc w:val="both"/>
              <w:rPr>
                <w:sz w:val="20"/>
                <w:szCs w:val="20"/>
                <w:lang w:val="en-GB"/>
              </w:rPr>
            </w:pPr>
            <w:r w:rsidRPr="00B21FAC">
              <w:rPr>
                <w:sz w:val="20"/>
                <w:szCs w:val="20"/>
                <w:lang w:val="en-GB"/>
              </w:rPr>
              <w:t xml:space="preserve">Additional revenue needed to compensate the lowering of the labor burden may be generated from the PIT itself. Reduction and eventual elimination of tax expenditures, including sectoral preferential treatment (e.g., actors, athletes, flexi-jobs, hospitality), as well as tax advantages that benefit high-income earners and their employers (e.g., deductions for private-pension savings), have significant revenue potential. Further, the importance of “monetization” of in-kind benefits, with gradual conversion to equivalent cash benefits to be taxed within the standard tax system could not be overemphasized. Indeed, with reforms that reduce the labor tax burden—at significant fiscal cost—the existence of extra-wage benefits cannot be justified. The agreement to amend and “green” the company car regime is an important first step, the complete elimination of this benefit should remain a longer-term objective. – IMF </w:t>
            </w:r>
          </w:p>
          <w:p w14:paraId="302B1855" w14:textId="44CD2270" w:rsidR="004B0C46" w:rsidRPr="00B21FAC" w:rsidRDefault="004B0C46" w:rsidP="00BA7E3E">
            <w:pPr>
              <w:spacing w:line="259" w:lineRule="auto"/>
              <w:jc w:val="both"/>
              <w:rPr>
                <w:lang w:val="en-GB"/>
              </w:rPr>
            </w:pPr>
          </w:p>
        </w:tc>
      </w:tr>
      <w:tr w:rsidR="00547BC0" w:rsidRPr="00562ABA" w14:paraId="4BA9134E" w14:textId="77777777" w:rsidTr="00CE45C5">
        <w:trPr>
          <w:trHeight w:val="1878"/>
        </w:trPr>
        <w:tc>
          <w:tcPr>
            <w:tcW w:w="5671" w:type="dxa"/>
          </w:tcPr>
          <w:p w14:paraId="485FF05F" w14:textId="5872B0C0" w:rsidR="00547BC0" w:rsidRPr="00B21FAC" w:rsidRDefault="00547BC0" w:rsidP="00BA7E3E">
            <w:pPr>
              <w:spacing w:line="259" w:lineRule="auto"/>
              <w:jc w:val="both"/>
              <w:rPr>
                <w:sz w:val="20"/>
                <w:szCs w:val="20"/>
              </w:rPr>
            </w:pPr>
            <w:r w:rsidRPr="00B21FAC">
              <w:rPr>
                <w:sz w:val="20"/>
                <w:szCs w:val="20"/>
              </w:rPr>
              <w:t xml:space="preserve">Een </w:t>
            </w:r>
            <w:r w:rsidRPr="00B21FAC">
              <w:rPr>
                <w:b/>
                <w:bCs/>
                <w:sz w:val="20"/>
                <w:szCs w:val="20"/>
              </w:rPr>
              <w:t>belasting op kapitaal</w:t>
            </w:r>
            <w:r w:rsidR="00315FD4">
              <w:rPr>
                <w:b/>
                <w:bCs/>
                <w:sz w:val="20"/>
                <w:szCs w:val="20"/>
              </w:rPr>
              <w:t>inkomen</w:t>
            </w:r>
            <w:r w:rsidRPr="00B21FAC">
              <w:rPr>
                <w:sz w:val="20"/>
                <w:szCs w:val="20"/>
              </w:rPr>
              <w:t xml:space="preserve"> verstoort de intertemporele neutraliteit</w:t>
            </w:r>
            <w:r w:rsidR="00337DFD">
              <w:rPr>
                <w:sz w:val="20"/>
                <w:szCs w:val="20"/>
              </w:rPr>
              <w:t xml:space="preserve"> door de verandering van de relatieve prijs van toekomstige versus huidige consumptie</w:t>
            </w:r>
            <w:r w:rsidRPr="00B21FAC">
              <w:rPr>
                <w:sz w:val="20"/>
                <w:szCs w:val="20"/>
              </w:rPr>
              <w:t>. Niettemin bestaan er toch efficiëntie-argumenten om kapitaal wel degelijk te belasten</w:t>
            </w:r>
            <w:r w:rsidR="005D4073">
              <w:rPr>
                <w:sz w:val="20"/>
                <w:szCs w:val="20"/>
              </w:rPr>
              <w:t>.</w:t>
            </w:r>
          </w:p>
          <w:p w14:paraId="318AA150" w14:textId="5A4CE11F" w:rsidR="00547BC0" w:rsidRPr="009A3FA9" w:rsidRDefault="00547BC0" w:rsidP="00BA7E3E">
            <w:pPr>
              <w:numPr>
                <w:ilvl w:val="0"/>
                <w:numId w:val="2"/>
              </w:numPr>
              <w:spacing w:line="259" w:lineRule="auto"/>
              <w:ind w:left="708"/>
              <w:jc w:val="both"/>
              <w:rPr>
                <w:sz w:val="20"/>
                <w:szCs w:val="20"/>
              </w:rPr>
            </w:pPr>
            <w:r w:rsidRPr="009A3FA9">
              <w:rPr>
                <w:sz w:val="20"/>
                <w:szCs w:val="20"/>
              </w:rPr>
              <w:t xml:space="preserve">Belasten van de zuivere economische rente is </w:t>
            </w:r>
            <w:r w:rsidR="001679F4" w:rsidRPr="009A3FA9">
              <w:rPr>
                <w:sz w:val="20"/>
                <w:szCs w:val="20"/>
              </w:rPr>
              <w:t>aangewezen</w:t>
            </w:r>
            <w:r w:rsidR="005D4073">
              <w:rPr>
                <w:sz w:val="20"/>
                <w:szCs w:val="20"/>
              </w:rPr>
              <w:t>;</w:t>
            </w:r>
            <w:r w:rsidR="001679F4" w:rsidRPr="009A3FA9">
              <w:rPr>
                <w:sz w:val="20"/>
                <w:szCs w:val="20"/>
              </w:rPr>
              <w:t xml:space="preserve"> </w:t>
            </w:r>
            <w:r w:rsidRPr="00303355">
              <w:rPr>
                <w:sz w:val="20"/>
                <w:szCs w:val="20"/>
                <w:u w:val="single"/>
              </w:rPr>
              <w:t>PM:</w:t>
            </w:r>
            <w:r w:rsidRPr="009A3FA9">
              <w:rPr>
                <w:sz w:val="20"/>
                <w:szCs w:val="20"/>
              </w:rPr>
              <w:t xml:space="preserve"> een onvolledige belasting op het totaal rendement is administratief eenvoudiger dan een belasting enkel op het zuiver economisch rendement</w:t>
            </w:r>
          </w:p>
          <w:p w14:paraId="76950DAD" w14:textId="57C60FB0" w:rsidR="000C42A7" w:rsidRPr="00B21FAC" w:rsidRDefault="00547BC0" w:rsidP="00BA7E3E">
            <w:pPr>
              <w:numPr>
                <w:ilvl w:val="0"/>
                <w:numId w:val="2"/>
              </w:numPr>
              <w:spacing w:line="259" w:lineRule="auto"/>
              <w:jc w:val="both"/>
              <w:rPr>
                <w:sz w:val="20"/>
                <w:szCs w:val="20"/>
              </w:rPr>
            </w:pPr>
            <w:r w:rsidRPr="00B21FAC">
              <w:rPr>
                <w:sz w:val="20"/>
                <w:szCs w:val="20"/>
              </w:rPr>
              <w:t>Compensatie voor ‘verstorende’ belasting op arbei</w:t>
            </w:r>
            <w:r w:rsidR="000C42A7" w:rsidRPr="00B21FAC">
              <w:rPr>
                <w:sz w:val="20"/>
                <w:szCs w:val="20"/>
                <w:lang w:val="nl-NL"/>
              </w:rPr>
              <w:t>d</w:t>
            </w:r>
            <w:r w:rsidR="005D4073">
              <w:rPr>
                <w:sz w:val="20"/>
                <w:szCs w:val="20"/>
                <w:lang w:val="nl-NL"/>
              </w:rPr>
              <w:t>;</w:t>
            </w:r>
          </w:p>
          <w:p w14:paraId="00CE352C" w14:textId="0515399C" w:rsidR="00547BC0" w:rsidRPr="00B21FAC" w:rsidRDefault="00FA277B" w:rsidP="00BA7E3E">
            <w:pPr>
              <w:numPr>
                <w:ilvl w:val="0"/>
                <w:numId w:val="2"/>
              </w:numPr>
              <w:spacing w:line="259" w:lineRule="auto"/>
              <w:jc w:val="both"/>
              <w:rPr>
                <w:sz w:val="20"/>
                <w:szCs w:val="20"/>
              </w:rPr>
            </w:pPr>
            <w:r w:rsidRPr="00B21FAC">
              <w:rPr>
                <w:sz w:val="20"/>
                <w:szCs w:val="20"/>
                <w:lang w:val="nl-NL"/>
              </w:rPr>
              <w:t>Belasten van de volatiele component van het kapitaalinkomen, met compensatie voor verliezen, vormt een verzekering voor de investeerder en ontmoedigt het nemen van risico’s niet.</w:t>
            </w:r>
          </w:p>
          <w:p w14:paraId="6BCBBA19" w14:textId="7300F792" w:rsidR="009D52F1" w:rsidRPr="00B21FAC" w:rsidRDefault="00547BC0" w:rsidP="00BA7E3E">
            <w:pPr>
              <w:spacing w:line="259" w:lineRule="auto"/>
              <w:jc w:val="both"/>
              <w:rPr>
                <w:sz w:val="20"/>
                <w:szCs w:val="20"/>
              </w:rPr>
            </w:pPr>
            <w:r w:rsidRPr="00B21FAC">
              <w:rPr>
                <w:sz w:val="20"/>
                <w:szCs w:val="20"/>
              </w:rPr>
              <w:t>I.g.v. een belasting op vermogen, moet rekening gehouden worden met een inflatiecorrectie.</w:t>
            </w:r>
          </w:p>
          <w:p w14:paraId="3B72A15A" w14:textId="57DD3CF5" w:rsidR="009D52F1" w:rsidRDefault="009D52F1" w:rsidP="00BA7E3E">
            <w:pPr>
              <w:spacing w:line="259" w:lineRule="auto"/>
              <w:jc w:val="both"/>
              <w:rPr>
                <w:sz w:val="20"/>
                <w:szCs w:val="20"/>
              </w:rPr>
            </w:pPr>
          </w:p>
          <w:p w14:paraId="5D786469" w14:textId="77777777" w:rsidR="001D48C4" w:rsidRPr="00B21FAC" w:rsidRDefault="001D48C4" w:rsidP="00BA7E3E">
            <w:pPr>
              <w:spacing w:line="259" w:lineRule="auto"/>
              <w:jc w:val="both"/>
              <w:rPr>
                <w:sz w:val="20"/>
                <w:szCs w:val="20"/>
              </w:rPr>
            </w:pPr>
          </w:p>
          <w:p w14:paraId="18EF0BD9" w14:textId="77777777" w:rsidR="00547BC0" w:rsidRPr="00B21FAC" w:rsidRDefault="00547BC0" w:rsidP="00BA7E3E">
            <w:pPr>
              <w:spacing w:line="259" w:lineRule="auto"/>
              <w:jc w:val="both"/>
              <w:rPr>
                <w:sz w:val="20"/>
                <w:szCs w:val="20"/>
              </w:rPr>
            </w:pPr>
            <w:r w:rsidRPr="00B21FAC">
              <w:rPr>
                <w:sz w:val="20"/>
                <w:szCs w:val="20"/>
              </w:rPr>
              <w:t>Bijkomende aandachtspunten:</w:t>
            </w:r>
          </w:p>
          <w:p w14:paraId="25A64B04" w14:textId="77777777" w:rsidR="00547BC0" w:rsidRPr="00B21FAC" w:rsidRDefault="00547BC0" w:rsidP="00BA7E3E">
            <w:pPr>
              <w:pStyle w:val="Lijstalinea"/>
              <w:numPr>
                <w:ilvl w:val="0"/>
                <w:numId w:val="5"/>
              </w:numPr>
              <w:spacing w:line="259" w:lineRule="auto"/>
              <w:jc w:val="both"/>
              <w:rPr>
                <w:sz w:val="20"/>
                <w:szCs w:val="20"/>
              </w:rPr>
            </w:pPr>
            <w:r w:rsidRPr="00B21FAC">
              <w:rPr>
                <w:sz w:val="20"/>
                <w:szCs w:val="20"/>
              </w:rPr>
              <w:t>In een optimaal belastingsysteem geldt een neutraliteit t.a.v. inkomens uit diverse financiële activa (gemeten via de METR). Hierbij moet rekening gehouden worden met verschillende belastingen op een bepaald activum.</w:t>
            </w:r>
          </w:p>
          <w:p w14:paraId="7798A15B" w14:textId="77777777" w:rsidR="00547BC0" w:rsidRPr="00B21FAC" w:rsidRDefault="00547BC0" w:rsidP="00BA7E3E">
            <w:pPr>
              <w:pStyle w:val="Lijstalinea"/>
              <w:numPr>
                <w:ilvl w:val="0"/>
                <w:numId w:val="5"/>
              </w:numPr>
              <w:spacing w:line="259" w:lineRule="auto"/>
              <w:jc w:val="both"/>
              <w:rPr>
                <w:sz w:val="20"/>
                <w:szCs w:val="20"/>
              </w:rPr>
            </w:pPr>
            <w:r w:rsidRPr="00B21FAC">
              <w:rPr>
                <w:sz w:val="20"/>
                <w:szCs w:val="20"/>
              </w:rPr>
              <w:t>Interferentie met de vennootschapsbelasting:</w:t>
            </w:r>
          </w:p>
          <w:p w14:paraId="35731626" w14:textId="77777777" w:rsidR="00547BC0" w:rsidRPr="00B21FAC" w:rsidRDefault="00547BC0" w:rsidP="00BA7E3E">
            <w:pPr>
              <w:numPr>
                <w:ilvl w:val="0"/>
                <w:numId w:val="3"/>
              </w:numPr>
              <w:spacing w:line="259" w:lineRule="auto"/>
              <w:jc w:val="both"/>
              <w:rPr>
                <w:sz w:val="20"/>
                <w:szCs w:val="20"/>
              </w:rPr>
            </w:pPr>
            <w:r w:rsidRPr="00B21FAC">
              <w:rPr>
                <w:sz w:val="20"/>
                <w:szCs w:val="20"/>
              </w:rPr>
              <w:t>Vennootschapsbelasting als ‘voorschot’ op de personenbelasting</w:t>
            </w:r>
          </w:p>
          <w:p w14:paraId="1B256D79" w14:textId="6892870E" w:rsidR="00547BC0" w:rsidRPr="00B21FAC" w:rsidRDefault="00547BC0" w:rsidP="00BA7E3E">
            <w:pPr>
              <w:numPr>
                <w:ilvl w:val="0"/>
                <w:numId w:val="3"/>
              </w:numPr>
              <w:spacing w:line="259" w:lineRule="auto"/>
              <w:jc w:val="both"/>
              <w:rPr>
                <w:sz w:val="20"/>
                <w:szCs w:val="20"/>
              </w:rPr>
            </w:pPr>
            <w:r w:rsidRPr="00B21FAC">
              <w:rPr>
                <w:sz w:val="20"/>
                <w:szCs w:val="20"/>
              </w:rPr>
              <w:t>Economische dubbele belasting te vermijden via belastingkredieten, verlaagde tarieven op dividendinkomsten en meerwaarden op aandelen</w:t>
            </w:r>
            <w:r w:rsidR="00984021">
              <w:rPr>
                <w:sz w:val="20"/>
                <w:szCs w:val="20"/>
              </w:rPr>
              <w:t>.</w:t>
            </w:r>
          </w:p>
          <w:p w14:paraId="05E5813E" w14:textId="39CA6FDA" w:rsidR="00547BC0" w:rsidRPr="00B21FAC" w:rsidRDefault="00547BC0" w:rsidP="00BA7E3E">
            <w:pPr>
              <w:pStyle w:val="Lijstalinea"/>
              <w:numPr>
                <w:ilvl w:val="0"/>
                <w:numId w:val="5"/>
              </w:numPr>
              <w:spacing w:line="259" w:lineRule="auto"/>
              <w:jc w:val="both"/>
              <w:rPr>
                <w:sz w:val="20"/>
                <w:szCs w:val="20"/>
              </w:rPr>
            </w:pPr>
            <w:r w:rsidRPr="00B21FAC">
              <w:rPr>
                <w:sz w:val="20"/>
                <w:szCs w:val="20"/>
              </w:rPr>
              <w:t>Prikkel om inkomsten uit arbeid aan te geven als kapitaalinkomsten. Dit moet maximaal vermeden worden (cf. ook debat rond de vervennootschappelijking)</w:t>
            </w:r>
            <w:r w:rsidR="00680D8B">
              <w:rPr>
                <w:sz w:val="20"/>
                <w:szCs w:val="20"/>
              </w:rPr>
              <w:t>.</w:t>
            </w:r>
          </w:p>
          <w:p w14:paraId="509BE989" w14:textId="77777777" w:rsidR="00547BC0" w:rsidRPr="00B21FAC" w:rsidRDefault="00547BC0" w:rsidP="00BA7E3E">
            <w:pPr>
              <w:spacing w:line="259" w:lineRule="auto"/>
              <w:jc w:val="both"/>
              <w:rPr>
                <w:sz w:val="20"/>
                <w:szCs w:val="20"/>
              </w:rPr>
            </w:pPr>
          </w:p>
        </w:tc>
        <w:tc>
          <w:tcPr>
            <w:tcW w:w="5387" w:type="dxa"/>
          </w:tcPr>
          <w:p w14:paraId="7F0438C9" w14:textId="780840D3" w:rsidR="00B15976" w:rsidRPr="009D5AC7" w:rsidRDefault="00B15976" w:rsidP="00B15976">
            <w:pPr>
              <w:autoSpaceDE w:val="0"/>
              <w:autoSpaceDN w:val="0"/>
              <w:adjustRightInd w:val="0"/>
              <w:jc w:val="both"/>
              <w:rPr>
                <w:rFonts w:cstheme="minorHAnsi"/>
                <w:color w:val="000000"/>
                <w:sz w:val="20"/>
                <w:szCs w:val="20"/>
              </w:rPr>
            </w:pPr>
          </w:p>
          <w:p w14:paraId="6FABD75C" w14:textId="2E71D63D" w:rsidR="00B15976" w:rsidRPr="009D5AC7" w:rsidRDefault="00B15976" w:rsidP="00B15976">
            <w:pPr>
              <w:autoSpaceDE w:val="0"/>
              <w:autoSpaceDN w:val="0"/>
              <w:adjustRightInd w:val="0"/>
              <w:jc w:val="both"/>
              <w:rPr>
                <w:rFonts w:cstheme="minorHAnsi"/>
                <w:color w:val="000000"/>
                <w:sz w:val="20"/>
                <w:szCs w:val="20"/>
              </w:rPr>
            </w:pPr>
          </w:p>
          <w:p w14:paraId="6034B8B3" w14:textId="619EA35C" w:rsidR="00B15976" w:rsidRPr="009D5AC7" w:rsidRDefault="00B15976" w:rsidP="00B15976">
            <w:pPr>
              <w:autoSpaceDE w:val="0"/>
              <w:autoSpaceDN w:val="0"/>
              <w:adjustRightInd w:val="0"/>
              <w:jc w:val="both"/>
              <w:rPr>
                <w:rFonts w:cstheme="minorHAnsi"/>
                <w:color w:val="000000"/>
                <w:sz w:val="20"/>
                <w:szCs w:val="20"/>
              </w:rPr>
            </w:pPr>
          </w:p>
          <w:p w14:paraId="1DEDF5B0" w14:textId="4CF71EAE" w:rsidR="00B15976" w:rsidRPr="009D5AC7" w:rsidRDefault="00B15976" w:rsidP="00B15976">
            <w:pPr>
              <w:autoSpaceDE w:val="0"/>
              <w:autoSpaceDN w:val="0"/>
              <w:adjustRightInd w:val="0"/>
              <w:jc w:val="both"/>
              <w:rPr>
                <w:rFonts w:cstheme="minorHAnsi"/>
                <w:color w:val="000000"/>
                <w:sz w:val="20"/>
                <w:szCs w:val="20"/>
              </w:rPr>
            </w:pPr>
          </w:p>
          <w:p w14:paraId="3F60C676" w14:textId="7EAA811E" w:rsidR="00B15976" w:rsidRPr="009D5AC7" w:rsidRDefault="00B15976" w:rsidP="00B15976">
            <w:pPr>
              <w:autoSpaceDE w:val="0"/>
              <w:autoSpaceDN w:val="0"/>
              <w:adjustRightInd w:val="0"/>
              <w:jc w:val="both"/>
              <w:rPr>
                <w:rFonts w:cstheme="minorHAnsi"/>
                <w:color w:val="000000"/>
                <w:sz w:val="20"/>
                <w:szCs w:val="20"/>
              </w:rPr>
            </w:pPr>
          </w:p>
          <w:p w14:paraId="6E285D72" w14:textId="1D95E0DE" w:rsidR="00B15976" w:rsidRPr="009D5AC7" w:rsidRDefault="00B15976" w:rsidP="00B15976">
            <w:pPr>
              <w:autoSpaceDE w:val="0"/>
              <w:autoSpaceDN w:val="0"/>
              <w:adjustRightInd w:val="0"/>
              <w:jc w:val="both"/>
              <w:rPr>
                <w:rFonts w:cstheme="minorHAnsi"/>
                <w:color w:val="000000"/>
                <w:sz w:val="20"/>
                <w:szCs w:val="20"/>
              </w:rPr>
            </w:pPr>
          </w:p>
          <w:p w14:paraId="19E06145" w14:textId="50004585" w:rsidR="00B15976" w:rsidRPr="009D5AC7" w:rsidRDefault="00B15976" w:rsidP="00B15976">
            <w:pPr>
              <w:autoSpaceDE w:val="0"/>
              <w:autoSpaceDN w:val="0"/>
              <w:adjustRightInd w:val="0"/>
              <w:jc w:val="both"/>
              <w:rPr>
                <w:rFonts w:cstheme="minorHAnsi"/>
                <w:color w:val="000000"/>
                <w:sz w:val="20"/>
                <w:szCs w:val="20"/>
              </w:rPr>
            </w:pPr>
          </w:p>
          <w:p w14:paraId="3577D4A9" w14:textId="51262CF6" w:rsidR="00B15976" w:rsidRPr="009D5AC7" w:rsidRDefault="00B15976" w:rsidP="00B15976">
            <w:pPr>
              <w:autoSpaceDE w:val="0"/>
              <w:autoSpaceDN w:val="0"/>
              <w:adjustRightInd w:val="0"/>
              <w:jc w:val="both"/>
              <w:rPr>
                <w:rFonts w:cstheme="minorHAnsi"/>
                <w:color w:val="000000"/>
                <w:sz w:val="20"/>
                <w:szCs w:val="20"/>
              </w:rPr>
            </w:pPr>
          </w:p>
          <w:p w14:paraId="4097C3D7" w14:textId="1940ED38" w:rsidR="00B15976" w:rsidRPr="009D5AC7" w:rsidRDefault="00B15976" w:rsidP="00B15976">
            <w:pPr>
              <w:autoSpaceDE w:val="0"/>
              <w:autoSpaceDN w:val="0"/>
              <w:adjustRightInd w:val="0"/>
              <w:jc w:val="both"/>
              <w:rPr>
                <w:rFonts w:cstheme="minorHAnsi"/>
                <w:color w:val="000000"/>
                <w:sz w:val="20"/>
                <w:szCs w:val="20"/>
              </w:rPr>
            </w:pPr>
          </w:p>
          <w:p w14:paraId="6AD93636" w14:textId="2A01B0A7" w:rsidR="00B15976" w:rsidRPr="009D5AC7" w:rsidRDefault="00B15976" w:rsidP="00B15976">
            <w:pPr>
              <w:autoSpaceDE w:val="0"/>
              <w:autoSpaceDN w:val="0"/>
              <w:adjustRightInd w:val="0"/>
              <w:jc w:val="both"/>
              <w:rPr>
                <w:rFonts w:cstheme="minorHAnsi"/>
                <w:color w:val="000000"/>
                <w:sz w:val="20"/>
                <w:szCs w:val="20"/>
              </w:rPr>
            </w:pPr>
          </w:p>
          <w:p w14:paraId="1DE2B409" w14:textId="1D218E0B" w:rsidR="00B15976" w:rsidRPr="009D5AC7" w:rsidRDefault="00B15976" w:rsidP="00B15976">
            <w:pPr>
              <w:autoSpaceDE w:val="0"/>
              <w:autoSpaceDN w:val="0"/>
              <w:adjustRightInd w:val="0"/>
              <w:jc w:val="both"/>
              <w:rPr>
                <w:rFonts w:cstheme="minorHAnsi"/>
                <w:color w:val="000000"/>
                <w:sz w:val="20"/>
                <w:szCs w:val="20"/>
              </w:rPr>
            </w:pPr>
          </w:p>
          <w:p w14:paraId="2B530E7E" w14:textId="2C5FD117" w:rsidR="00B15976" w:rsidRPr="009D5AC7" w:rsidRDefault="00B15976" w:rsidP="00B15976">
            <w:pPr>
              <w:autoSpaceDE w:val="0"/>
              <w:autoSpaceDN w:val="0"/>
              <w:adjustRightInd w:val="0"/>
              <w:jc w:val="both"/>
              <w:rPr>
                <w:rFonts w:cstheme="minorHAnsi"/>
                <w:color w:val="000000"/>
                <w:sz w:val="20"/>
                <w:szCs w:val="20"/>
              </w:rPr>
            </w:pPr>
          </w:p>
          <w:p w14:paraId="72E5269C" w14:textId="5C0724E8" w:rsidR="00B15976" w:rsidRPr="009D5AC7" w:rsidRDefault="00B15976" w:rsidP="00B15976">
            <w:pPr>
              <w:autoSpaceDE w:val="0"/>
              <w:autoSpaceDN w:val="0"/>
              <w:adjustRightInd w:val="0"/>
              <w:jc w:val="both"/>
              <w:rPr>
                <w:rFonts w:cstheme="minorHAnsi"/>
                <w:color w:val="000000"/>
                <w:sz w:val="20"/>
                <w:szCs w:val="20"/>
              </w:rPr>
            </w:pPr>
          </w:p>
          <w:p w14:paraId="191FCA66" w14:textId="73A47707" w:rsidR="00B15976" w:rsidRPr="009D5AC7" w:rsidRDefault="00B15976" w:rsidP="00B15976">
            <w:pPr>
              <w:autoSpaceDE w:val="0"/>
              <w:autoSpaceDN w:val="0"/>
              <w:adjustRightInd w:val="0"/>
              <w:jc w:val="both"/>
              <w:rPr>
                <w:rFonts w:cstheme="minorHAnsi"/>
                <w:color w:val="000000"/>
                <w:sz w:val="20"/>
                <w:szCs w:val="20"/>
              </w:rPr>
            </w:pPr>
          </w:p>
          <w:p w14:paraId="07774ECB" w14:textId="07166FFB" w:rsidR="00B15976" w:rsidRPr="009D5AC7" w:rsidRDefault="00B15976" w:rsidP="00B15976">
            <w:pPr>
              <w:autoSpaceDE w:val="0"/>
              <w:autoSpaceDN w:val="0"/>
              <w:adjustRightInd w:val="0"/>
              <w:jc w:val="both"/>
              <w:rPr>
                <w:rFonts w:cstheme="minorHAnsi"/>
                <w:color w:val="000000"/>
                <w:sz w:val="20"/>
                <w:szCs w:val="20"/>
              </w:rPr>
            </w:pPr>
          </w:p>
          <w:p w14:paraId="02D2A670" w14:textId="6647B748" w:rsidR="00B15976" w:rsidRPr="009D5AC7" w:rsidRDefault="00B15976" w:rsidP="00B15976">
            <w:pPr>
              <w:autoSpaceDE w:val="0"/>
              <w:autoSpaceDN w:val="0"/>
              <w:adjustRightInd w:val="0"/>
              <w:jc w:val="both"/>
              <w:rPr>
                <w:rFonts w:cstheme="minorHAnsi"/>
                <w:color w:val="000000"/>
                <w:sz w:val="20"/>
                <w:szCs w:val="20"/>
              </w:rPr>
            </w:pPr>
          </w:p>
          <w:p w14:paraId="684F1F85" w14:textId="3E792468" w:rsidR="00B15976" w:rsidRPr="009D5AC7" w:rsidRDefault="00B15976" w:rsidP="00B15976">
            <w:pPr>
              <w:autoSpaceDE w:val="0"/>
              <w:autoSpaceDN w:val="0"/>
              <w:adjustRightInd w:val="0"/>
              <w:jc w:val="both"/>
              <w:rPr>
                <w:rFonts w:cstheme="minorHAnsi"/>
                <w:color w:val="000000"/>
                <w:sz w:val="20"/>
                <w:szCs w:val="20"/>
              </w:rPr>
            </w:pPr>
          </w:p>
          <w:p w14:paraId="4876839F" w14:textId="05A43C70" w:rsidR="00B15976" w:rsidRPr="009D5AC7" w:rsidRDefault="00B15976" w:rsidP="00B15976">
            <w:pPr>
              <w:autoSpaceDE w:val="0"/>
              <w:autoSpaceDN w:val="0"/>
              <w:adjustRightInd w:val="0"/>
              <w:jc w:val="both"/>
              <w:rPr>
                <w:rFonts w:cstheme="minorHAnsi"/>
                <w:color w:val="000000"/>
                <w:sz w:val="20"/>
                <w:szCs w:val="20"/>
              </w:rPr>
            </w:pPr>
          </w:p>
          <w:p w14:paraId="08AF47B8" w14:textId="475F05B5" w:rsidR="00B15976" w:rsidRPr="009D5AC7" w:rsidRDefault="00B15976" w:rsidP="00B15976">
            <w:pPr>
              <w:autoSpaceDE w:val="0"/>
              <w:autoSpaceDN w:val="0"/>
              <w:adjustRightInd w:val="0"/>
              <w:jc w:val="both"/>
              <w:rPr>
                <w:rFonts w:cstheme="minorHAnsi"/>
                <w:color w:val="000000"/>
                <w:sz w:val="20"/>
                <w:szCs w:val="20"/>
              </w:rPr>
            </w:pPr>
          </w:p>
          <w:p w14:paraId="04EF24CB" w14:textId="77777777" w:rsidR="009F577E" w:rsidRPr="009D5AC7" w:rsidRDefault="009F577E" w:rsidP="00B15976">
            <w:pPr>
              <w:autoSpaceDE w:val="0"/>
              <w:autoSpaceDN w:val="0"/>
              <w:adjustRightInd w:val="0"/>
              <w:jc w:val="both"/>
              <w:rPr>
                <w:rFonts w:cstheme="minorHAnsi"/>
                <w:color w:val="000000"/>
                <w:sz w:val="20"/>
                <w:szCs w:val="20"/>
              </w:rPr>
            </w:pPr>
          </w:p>
          <w:p w14:paraId="2DB100F7" w14:textId="5CC27BB0" w:rsidR="00547BC0" w:rsidRPr="00B15976" w:rsidRDefault="002854CD" w:rsidP="00BA7E3E">
            <w:pPr>
              <w:pStyle w:val="Lijstalinea"/>
              <w:numPr>
                <w:ilvl w:val="0"/>
                <w:numId w:val="6"/>
              </w:numPr>
              <w:autoSpaceDE w:val="0"/>
              <w:autoSpaceDN w:val="0"/>
              <w:adjustRightInd w:val="0"/>
              <w:spacing w:line="259" w:lineRule="auto"/>
              <w:ind w:left="315"/>
              <w:jc w:val="both"/>
              <w:rPr>
                <w:rFonts w:cstheme="minorHAnsi"/>
                <w:color w:val="000000"/>
                <w:sz w:val="20"/>
                <w:szCs w:val="20"/>
                <w:lang w:val="en-GB"/>
              </w:rPr>
            </w:pPr>
            <w:r w:rsidRPr="00B21FAC">
              <w:rPr>
                <w:rFonts w:cstheme="minorHAnsi"/>
                <w:color w:val="000000"/>
                <w:sz w:val="20"/>
                <w:szCs w:val="20"/>
                <w:lang w:val="en-GB"/>
              </w:rPr>
              <w:t xml:space="preserve">Introduction of a capital-gains tax should be considered a priority to address non-neutrality and reduce tax arbitrage opportunities. More generally, in reforming the income tax system, consideration could be given to the “Nordic model” of dual income taxation, which, combines a relatively low, flat tax rate applied on all forms of capital income with progressive taxation applied to all forms of labor income. If well-implemented, the dual income tax system could restore horizontal equity and eliminate distortions. For example, applying the same schedules for taxable business income and salary income would eliminate differences in average tax burdens between entrepreneurship and salaried employment thus eliminating tax planning opportunities. </w:t>
            </w:r>
            <w:r w:rsidR="00E402F3" w:rsidRPr="00B21FAC">
              <w:rPr>
                <w:rFonts w:cstheme="minorHAnsi"/>
                <w:color w:val="000000"/>
                <w:sz w:val="20"/>
                <w:szCs w:val="20"/>
                <w:lang w:val="en-GB"/>
              </w:rPr>
              <w:t xml:space="preserve">– IMF </w:t>
            </w:r>
          </w:p>
          <w:p w14:paraId="25566CDB" w14:textId="14C1E2EE" w:rsidR="00227E7E" w:rsidRDefault="00547BC0" w:rsidP="00227E7E">
            <w:pPr>
              <w:pStyle w:val="Lijstalinea"/>
              <w:numPr>
                <w:ilvl w:val="0"/>
                <w:numId w:val="6"/>
              </w:numPr>
              <w:spacing w:line="259" w:lineRule="auto"/>
              <w:ind w:left="321"/>
              <w:jc w:val="both"/>
              <w:rPr>
                <w:sz w:val="20"/>
                <w:szCs w:val="20"/>
                <w:lang w:val="en-GB"/>
              </w:rPr>
            </w:pPr>
            <w:r w:rsidRPr="00B21FAC">
              <w:rPr>
                <w:sz w:val="20"/>
                <w:szCs w:val="20"/>
                <w:lang w:val="en-GB"/>
              </w:rPr>
              <w:t xml:space="preserve">Ensure the neutrality of taxation of different sources of income of financial assets – OECD </w:t>
            </w:r>
          </w:p>
          <w:p w14:paraId="6D2B78D6" w14:textId="7073866B" w:rsidR="007A16C1" w:rsidRPr="007A16C1" w:rsidRDefault="007A16C1" w:rsidP="007A16C1">
            <w:pPr>
              <w:pStyle w:val="Lijstalinea"/>
              <w:numPr>
                <w:ilvl w:val="0"/>
                <w:numId w:val="6"/>
              </w:numPr>
              <w:spacing w:line="259" w:lineRule="auto"/>
              <w:ind w:left="321"/>
              <w:jc w:val="both"/>
              <w:rPr>
                <w:sz w:val="20"/>
                <w:szCs w:val="20"/>
                <w:lang w:val="en-US"/>
              </w:rPr>
            </w:pPr>
            <w:r w:rsidRPr="00916041">
              <w:rPr>
                <w:sz w:val="20"/>
                <w:szCs w:val="20"/>
                <w:lang w:val="en-GB"/>
              </w:rPr>
              <w:t>Consider introducing a progressive tax rate schedule for taxation of all types of capital, as part of the properly prepared broad tax reform.</w:t>
            </w:r>
            <w:r>
              <w:rPr>
                <w:sz w:val="20"/>
                <w:szCs w:val="20"/>
                <w:lang w:val="en-GB"/>
              </w:rPr>
              <w:t xml:space="preserve"> - OECD</w:t>
            </w:r>
          </w:p>
          <w:p w14:paraId="5BF964C3" w14:textId="7AC521E5" w:rsidR="00227E7E" w:rsidRPr="00227E7E" w:rsidRDefault="00227E7E" w:rsidP="00227E7E">
            <w:pPr>
              <w:pStyle w:val="Lijstalinea"/>
              <w:numPr>
                <w:ilvl w:val="0"/>
                <w:numId w:val="6"/>
              </w:numPr>
              <w:spacing w:line="259" w:lineRule="auto"/>
              <w:ind w:left="321"/>
              <w:jc w:val="both"/>
              <w:rPr>
                <w:sz w:val="20"/>
                <w:szCs w:val="20"/>
                <w:lang w:val="en-GB"/>
              </w:rPr>
            </w:pPr>
            <w:r w:rsidRPr="00227E7E">
              <w:rPr>
                <w:sz w:val="20"/>
                <w:szCs w:val="20"/>
                <w:lang w:val="en-US"/>
              </w:rPr>
              <w:t>Some features of the tax system distort investment choices and lead to overinvestment in certain assets.</w:t>
            </w:r>
            <w:r w:rsidRPr="00227E7E">
              <w:rPr>
                <w:b/>
                <w:bCs/>
                <w:sz w:val="20"/>
                <w:szCs w:val="20"/>
                <w:lang w:val="en-US"/>
              </w:rPr>
              <w:t xml:space="preserve"> </w:t>
            </w:r>
            <w:r w:rsidRPr="00227E7E">
              <w:rPr>
                <w:sz w:val="20"/>
                <w:szCs w:val="20"/>
                <w:lang w:val="en-US"/>
              </w:rPr>
              <w:t>Taxation of immovable property is a case in point, since rents are undertaxed and interest on housing loans for secondary residences are tax-deductible. In Wallonia, homeowners continue to benefit from favourable tax treatment for their mortgage payments (‘</w:t>
            </w:r>
            <w:r w:rsidRPr="00227E7E">
              <w:rPr>
                <w:i/>
                <w:iCs/>
                <w:sz w:val="20"/>
                <w:szCs w:val="20"/>
                <w:lang w:val="en-US"/>
              </w:rPr>
              <w:t>chèque habitat</w:t>
            </w:r>
            <w:r w:rsidRPr="00227E7E">
              <w:rPr>
                <w:sz w:val="20"/>
                <w:szCs w:val="20"/>
                <w:lang w:val="en-US"/>
              </w:rPr>
              <w:t xml:space="preserve">’). Moreover, some features of the tax framework, including the tax incentive for savings and the rigid design of the tax rules applying to long-term savings and pension schemes, create obstacles to a better allocation of capital. The tax on securities accounts also acts as a disincentive to invest in financial instruments. – </w:t>
            </w:r>
            <w:r>
              <w:rPr>
                <w:sz w:val="20"/>
                <w:szCs w:val="20"/>
                <w:lang w:val="en-US"/>
              </w:rPr>
              <w:t>EUROPESE COMMISSIE</w:t>
            </w:r>
          </w:p>
          <w:p w14:paraId="6CDF400D" w14:textId="77777777" w:rsidR="00547BC0" w:rsidRPr="00227E7E" w:rsidRDefault="00547BC0" w:rsidP="00BA7E3E">
            <w:pPr>
              <w:spacing w:line="259" w:lineRule="auto"/>
              <w:jc w:val="both"/>
              <w:rPr>
                <w:sz w:val="20"/>
                <w:szCs w:val="20"/>
                <w:lang w:val="en-US"/>
              </w:rPr>
            </w:pPr>
          </w:p>
        </w:tc>
      </w:tr>
      <w:tr w:rsidR="00547BC0" w:rsidRPr="00562ABA" w14:paraId="1415968E" w14:textId="77777777" w:rsidTr="00CE45C5">
        <w:trPr>
          <w:trHeight w:val="1119"/>
        </w:trPr>
        <w:tc>
          <w:tcPr>
            <w:tcW w:w="5671" w:type="dxa"/>
          </w:tcPr>
          <w:p w14:paraId="3056766C" w14:textId="3AA53C6C" w:rsidR="00547BC0" w:rsidRPr="00B21FAC" w:rsidRDefault="00547BC0" w:rsidP="00BA7E3E">
            <w:pPr>
              <w:spacing w:line="259" w:lineRule="auto"/>
              <w:jc w:val="both"/>
              <w:rPr>
                <w:sz w:val="20"/>
                <w:szCs w:val="20"/>
              </w:rPr>
            </w:pPr>
            <w:r w:rsidRPr="00B21FAC">
              <w:rPr>
                <w:sz w:val="20"/>
                <w:szCs w:val="20"/>
              </w:rPr>
              <w:t xml:space="preserve">Vanuit efficiëntieoogpunt is het individu de meest voor </w:t>
            </w:r>
            <w:r w:rsidR="00EF5998">
              <w:rPr>
                <w:sz w:val="20"/>
                <w:szCs w:val="20"/>
              </w:rPr>
              <w:t xml:space="preserve">de </w:t>
            </w:r>
            <w:r w:rsidRPr="00B21FAC">
              <w:rPr>
                <w:sz w:val="20"/>
                <w:szCs w:val="20"/>
              </w:rPr>
              <w:t xml:space="preserve">hand liggende </w:t>
            </w:r>
            <w:r w:rsidRPr="00B21FAC">
              <w:rPr>
                <w:b/>
                <w:bCs/>
                <w:sz w:val="20"/>
                <w:szCs w:val="20"/>
              </w:rPr>
              <w:t>belastbare éénheid</w:t>
            </w:r>
            <w:r w:rsidRPr="00B21FAC">
              <w:rPr>
                <w:sz w:val="20"/>
                <w:szCs w:val="20"/>
              </w:rPr>
              <w:t xml:space="preserve">. De prikkel om al dan niet te werken hangt immers best niet af van de gezinssituatie of </w:t>
            </w:r>
            <w:r w:rsidR="00984021">
              <w:rPr>
                <w:sz w:val="20"/>
                <w:szCs w:val="20"/>
              </w:rPr>
              <w:t xml:space="preserve">de </w:t>
            </w:r>
            <w:r w:rsidRPr="00B21FAC">
              <w:rPr>
                <w:sz w:val="20"/>
                <w:szCs w:val="20"/>
              </w:rPr>
              <w:t xml:space="preserve">samenlevingsvorm waarin het individu zich bevindt. </w:t>
            </w:r>
          </w:p>
        </w:tc>
        <w:tc>
          <w:tcPr>
            <w:tcW w:w="5387" w:type="dxa"/>
          </w:tcPr>
          <w:p w14:paraId="6FC9BF96" w14:textId="77777777" w:rsidR="00B84BE6" w:rsidRDefault="00547BC0" w:rsidP="00B84BE6">
            <w:pPr>
              <w:pStyle w:val="Lijstalinea"/>
              <w:numPr>
                <w:ilvl w:val="0"/>
                <w:numId w:val="6"/>
              </w:numPr>
              <w:ind w:left="315"/>
              <w:jc w:val="both"/>
              <w:rPr>
                <w:sz w:val="20"/>
                <w:szCs w:val="20"/>
              </w:rPr>
            </w:pPr>
            <w:r w:rsidRPr="00B84BE6">
              <w:rPr>
                <w:sz w:val="20"/>
                <w:szCs w:val="20"/>
              </w:rPr>
              <w:t xml:space="preserve">Bevorder de fiscale neutraliteit tussen de samenlevingsvormen </w:t>
            </w:r>
            <w:r w:rsidR="0001672C" w:rsidRPr="00B84BE6">
              <w:rPr>
                <w:sz w:val="20"/>
                <w:szCs w:val="20"/>
              </w:rPr>
              <w:t>–</w:t>
            </w:r>
            <w:r w:rsidRPr="00B84BE6">
              <w:rPr>
                <w:sz w:val="20"/>
                <w:szCs w:val="20"/>
              </w:rPr>
              <w:t xml:space="preserve"> HRF</w:t>
            </w:r>
          </w:p>
          <w:p w14:paraId="0009D3F9" w14:textId="23B848B3" w:rsidR="0001672C" w:rsidRPr="009D5AC7" w:rsidRDefault="00587374" w:rsidP="00B84BE6">
            <w:pPr>
              <w:pStyle w:val="Lijstalinea"/>
              <w:numPr>
                <w:ilvl w:val="0"/>
                <w:numId w:val="6"/>
              </w:numPr>
              <w:ind w:left="315"/>
              <w:jc w:val="both"/>
              <w:rPr>
                <w:sz w:val="20"/>
                <w:szCs w:val="20"/>
                <w:lang w:val="en-GB"/>
              </w:rPr>
            </w:pPr>
            <w:r w:rsidRPr="00B84BE6">
              <w:rPr>
                <w:rFonts w:cstheme="minorHAnsi"/>
                <w:color w:val="000000"/>
                <w:sz w:val="20"/>
                <w:szCs w:val="20"/>
                <w:lang w:val="en-GB"/>
              </w:rPr>
              <w:t xml:space="preserve">While preference could continue to be given to an income tax system based on individual income, consideration should be given to lowering the tax disadvantage for second earners by reforming (and ultimately eliminating) the marital quotient. Not only does it disproportionally reward upper-income taxpayers, the quotient disincentives employment of certain groups of women, contrary to the government’s objective of increasing employment. </w:t>
            </w:r>
            <w:r w:rsidR="00F108E2" w:rsidRPr="00B84BE6">
              <w:rPr>
                <w:rFonts w:cstheme="minorHAnsi"/>
                <w:color w:val="000000"/>
                <w:sz w:val="20"/>
                <w:szCs w:val="20"/>
                <w:lang w:val="en-GB"/>
              </w:rPr>
              <w:t xml:space="preserve">– IMF </w:t>
            </w:r>
          </w:p>
        </w:tc>
      </w:tr>
      <w:tr w:rsidR="00547BC0" w:rsidRPr="00F20357" w14:paraId="124EA4AB" w14:textId="77777777" w:rsidTr="00CE45C5">
        <w:trPr>
          <w:trHeight w:val="5640"/>
        </w:trPr>
        <w:tc>
          <w:tcPr>
            <w:tcW w:w="5671" w:type="dxa"/>
          </w:tcPr>
          <w:p w14:paraId="1B3D87AD" w14:textId="0A648E23" w:rsidR="00547BC0" w:rsidRPr="00B21FAC" w:rsidRDefault="00547BC0" w:rsidP="00BA7E3E">
            <w:pPr>
              <w:spacing w:line="259" w:lineRule="auto"/>
              <w:jc w:val="both"/>
              <w:rPr>
                <w:sz w:val="20"/>
                <w:szCs w:val="20"/>
              </w:rPr>
            </w:pPr>
            <w:r w:rsidRPr="00B21FAC">
              <w:rPr>
                <w:sz w:val="20"/>
                <w:szCs w:val="20"/>
              </w:rPr>
              <w:t xml:space="preserve">Onverminderd eventuele gewenste </w:t>
            </w:r>
            <w:r w:rsidRPr="00B21FAC">
              <w:rPr>
                <w:b/>
                <w:bCs/>
                <w:sz w:val="20"/>
                <w:szCs w:val="20"/>
              </w:rPr>
              <w:t>neveneffecten</w:t>
            </w:r>
            <w:r w:rsidR="00A91995">
              <w:rPr>
                <w:b/>
                <w:bCs/>
                <w:sz w:val="20"/>
                <w:szCs w:val="20"/>
              </w:rPr>
              <w:t xml:space="preserve"> </w:t>
            </w:r>
            <w:r w:rsidR="00A91995" w:rsidRPr="00BA7E3E">
              <w:rPr>
                <w:sz w:val="20"/>
                <w:szCs w:val="20"/>
              </w:rPr>
              <w:t>(waarbij eveneens moet worden</w:t>
            </w:r>
            <w:r w:rsidR="004A2E8C" w:rsidRPr="00BA7E3E">
              <w:rPr>
                <w:sz w:val="20"/>
                <w:szCs w:val="20"/>
              </w:rPr>
              <w:t xml:space="preserve"> nagegaan of er ter realisatie van de vooropgestelde beleidsdoelstelling niet be</w:t>
            </w:r>
            <w:r w:rsidR="00EB2DF0">
              <w:rPr>
                <w:sz w:val="20"/>
                <w:szCs w:val="20"/>
              </w:rPr>
              <w:t>t</w:t>
            </w:r>
            <w:r w:rsidR="004A2E8C" w:rsidRPr="00BA7E3E">
              <w:rPr>
                <w:sz w:val="20"/>
                <w:szCs w:val="20"/>
              </w:rPr>
              <w:t>er andere dan fiscale instrumenten worden ingezet)</w:t>
            </w:r>
            <w:r w:rsidRPr="00B21FAC">
              <w:rPr>
                <w:sz w:val="20"/>
                <w:szCs w:val="20"/>
              </w:rPr>
              <w:t>:</w:t>
            </w:r>
          </w:p>
          <w:p w14:paraId="228AC0EC" w14:textId="1FBF5D32" w:rsidR="00547BC0" w:rsidRPr="00B21FAC" w:rsidRDefault="00547BC0" w:rsidP="00BA7E3E">
            <w:pPr>
              <w:numPr>
                <w:ilvl w:val="0"/>
                <w:numId w:val="1"/>
              </w:numPr>
              <w:spacing w:line="259" w:lineRule="auto"/>
              <w:jc w:val="both"/>
              <w:rPr>
                <w:sz w:val="20"/>
                <w:szCs w:val="20"/>
              </w:rPr>
            </w:pPr>
            <w:r w:rsidRPr="00B21FAC">
              <w:rPr>
                <w:sz w:val="20"/>
                <w:szCs w:val="20"/>
              </w:rPr>
              <w:t xml:space="preserve">langetermijnsparen </w:t>
            </w:r>
          </w:p>
          <w:p w14:paraId="4017F387" w14:textId="0B6706B5" w:rsidR="00547BC0" w:rsidRPr="00B21FAC" w:rsidRDefault="00547BC0" w:rsidP="00BA7E3E">
            <w:pPr>
              <w:spacing w:line="259" w:lineRule="auto"/>
              <w:ind w:left="720"/>
              <w:jc w:val="both"/>
              <w:rPr>
                <w:sz w:val="20"/>
                <w:szCs w:val="20"/>
              </w:rPr>
            </w:pPr>
            <w:r w:rsidRPr="00B21FAC">
              <w:rPr>
                <w:sz w:val="20"/>
                <w:szCs w:val="20"/>
              </w:rPr>
              <w:t>PM: Fiscale stimuli om huizenbezit aan te moedigen worden in grote mate gekapitaliseerd in de huisprijzen</w:t>
            </w:r>
            <w:r w:rsidR="00A92C0B">
              <w:rPr>
                <w:sz w:val="20"/>
                <w:szCs w:val="20"/>
              </w:rPr>
              <w:t>.</w:t>
            </w:r>
            <w:r w:rsidRPr="00B21FAC">
              <w:rPr>
                <w:sz w:val="20"/>
                <w:szCs w:val="20"/>
              </w:rPr>
              <w:t xml:space="preserve"> </w:t>
            </w:r>
          </w:p>
          <w:p w14:paraId="2941B40F" w14:textId="58A56FBA" w:rsidR="00727535" w:rsidRPr="00B21FAC" w:rsidRDefault="00727535" w:rsidP="00BA7E3E">
            <w:pPr>
              <w:spacing w:line="259" w:lineRule="auto"/>
              <w:jc w:val="both"/>
              <w:rPr>
                <w:sz w:val="20"/>
                <w:szCs w:val="20"/>
              </w:rPr>
            </w:pPr>
          </w:p>
          <w:p w14:paraId="5DBC08F6" w14:textId="11B0AFC5" w:rsidR="00727535" w:rsidRPr="00B21FAC" w:rsidRDefault="00727535" w:rsidP="00BA7E3E">
            <w:pPr>
              <w:spacing w:line="259" w:lineRule="auto"/>
              <w:jc w:val="both"/>
              <w:rPr>
                <w:sz w:val="20"/>
                <w:szCs w:val="20"/>
              </w:rPr>
            </w:pPr>
          </w:p>
          <w:p w14:paraId="4253C958" w14:textId="23601853" w:rsidR="00727535" w:rsidRPr="00B21FAC" w:rsidRDefault="00727535" w:rsidP="00BA7E3E">
            <w:pPr>
              <w:spacing w:line="259" w:lineRule="auto"/>
              <w:jc w:val="both"/>
              <w:rPr>
                <w:sz w:val="20"/>
                <w:szCs w:val="20"/>
              </w:rPr>
            </w:pPr>
          </w:p>
          <w:p w14:paraId="3891FC73" w14:textId="538E8884" w:rsidR="00727535" w:rsidRPr="00B21FAC" w:rsidRDefault="00727535" w:rsidP="00BA7E3E">
            <w:pPr>
              <w:spacing w:line="259" w:lineRule="auto"/>
              <w:jc w:val="both"/>
              <w:rPr>
                <w:sz w:val="20"/>
                <w:szCs w:val="20"/>
              </w:rPr>
            </w:pPr>
          </w:p>
          <w:p w14:paraId="1E180766" w14:textId="1AE0868F" w:rsidR="00727535" w:rsidRPr="00B21FAC" w:rsidRDefault="00727535" w:rsidP="00BA7E3E">
            <w:pPr>
              <w:spacing w:line="259" w:lineRule="auto"/>
              <w:jc w:val="both"/>
              <w:rPr>
                <w:sz w:val="20"/>
                <w:szCs w:val="20"/>
              </w:rPr>
            </w:pPr>
          </w:p>
          <w:p w14:paraId="3296DFC3" w14:textId="6112FE13" w:rsidR="00727535" w:rsidRPr="00B21FAC" w:rsidRDefault="00727535" w:rsidP="00BA7E3E">
            <w:pPr>
              <w:spacing w:line="259" w:lineRule="auto"/>
              <w:jc w:val="both"/>
              <w:rPr>
                <w:sz w:val="20"/>
                <w:szCs w:val="20"/>
              </w:rPr>
            </w:pPr>
          </w:p>
          <w:p w14:paraId="575066B8" w14:textId="112175D8" w:rsidR="00C1218F" w:rsidRDefault="00C1218F" w:rsidP="00BA7E3E">
            <w:pPr>
              <w:spacing w:line="259" w:lineRule="auto"/>
              <w:jc w:val="both"/>
              <w:rPr>
                <w:sz w:val="20"/>
                <w:szCs w:val="20"/>
              </w:rPr>
            </w:pPr>
          </w:p>
          <w:p w14:paraId="4BB292DF" w14:textId="12831EFD" w:rsidR="00C1218F" w:rsidRDefault="00C1218F" w:rsidP="00BA7E3E">
            <w:pPr>
              <w:spacing w:line="259" w:lineRule="auto"/>
              <w:jc w:val="both"/>
              <w:rPr>
                <w:sz w:val="20"/>
                <w:szCs w:val="20"/>
              </w:rPr>
            </w:pPr>
          </w:p>
          <w:p w14:paraId="4B488482" w14:textId="77777777" w:rsidR="00C1218F" w:rsidRPr="00B21FAC" w:rsidRDefault="00C1218F" w:rsidP="00BA7E3E">
            <w:pPr>
              <w:spacing w:line="259" w:lineRule="auto"/>
              <w:jc w:val="both"/>
              <w:rPr>
                <w:sz w:val="20"/>
                <w:szCs w:val="20"/>
              </w:rPr>
            </w:pPr>
          </w:p>
          <w:p w14:paraId="0CE7DFE8" w14:textId="77777777" w:rsidR="00727535" w:rsidRPr="00B21FAC" w:rsidRDefault="00727535" w:rsidP="00BA7E3E">
            <w:pPr>
              <w:spacing w:line="259" w:lineRule="auto"/>
              <w:jc w:val="both"/>
              <w:rPr>
                <w:sz w:val="20"/>
                <w:szCs w:val="20"/>
              </w:rPr>
            </w:pPr>
          </w:p>
          <w:p w14:paraId="71E65B0E" w14:textId="77777777" w:rsidR="00547BC0" w:rsidRPr="00B21FAC" w:rsidRDefault="00547BC0" w:rsidP="00BA7E3E">
            <w:pPr>
              <w:numPr>
                <w:ilvl w:val="0"/>
                <w:numId w:val="1"/>
              </w:numPr>
              <w:spacing w:line="259" w:lineRule="auto"/>
              <w:jc w:val="both"/>
              <w:rPr>
                <w:sz w:val="20"/>
                <w:szCs w:val="20"/>
              </w:rPr>
            </w:pPr>
            <w:r w:rsidRPr="00B21FAC">
              <w:rPr>
                <w:sz w:val="20"/>
                <w:szCs w:val="20"/>
              </w:rPr>
              <w:t xml:space="preserve">milieuvervuiling en congestie </w:t>
            </w:r>
          </w:p>
          <w:p w14:paraId="2C9AB8E5" w14:textId="0A79026F" w:rsidR="00547BC0" w:rsidRPr="00B21FAC" w:rsidRDefault="00547BC0" w:rsidP="00BA7E3E">
            <w:pPr>
              <w:spacing w:line="259" w:lineRule="auto"/>
              <w:jc w:val="both"/>
              <w:rPr>
                <w:sz w:val="20"/>
                <w:szCs w:val="20"/>
              </w:rPr>
            </w:pPr>
            <w:r w:rsidRPr="00B21FAC">
              <w:rPr>
                <w:sz w:val="20"/>
                <w:szCs w:val="20"/>
              </w:rPr>
              <w:t xml:space="preserve">meest efficiënt om rechtstreeks te belasten, minstens via indirecte consumptiebelasting </w:t>
            </w:r>
          </w:p>
          <w:p w14:paraId="46B3EA74" w14:textId="4652EEC2" w:rsidR="00547BC0" w:rsidRPr="00B21FAC" w:rsidRDefault="00547BC0" w:rsidP="00BA7E3E">
            <w:pPr>
              <w:numPr>
                <w:ilvl w:val="1"/>
                <w:numId w:val="1"/>
              </w:numPr>
              <w:spacing w:line="259" w:lineRule="auto"/>
              <w:jc w:val="both"/>
              <w:rPr>
                <w:sz w:val="20"/>
                <w:szCs w:val="20"/>
              </w:rPr>
            </w:pPr>
            <w:r w:rsidRPr="00B21FAC">
              <w:rPr>
                <w:sz w:val="20"/>
                <w:szCs w:val="20"/>
              </w:rPr>
              <w:t>milieubelastingen hebben doorgaans een regressief karakter en kunnen ook de concurrentiepositie verzwakken – dus best gecoördineerd op internationaal niveau</w:t>
            </w:r>
            <w:r w:rsidR="00A92C0B">
              <w:rPr>
                <w:sz w:val="20"/>
                <w:szCs w:val="20"/>
              </w:rPr>
              <w:t>.</w:t>
            </w:r>
          </w:p>
          <w:p w14:paraId="7F3645FE" w14:textId="4B151041" w:rsidR="00547BC0" w:rsidRPr="00B21FAC" w:rsidRDefault="00547BC0" w:rsidP="00BA7E3E">
            <w:pPr>
              <w:spacing w:line="259" w:lineRule="auto"/>
              <w:jc w:val="both"/>
              <w:rPr>
                <w:sz w:val="20"/>
                <w:szCs w:val="20"/>
              </w:rPr>
            </w:pPr>
          </w:p>
          <w:p w14:paraId="021D6AE7" w14:textId="3D9AD8DD" w:rsidR="004B778F" w:rsidRPr="00B21FAC" w:rsidRDefault="004B778F" w:rsidP="00BA7E3E">
            <w:pPr>
              <w:spacing w:line="259" w:lineRule="auto"/>
              <w:jc w:val="both"/>
              <w:rPr>
                <w:sz w:val="20"/>
                <w:szCs w:val="20"/>
              </w:rPr>
            </w:pPr>
          </w:p>
          <w:p w14:paraId="787E71EC" w14:textId="25E56133" w:rsidR="004B778F" w:rsidRPr="00B21FAC" w:rsidRDefault="004B778F" w:rsidP="00BA7E3E">
            <w:pPr>
              <w:spacing w:line="259" w:lineRule="auto"/>
              <w:jc w:val="both"/>
              <w:rPr>
                <w:sz w:val="20"/>
                <w:szCs w:val="20"/>
              </w:rPr>
            </w:pPr>
          </w:p>
          <w:p w14:paraId="6BCE9BBF" w14:textId="7039CD65" w:rsidR="004B778F" w:rsidRPr="00B21FAC" w:rsidRDefault="004B778F" w:rsidP="00BA7E3E">
            <w:pPr>
              <w:spacing w:line="259" w:lineRule="auto"/>
              <w:jc w:val="both"/>
              <w:rPr>
                <w:sz w:val="20"/>
                <w:szCs w:val="20"/>
              </w:rPr>
            </w:pPr>
          </w:p>
          <w:p w14:paraId="748981D1" w14:textId="5A461EF1" w:rsidR="004B778F" w:rsidRPr="00B21FAC" w:rsidRDefault="004B778F" w:rsidP="00BA7E3E">
            <w:pPr>
              <w:spacing w:line="259" w:lineRule="auto"/>
              <w:jc w:val="both"/>
              <w:rPr>
                <w:sz w:val="20"/>
                <w:szCs w:val="20"/>
              </w:rPr>
            </w:pPr>
          </w:p>
          <w:p w14:paraId="4F1DF2AB" w14:textId="4AF37245" w:rsidR="004B778F" w:rsidRPr="00B21FAC" w:rsidRDefault="004B778F" w:rsidP="00BA7E3E">
            <w:pPr>
              <w:spacing w:line="259" w:lineRule="auto"/>
              <w:jc w:val="both"/>
              <w:rPr>
                <w:sz w:val="20"/>
                <w:szCs w:val="20"/>
              </w:rPr>
            </w:pPr>
          </w:p>
          <w:p w14:paraId="7873AD56" w14:textId="08CDA825" w:rsidR="004B778F" w:rsidRPr="00B21FAC" w:rsidRDefault="004B778F" w:rsidP="00BA7E3E">
            <w:pPr>
              <w:spacing w:line="259" w:lineRule="auto"/>
              <w:jc w:val="both"/>
              <w:rPr>
                <w:sz w:val="20"/>
                <w:szCs w:val="20"/>
              </w:rPr>
            </w:pPr>
          </w:p>
          <w:p w14:paraId="54B83622" w14:textId="3A019403" w:rsidR="004B778F" w:rsidRPr="00B21FAC" w:rsidRDefault="004B778F" w:rsidP="00BA7E3E">
            <w:pPr>
              <w:spacing w:line="259" w:lineRule="auto"/>
              <w:jc w:val="both"/>
              <w:rPr>
                <w:sz w:val="20"/>
                <w:szCs w:val="20"/>
              </w:rPr>
            </w:pPr>
          </w:p>
          <w:p w14:paraId="699812E0" w14:textId="2F2BD05C" w:rsidR="004B778F" w:rsidRPr="00B21FAC" w:rsidRDefault="004B778F" w:rsidP="00BA7E3E">
            <w:pPr>
              <w:spacing w:line="259" w:lineRule="auto"/>
              <w:jc w:val="both"/>
              <w:rPr>
                <w:sz w:val="20"/>
                <w:szCs w:val="20"/>
              </w:rPr>
            </w:pPr>
          </w:p>
          <w:p w14:paraId="3EE51E95" w14:textId="76D306B4" w:rsidR="007E2C13" w:rsidRPr="00B21FAC" w:rsidRDefault="007E2C13" w:rsidP="00BA7E3E">
            <w:pPr>
              <w:spacing w:line="259" w:lineRule="auto"/>
              <w:jc w:val="both"/>
              <w:rPr>
                <w:sz w:val="20"/>
                <w:szCs w:val="20"/>
              </w:rPr>
            </w:pPr>
          </w:p>
          <w:p w14:paraId="18B519A9" w14:textId="76A61C04" w:rsidR="007E2C13" w:rsidRPr="00B21FAC" w:rsidRDefault="007E2C13" w:rsidP="00BA7E3E">
            <w:pPr>
              <w:spacing w:line="259" w:lineRule="auto"/>
              <w:jc w:val="both"/>
              <w:rPr>
                <w:sz w:val="20"/>
                <w:szCs w:val="20"/>
              </w:rPr>
            </w:pPr>
          </w:p>
          <w:p w14:paraId="5D8DCB6C" w14:textId="23C1E5BF" w:rsidR="007E2C13" w:rsidRPr="00B21FAC" w:rsidRDefault="007E2C13" w:rsidP="00BA7E3E">
            <w:pPr>
              <w:spacing w:line="259" w:lineRule="auto"/>
              <w:jc w:val="both"/>
              <w:rPr>
                <w:sz w:val="20"/>
                <w:szCs w:val="20"/>
              </w:rPr>
            </w:pPr>
          </w:p>
          <w:p w14:paraId="60979F5C" w14:textId="33C9777F" w:rsidR="007E2C13" w:rsidRPr="00B21FAC" w:rsidRDefault="007E2C13" w:rsidP="00BA7E3E">
            <w:pPr>
              <w:spacing w:line="259" w:lineRule="auto"/>
              <w:jc w:val="both"/>
              <w:rPr>
                <w:sz w:val="20"/>
                <w:szCs w:val="20"/>
              </w:rPr>
            </w:pPr>
          </w:p>
          <w:p w14:paraId="52FA0C44" w14:textId="5DB57155" w:rsidR="007E2C13" w:rsidRPr="00B21FAC" w:rsidRDefault="007E2C13" w:rsidP="00BA7E3E">
            <w:pPr>
              <w:spacing w:line="259" w:lineRule="auto"/>
              <w:jc w:val="both"/>
              <w:rPr>
                <w:sz w:val="20"/>
                <w:szCs w:val="20"/>
              </w:rPr>
            </w:pPr>
          </w:p>
          <w:p w14:paraId="14C9A18C" w14:textId="16473F45" w:rsidR="007E2C13" w:rsidRPr="00B21FAC" w:rsidRDefault="007E2C13" w:rsidP="00BA7E3E">
            <w:pPr>
              <w:spacing w:line="259" w:lineRule="auto"/>
              <w:jc w:val="both"/>
              <w:rPr>
                <w:sz w:val="20"/>
                <w:szCs w:val="20"/>
              </w:rPr>
            </w:pPr>
          </w:p>
          <w:p w14:paraId="4652F183" w14:textId="77081850" w:rsidR="007E2C13" w:rsidRPr="00B21FAC" w:rsidRDefault="007E2C13" w:rsidP="00BA7E3E">
            <w:pPr>
              <w:spacing w:line="259" w:lineRule="auto"/>
              <w:jc w:val="both"/>
              <w:rPr>
                <w:sz w:val="20"/>
                <w:szCs w:val="20"/>
              </w:rPr>
            </w:pPr>
          </w:p>
          <w:p w14:paraId="0C999A38" w14:textId="7BBE1235" w:rsidR="007E2C13" w:rsidRPr="00B21FAC" w:rsidRDefault="007E2C13" w:rsidP="00BA7E3E">
            <w:pPr>
              <w:spacing w:line="259" w:lineRule="auto"/>
              <w:jc w:val="both"/>
              <w:rPr>
                <w:sz w:val="20"/>
                <w:szCs w:val="20"/>
              </w:rPr>
            </w:pPr>
          </w:p>
          <w:p w14:paraId="45CD807A" w14:textId="77C6A0A8" w:rsidR="007E2C13" w:rsidRPr="00B21FAC" w:rsidRDefault="007E2C13" w:rsidP="00BA7E3E">
            <w:pPr>
              <w:spacing w:line="259" w:lineRule="auto"/>
              <w:jc w:val="both"/>
              <w:rPr>
                <w:sz w:val="20"/>
                <w:szCs w:val="20"/>
              </w:rPr>
            </w:pPr>
          </w:p>
          <w:p w14:paraId="1A0E5328" w14:textId="3298DE67" w:rsidR="007E2C13" w:rsidRPr="00B21FAC" w:rsidRDefault="007E2C13" w:rsidP="00BA7E3E">
            <w:pPr>
              <w:spacing w:line="259" w:lineRule="auto"/>
              <w:jc w:val="both"/>
              <w:rPr>
                <w:sz w:val="20"/>
                <w:szCs w:val="20"/>
              </w:rPr>
            </w:pPr>
          </w:p>
          <w:p w14:paraId="2D98EA17" w14:textId="58200ADC" w:rsidR="007E2C13" w:rsidRPr="00B21FAC" w:rsidRDefault="007E2C13" w:rsidP="00BA7E3E">
            <w:pPr>
              <w:spacing w:line="259" w:lineRule="auto"/>
              <w:jc w:val="both"/>
              <w:rPr>
                <w:sz w:val="20"/>
                <w:szCs w:val="20"/>
              </w:rPr>
            </w:pPr>
          </w:p>
          <w:p w14:paraId="604D8644" w14:textId="1924D192" w:rsidR="00D77187" w:rsidRPr="00B21FAC" w:rsidRDefault="00D77187" w:rsidP="00BA7E3E">
            <w:pPr>
              <w:spacing w:line="259" w:lineRule="auto"/>
              <w:jc w:val="both"/>
              <w:rPr>
                <w:sz w:val="20"/>
                <w:szCs w:val="20"/>
              </w:rPr>
            </w:pPr>
          </w:p>
          <w:p w14:paraId="348892F9" w14:textId="767B387D" w:rsidR="00D77187" w:rsidRPr="00B21FAC" w:rsidRDefault="00D77187" w:rsidP="00BA7E3E">
            <w:pPr>
              <w:spacing w:line="259" w:lineRule="auto"/>
              <w:jc w:val="both"/>
              <w:rPr>
                <w:sz w:val="20"/>
                <w:szCs w:val="20"/>
              </w:rPr>
            </w:pPr>
          </w:p>
          <w:p w14:paraId="70331209" w14:textId="7247E292" w:rsidR="00D77187" w:rsidRPr="00B21FAC" w:rsidRDefault="00D77187" w:rsidP="00BA7E3E">
            <w:pPr>
              <w:spacing w:line="259" w:lineRule="auto"/>
              <w:jc w:val="both"/>
              <w:rPr>
                <w:sz w:val="20"/>
                <w:szCs w:val="20"/>
              </w:rPr>
            </w:pPr>
          </w:p>
          <w:p w14:paraId="4ACBEC41" w14:textId="0C336524" w:rsidR="00D77187" w:rsidRPr="00B21FAC" w:rsidRDefault="00D77187" w:rsidP="00BA7E3E">
            <w:pPr>
              <w:spacing w:line="259" w:lineRule="auto"/>
              <w:jc w:val="both"/>
              <w:rPr>
                <w:sz w:val="20"/>
                <w:szCs w:val="20"/>
              </w:rPr>
            </w:pPr>
          </w:p>
          <w:p w14:paraId="2ABBBC4B" w14:textId="7F335525" w:rsidR="00D77187" w:rsidRPr="00B21FAC" w:rsidRDefault="00D77187" w:rsidP="00BA7E3E">
            <w:pPr>
              <w:spacing w:line="259" w:lineRule="auto"/>
              <w:jc w:val="both"/>
              <w:rPr>
                <w:sz w:val="20"/>
                <w:szCs w:val="20"/>
              </w:rPr>
            </w:pPr>
          </w:p>
          <w:p w14:paraId="6F566CB7" w14:textId="6195A77B" w:rsidR="00D77187" w:rsidRPr="00B21FAC" w:rsidRDefault="00D77187" w:rsidP="00BA7E3E">
            <w:pPr>
              <w:spacing w:line="259" w:lineRule="auto"/>
              <w:jc w:val="both"/>
              <w:rPr>
                <w:sz w:val="20"/>
                <w:szCs w:val="20"/>
              </w:rPr>
            </w:pPr>
          </w:p>
          <w:p w14:paraId="45471564" w14:textId="530C72E5" w:rsidR="00D77187" w:rsidRPr="00B21FAC" w:rsidRDefault="00D77187" w:rsidP="00BA7E3E">
            <w:pPr>
              <w:spacing w:line="259" w:lineRule="auto"/>
              <w:jc w:val="both"/>
              <w:rPr>
                <w:sz w:val="20"/>
                <w:szCs w:val="20"/>
              </w:rPr>
            </w:pPr>
          </w:p>
          <w:p w14:paraId="1FA0A5AB" w14:textId="710048DD" w:rsidR="00D77187" w:rsidRPr="00B21FAC" w:rsidRDefault="00D77187" w:rsidP="00BA7E3E">
            <w:pPr>
              <w:spacing w:line="259" w:lineRule="auto"/>
              <w:jc w:val="both"/>
              <w:rPr>
                <w:sz w:val="20"/>
                <w:szCs w:val="20"/>
              </w:rPr>
            </w:pPr>
          </w:p>
          <w:p w14:paraId="32F84BE2" w14:textId="7A83F1D8" w:rsidR="00D77187" w:rsidRPr="00B21FAC" w:rsidRDefault="00D77187" w:rsidP="00BA7E3E">
            <w:pPr>
              <w:spacing w:line="259" w:lineRule="auto"/>
              <w:jc w:val="both"/>
              <w:rPr>
                <w:sz w:val="20"/>
                <w:szCs w:val="20"/>
              </w:rPr>
            </w:pPr>
          </w:p>
          <w:p w14:paraId="32E1D605" w14:textId="1CDC3CAF" w:rsidR="00D77187" w:rsidRPr="00B21FAC" w:rsidRDefault="00D77187" w:rsidP="00BA7E3E">
            <w:pPr>
              <w:spacing w:line="259" w:lineRule="auto"/>
              <w:jc w:val="both"/>
              <w:rPr>
                <w:sz w:val="20"/>
                <w:szCs w:val="20"/>
              </w:rPr>
            </w:pPr>
          </w:p>
          <w:p w14:paraId="4810C843" w14:textId="46DF7F24" w:rsidR="00D77187" w:rsidRPr="00B21FAC" w:rsidRDefault="00D77187" w:rsidP="00BA7E3E">
            <w:pPr>
              <w:spacing w:line="259" w:lineRule="auto"/>
              <w:jc w:val="both"/>
              <w:rPr>
                <w:sz w:val="20"/>
                <w:szCs w:val="20"/>
              </w:rPr>
            </w:pPr>
          </w:p>
          <w:p w14:paraId="071D68E4" w14:textId="0E4D9A05" w:rsidR="00D77187" w:rsidRPr="00B21FAC" w:rsidRDefault="00D77187" w:rsidP="00BA7E3E">
            <w:pPr>
              <w:spacing w:line="259" w:lineRule="auto"/>
              <w:jc w:val="both"/>
              <w:rPr>
                <w:sz w:val="20"/>
                <w:szCs w:val="20"/>
              </w:rPr>
            </w:pPr>
          </w:p>
          <w:p w14:paraId="521A6537" w14:textId="59A9E00C" w:rsidR="00D77187" w:rsidRPr="00B21FAC" w:rsidRDefault="00D77187" w:rsidP="00BA7E3E">
            <w:pPr>
              <w:spacing w:line="259" w:lineRule="auto"/>
              <w:jc w:val="both"/>
              <w:rPr>
                <w:sz w:val="20"/>
                <w:szCs w:val="20"/>
              </w:rPr>
            </w:pPr>
          </w:p>
          <w:p w14:paraId="650509DE" w14:textId="0D587DDE" w:rsidR="00D77187" w:rsidRPr="00B21FAC" w:rsidRDefault="00D77187" w:rsidP="00BA7E3E">
            <w:pPr>
              <w:spacing w:line="259" w:lineRule="auto"/>
              <w:jc w:val="both"/>
              <w:rPr>
                <w:sz w:val="20"/>
                <w:szCs w:val="20"/>
              </w:rPr>
            </w:pPr>
          </w:p>
          <w:p w14:paraId="16E15690" w14:textId="77777777" w:rsidR="00D77187" w:rsidRPr="00B21FAC" w:rsidRDefault="00D77187" w:rsidP="00BA7E3E">
            <w:pPr>
              <w:spacing w:line="259" w:lineRule="auto"/>
              <w:jc w:val="both"/>
              <w:rPr>
                <w:sz w:val="20"/>
                <w:szCs w:val="20"/>
              </w:rPr>
            </w:pPr>
          </w:p>
          <w:p w14:paraId="1ECF973E" w14:textId="1CE9D9E7" w:rsidR="007E2C13" w:rsidRPr="00B21FAC" w:rsidRDefault="007E2C13" w:rsidP="00BA7E3E">
            <w:pPr>
              <w:spacing w:line="259" w:lineRule="auto"/>
              <w:jc w:val="both"/>
              <w:rPr>
                <w:sz w:val="20"/>
                <w:szCs w:val="20"/>
              </w:rPr>
            </w:pPr>
          </w:p>
          <w:p w14:paraId="5259251E" w14:textId="40F1E490" w:rsidR="007E2C13" w:rsidRPr="00B21FAC" w:rsidRDefault="007E2C13" w:rsidP="00BA7E3E">
            <w:pPr>
              <w:spacing w:line="259" w:lineRule="auto"/>
              <w:jc w:val="both"/>
              <w:rPr>
                <w:sz w:val="20"/>
                <w:szCs w:val="20"/>
              </w:rPr>
            </w:pPr>
          </w:p>
          <w:p w14:paraId="1ADA3B09" w14:textId="77777777" w:rsidR="007E2C13" w:rsidRPr="00B21FAC" w:rsidRDefault="007E2C13" w:rsidP="00BA7E3E">
            <w:pPr>
              <w:spacing w:line="259" w:lineRule="auto"/>
              <w:jc w:val="both"/>
              <w:rPr>
                <w:sz w:val="20"/>
                <w:szCs w:val="20"/>
              </w:rPr>
            </w:pPr>
          </w:p>
          <w:p w14:paraId="7D724EE5" w14:textId="79470EDC" w:rsidR="004B778F" w:rsidRPr="00B21FAC" w:rsidRDefault="004B778F" w:rsidP="00BA7E3E">
            <w:pPr>
              <w:spacing w:line="259" w:lineRule="auto"/>
              <w:jc w:val="both"/>
              <w:rPr>
                <w:sz w:val="20"/>
                <w:szCs w:val="20"/>
              </w:rPr>
            </w:pPr>
          </w:p>
          <w:p w14:paraId="3611F7CC" w14:textId="6A5C19E9" w:rsidR="000A03CA" w:rsidRPr="00B21FAC" w:rsidRDefault="000A03CA" w:rsidP="00BA7E3E">
            <w:pPr>
              <w:spacing w:line="259" w:lineRule="auto"/>
              <w:jc w:val="both"/>
              <w:rPr>
                <w:sz w:val="20"/>
                <w:szCs w:val="20"/>
              </w:rPr>
            </w:pPr>
          </w:p>
          <w:p w14:paraId="6A5AE073" w14:textId="3B618FB1" w:rsidR="000A03CA" w:rsidRPr="00B21FAC" w:rsidRDefault="000A03CA" w:rsidP="00BA7E3E">
            <w:pPr>
              <w:spacing w:line="259" w:lineRule="auto"/>
              <w:jc w:val="both"/>
              <w:rPr>
                <w:sz w:val="20"/>
                <w:szCs w:val="20"/>
              </w:rPr>
            </w:pPr>
          </w:p>
          <w:p w14:paraId="28D25311" w14:textId="27C97DE2" w:rsidR="000A03CA" w:rsidRPr="00B21FAC" w:rsidRDefault="000A03CA" w:rsidP="00BA7E3E">
            <w:pPr>
              <w:spacing w:line="259" w:lineRule="auto"/>
              <w:jc w:val="both"/>
              <w:rPr>
                <w:sz w:val="20"/>
                <w:szCs w:val="20"/>
              </w:rPr>
            </w:pPr>
          </w:p>
          <w:p w14:paraId="77EEFE3F" w14:textId="269CAB1A" w:rsidR="000A03CA" w:rsidRPr="00B21FAC" w:rsidRDefault="000A03CA" w:rsidP="00BA7E3E">
            <w:pPr>
              <w:spacing w:line="259" w:lineRule="auto"/>
              <w:jc w:val="both"/>
              <w:rPr>
                <w:sz w:val="20"/>
                <w:szCs w:val="20"/>
              </w:rPr>
            </w:pPr>
          </w:p>
          <w:p w14:paraId="635CD3CB" w14:textId="7B35FA4B" w:rsidR="000A03CA" w:rsidRPr="00B21FAC" w:rsidRDefault="000A03CA" w:rsidP="00BA7E3E">
            <w:pPr>
              <w:spacing w:line="259" w:lineRule="auto"/>
              <w:jc w:val="both"/>
              <w:rPr>
                <w:sz w:val="20"/>
                <w:szCs w:val="20"/>
              </w:rPr>
            </w:pPr>
          </w:p>
          <w:p w14:paraId="60D0107F" w14:textId="2915BEB7" w:rsidR="000A03CA" w:rsidRPr="00B21FAC" w:rsidRDefault="000A03CA" w:rsidP="00BA7E3E">
            <w:pPr>
              <w:spacing w:line="259" w:lineRule="auto"/>
              <w:jc w:val="both"/>
              <w:rPr>
                <w:sz w:val="20"/>
                <w:szCs w:val="20"/>
              </w:rPr>
            </w:pPr>
          </w:p>
          <w:p w14:paraId="42423F82" w14:textId="028B2D94" w:rsidR="000A03CA" w:rsidRPr="00B21FAC" w:rsidRDefault="000A03CA" w:rsidP="00BA7E3E">
            <w:pPr>
              <w:spacing w:line="259" w:lineRule="auto"/>
              <w:jc w:val="both"/>
              <w:rPr>
                <w:sz w:val="20"/>
                <w:szCs w:val="20"/>
              </w:rPr>
            </w:pPr>
          </w:p>
          <w:p w14:paraId="306047F4" w14:textId="78B53687" w:rsidR="000A03CA" w:rsidRPr="00B21FAC" w:rsidRDefault="000A03CA" w:rsidP="00BA7E3E">
            <w:pPr>
              <w:spacing w:line="259" w:lineRule="auto"/>
              <w:jc w:val="both"/>
              <w:rPr>
                <w:sz w:val="20"/>
                <w:szCs w:val="20"/>
              </w:rPr>
            </w:pPr>
          </w:p>
          <w:p w14:paraId="5AF9D68C" w14:textId="3DA89C4A" w:rsidR="000A03CA" w:rsidRPr="00B21FAC" w:rsidRDefault="000A03CA" w:rsidP="00BA7E3E">
            <w:pPr>
              <w:spacing w:line="259" w:lineRule="auto"/>
              <w:jc w:val="both"/>
              <w:rPr>
                <w:sz w:val="20"/>
                <w:szCs w:val="20"/>
              </w:rPr>
            </w:pPr>
          </w:p>
          <w:p w14:paraId="08809E26" w14:textId="493FD46C" w:rsidR="000A03CA" w:rsidRPr="00B21FAC" w:rsidRDefault="000A03CA" w:rsidP="00BA7E3E">
            <w:pPr>
              <w:spacing w:line="259" w:lineRule="auto"/>
              <w:jc w:val="both"/>
              <w:rPr>
                <w:sz w:val="20"/>
                <w:szCs w:val="20"/>
              </w:rPr>
            </w:pPr>
          </w:p>
          <w:p w14:paraId="30C50B0D" w14:textId="1245C712" w:rsidR="000A03CA" w:rsidRPr="00B21FAC" w:rsidRDefault="000A03CA" w:rsidP="00BA7E3E">
            <w:pPr>
              <w:spacing w:line="259" w:lineRule="auto"/>
              <w:jc w:val="both"/>
              <w:rPr>
                <w:sz w:val="20"/>
                <w:szCs w:val="20"/>
              </w:rPr>
            </w:pPr>
          </w:p>
          <w:p w14:paraId="19F2ACBF" w14:textId="0DD9DF80" w:rsidR="000A03CA" w:rsidRPr="00B21FAC" w:rsidRDefault="000A03CA" w:rsidP="00BA7E3E">
            <w:pPr>
              <w:spacing w:line="259" w:lineRule="auto"/>
              <w:jc w:val="both"/>
              <w:rPr>
                <w:sz w:val="20"/>
                <w:szCs w:val="20"/>
              </w:rPr>
            </w:pPr>
          </w:p>
          <w:p w14:paraId="7A5FE93E" w14:textId="4C83F51F" w:rsidR="000A03CA" w:rsidRPr="00B21FAC" w:rsidRDefault="000A03CA" w:rsidP="00BA7E3E">
            <w:pPr>
              <w:spacing w:line="259" w:lineRule="auto"/>
              <w:jc w:val="both"/>
              <w:rPr>
                <w:sz w:val="20"/>
                <w:szCs w:val="20"/>
              </w:rPr>
            </w:pPr>
          </w:p>
          <w:p w14:paraId="7D5F7B01" w14:textId="52FEBFE9" w:rsidR="000A03CA" w:rsidRPr="00B21FAC" w:rsidRDefault="000A03CA" w:rsidP="00BA7E3E">
            <w:pPr>
              <w:spacing w:line="259" w:lineRule="auto"/>
              <w:jc w:val="both"/>
              <w:rPr>
                <w:sz w:val="20"/>
                <w:szCs w:val="20"/>
              </w:rPr>
            </w:pPr>
          </w:p>
          <w:p w14:paraId="121532E0" w14:textId="524D7E0F" w:rsidR="000A03CA" w:rsidRPr="00B21FAC" w:rsidRDefault="000A03CA" w:rsidP="00BA7E3E">
            <w:pPr>
              <w:spacing w:line="259" w:lineRule="auto"/>
              <w:jc w:val="both"/>
              <w:rPr>
                <w:sz w:val="20"/>
                <w:szCs w:val="20"/>
              </w:rPr>
            </w:pPr>
          </w:p>
          <w:p w14:paraId="01E9F89E" w14:textId="07F37FD9" w:rsidR="000A03CA" w:rsidRPr="00B21FAC" w:rsidRDefault="000A03CA" w:rsidP="00BA7E3E">
            <w:pPr>
              <w:spacing w:line="259" w:lineRule="auto"/>
              <w:jc w:val="both"/>
              <w:rPr>
                <w:sz w:val="20"/>
                <w:szCs w:val="20"/>
              </w:rPr>
            </w:pPr>
          </w:p>
          <w:p w14:paraId="237C4F06" w14:textId="72F06392" w:rsidR="000A03CA" w:rsidRPr="00B21FAC" w:rsidRDefault="000A03CA" w:rsidP="00BA7E3E">
            <w:pPr>
              <w:spacing w:line="259" w:lineRule="auto"/>
              <w:jc w:val="both"/>
              <w:rPr>
                <w:sz w:val="20"/>
                <w:szCs w:val="20"/>
              </w:rPr>
            </w:pPr>
          </w:p>
          <w:p w14:paraId="0B28D729" w14:textId="38D2E62F" w:rsidR="000A03CA" w:rsidRPr="00B21FAC" w:rsidRDefault="000A03CA" w:rsidP="00BA7E3E">
            <w:pPr>
              <w:spacing w:line="259" w:lineRule="auto"/>
              <w:jc w:val="both"/>
              <w:rPr>
                <w:sz w:val="20"/>
                <w:szCs w:val="20"/>
              </w:rPr>
            </w:pPr>
          </w:p>
          <w:p w14:paraId="0DD56BF3" w14:textId="4F9AF8B5" w:rsidR="000A03CA" w:rsidRPr="00B21FAC" w:rsidRDefault="000A03CA" w:rsidP="00BA7E3E">
            <w:pPr>
              <w:spacing w:line="259" w:lineRule="auto"/>
              <w:jc w:val="both"/>
              <w:rPr>
                <w:sz w:val="20"/>
                <w:szCs w:val="20"/>
              </w:rPr>
            </w:pPr>
          </w:p>
          <w:p w14:paraId="074410C6" w14:textId="59442750" w:rsidR="000A03CA" w:rsidRPr="00B21FAC" w:rsidRDefault="000A03CA" w:rsidP="00BA7E3E">
            <w:pPr>
              <w:spacing w:line="259" w:lineRule="auto"/>
              <w:jc w:val="both"/>
              <w:rPr>
                <w:sz w:val="20"/>
                <w:szCs w:val="20"/>
              </w:rPr>
            </w:pPr>
          </w:p>
          <w:p w14:paraId="26A5086C" w14:textId="2440E157" w:rsidR="000A03CA" w:rsidRPr="00B21FAC" w:rsidRDefault="000A03CA" w:rsidP="00BA7E3E">
            <w:pPr>
              <w:spacing w:line="259" w:lineRule="auto"/>
              <w:jc w:val="both"/>
              <w:rPr>
                <w:sz w:val="20"/>
                <w:szCs w:val="20"/>
              </w:rPr>
            </w:pPr>
          </w:p>
          <w:p w14:paraId="681192BB" w14:textId="0536FEC2" w:rsidR="000A03CA" w:rsidRPr="00B21FAC" w:rsidRDefault="000A03CA" w:rsidP="00BA7E3E">
            <w:pPr>
              <w:spacing w:line="259" w:lineRule="auto"/>
              <w:jc w:val="both"/>
              <w:rPr>
                <w:sz w:val="20"/>
                <w:szCs w:val="20"/>
              </w:rPr>
            </w:pPr>
          </w:p>
          <w:p w14:paraId="29D7FE64" w14:textId="5E4718B8" w:rsidR="000A03CA" w:rsidRPr="00B21FAC" w:rsidRDefault="000A03CA" w:rsidP="00BA7E3E">
            <w:pPr>
              <w:spacing w:line="259" w:lineRule="auto"/>
              <w:jc w:val="both"/>
              <w:rPr>
                <w:sz w:val="20"/>
                <w:szCs w:val="20"/>
              </w:rPr>
            </w:pPr>
          </w:p>
          <w:p w14:paraId="688C353D" w14:textId="65E362AA" w:rsidR="000A03CA" w:rsidRPr="00B21FAC" w:rsidRDefault="000A03CA" w:rsidP="00BA7E3E">
            <w:pPr>
              <w:spacing w:line="259" w:lineRule="auto"/>
              <w:jc w:val="both"/>
              <w:rPr>
                <w:sz w:val="20"/>
                <w:szCs w:val="20"/>
              </w:rPr>
            </w:pPr>
          </w:p>
          <w:p w14:paraId="0A8BE9D8" w14:textId="3496B778" w:rsidR="000A03CA" w:rsidRPr="00B21FAC" w:rsidRDefault="000A03CA" w:rsidP="00BA7E3E">
            <w:pPr>
              <w:spacing w:line="259" w:lineRule="auto"/>
              <w:jc w:val="both"/>
              <w:rPr>
                <w:sz w:val="20"/>
                <w:szCs w:val="20"/>
              </w:rPr>
            </w:pPr>
          </w:p>
          <w:p w14:paraId="150952AF" w14:textId="21B5C01E" w:rsidR="000A03CA" w:rsidRPr="00B21FAC" w:rsidRDefault="000A03CA" w:rsidP="00BA7E3E">
            <w:pPr>
              <w:spacing w:line="259" w:lineRule="auto"/>
              <w:jc w:val="both"/>
              <w:rPr>
                <w:sz w:val="20"/>
                <w:szCs w:val="20"/>
              </w:rPr>
            </w:pPr>
          </w:p>
          <w:p w14:paraId="54980FBF" w14:textId="68A0EBD9" w:rsidR="000A03CA" w:rsidRPr="00B21FAC" w:rsidRDefault="000A03CA" w:rsidP="00BA7E3E">
            <w:pPr>
              <w:spacing w:line="259" w:lineRule="auto"/>
              <w:jc w:val="both"/>
              <w:rPr>
                <w:sz w:val="20"/>
                <w:szCs w:val="20"/>
              </w:rPr>
            </w:pPr>
          </w:p>
          <w:p w14:paraId="0084DF65" w14:textId="7429E8F8" w:rsidR="000A03CA" w:rsidRDefault="000A03CA" w:rsidP="00BA7E3E">
            <w:pPr>
              <w:spacing w:line="259" w:lineRule="auto"/>
              <w:jc w:val="both"/>
              <w:rPr>
                <w:sz w:val="20"/>
                <w:szCs w:val="20"/>
              </w:rPr>
            </w:pPr>
          </w:p>
          <w:p w14:paraId="06DB7226" w14:textId="2BB6DF9E" w:rsidR="00390841" w:rsidRDefault="00390841" w:rsidP="00BA7E3E">
            <w:pPr>
              <w:spacing w:line="259" w:lineRule="auto"/>
              <w:jc w:val="both"/>
              <w:rPr>
                <w:sz w:val="20"/>
                <w:szCs w:val="20"/>
              </w:rPr>
            </w:pPr>
          </w:p>
          <w:p w14:paraId="21AD72A3" w14:textId="1613A093" w:rsidR="00390841" w:rsidRDefault="00390841" w:rsidP="00BA7E3E">
            <w:pPr>
              <w:spacing w:line="259" w:lineRule="auto"/>
              <w:jc w:val="both"/>
              <w:rPr>
                <w:sz w:val="20"/>
                <w:szCs w:val="20"/>
              </w:rPr>
            </w:pPr>
          </w:p>
          <w:p w14:paraId="0A03D437" w14:textId="4FF0E6EB" w:rsidR="00390841" w:rsidRDefault="00390841" w:rsidP="00BA7E3E">
            <w:pPr>
              <w:spacing w:line="259" w:lineRule="auto"/>
              <w:jc w:val="both"/>
              <w:rPr>
                <w:sz w:val="20"/>
                <w:szCs w:val="20"/>
              </w:rPr>
            </w:pPr>
          </w:p>
          <w:p w14:paraId="67D7B443" w14:textId="592B67F2" w:rsidR="00390841" w:rsidRDefault="00390841" w:rsidP="00BA7E3E">
            <w:pPr>
              <w:spacing w:line="259" w:lineRule="auto"/>
              <w:jc w:val="both"/>
              <w:rPr>
                <w:sz w:val="20"/>
                <w:szCs w:val="20"/>
              </w:rPr>
            </w:pPr>
          </w:p>
          <w:p w14:paraId="713FA78C" w14:textId="320B90A2" w:rsidR="00390841" w:rsidRDefault="00390841" w:rsidP="00BA7E3E">
            <w:pPr>
              <w:spacing w:line="259" w:lineRule="auto"/>
              <w:jc w:val="both"/>
              <w:rPr>
                <w:sz w:val="20"/>
                <w:szCs w:val="20"/>
              </w:rPr>
            </w:pPr>
          </w:p>
          <w:p w14:paraId="00B86A8D" w14:textId="3DDC5294" w:rsidR="00390841" w:rsidRDefault="00390841" w:rsidP="00BA7E3E">
            <w:pPr>
              <w:spacing w:line="259" w:lineRule="auto"/>
              <w:jc w:val="both"/>
              <w:rPr>
                <w:sz w:val="20"/>
                <w:szCs w:val="20"/>
              </w:rPr>
            </w:pPr>
          </w:p>
          <w:p w14:paraId="4858C9D0" w14:textId="114311E6" w:rsidR="00390841" w:rsidRDefault="00390841" w:rsidP="00BA7E3E">
            <w:pPr>
              <w:spacing w:line="259" w:lineRule="auto"/>
              <w:jc w:val="both"/>
              <w:rPr>
                <w:sz w:val="20"/>
                <w:szCs w:val="20"/>
              </w:rPr>
            </w:pPr>
          </w:p>
          <w:p w14:paraId="55125628" w14:textId="3B801FD0" w:rsidR="00390841" w:rsidRDefault="00390841" w:rsidP="00BA7E3E">
            <w:pPr>
              <w:spacing w:line="259" w:lineRule="auto"/>
              <w:jc w:val="both"/>
              <w:rPr>
                <w:sz w:val="20"/>
                <w:szCs w:val="20"/>
              </w:rPr>
            </w:pPr>
          </w:p>
          <w:p w14:paraId="3D513BE4" w14:textId="70735EAF" w:rsidR="00390841" w:rsidRDefault="00390841" w:rsidP="00BA7E3E">
            <w:pPr>
              <w:spacing w:line="259" w:lineRule="auto"/>
              <w:jc w:val="both"/>
              <w:rPr>
                <w:sz w:val="20"/>
                <w:szCs w:val="20"/>
              </w:rPr>
            </w:pPr>
          </w:p>
          <w:p w14:paraId="15045D02" w14:textId="6370CBE6" w:rsidR="00390841" w:rsidRDefault="00390841" w:rsidP="00BA7E3E">
            <w:pPr>
              <w:spacing w:line="259" w:lineRule="auto"/>
              <w:jc w:val="both"/>
              <w:rPr>
                <w:sz w:val="20"/>
                <w:szCs w:val="20"/>
              </w:rPr>
            </w:pPr>
          </w:p>
          <w:p w14:paraId="794B1CE7" w14:textId="51A0CEC4" w:rsidR="00390841" w:rsidRDefault="00390841" w:rsidP="00BA7E3E">
            <w:pPr>
              <w:spacing w:line="259" w:lineRule="auto"/>
              <w:jc w:val="both"/>
              <w:rPr>
                <w:sz w:val="20"/>
                <w:szCs w:val="20"/>
              </w:rPr>
            </w:pPr>
          </w:p>
          <w:p w14:paraId="212910FE" w14:textId="3F7DA74E" w:rsidR="00390841" w:rsidRDefault="00390841" w:rsidP="00BA7E3E">
            <w:pPr>
              <w:spacing w:line="259" w:lineRule="auto"/>
              <w:jc w:val="both"/>
              <w:rPr>
                <w:sz w:val="20"/>
                <w:szCs w:val="20"/>
              </w:rPr>
            </w:pPr>
          </w:p>
          <w:p w14:paraId="52883CAB" w14:textId="4F8C4416" w:rsidR="00390841" w:rsidRDefault="00390841" w:rsidP="00BA7E3E">
            <w:pPr>
              <w:spacing w:line="259" w:lineRule="auto"/>
              <w:jc w:val="both"/>
              <w:rPr>
                <w:sz w:val="20"/>
                <w:szCs w:val="20"/>
              </w:rPr>
            </w:pPr>
          </w:p>
          <w:p w14:paraId="531CE345" w14:textId="1647C1C2" w:rsidR="00390841" w:rsidRDefault="00390841" w:rsidP="00BA7E3E">
            <w:pPr>
              <w:spacing w:line="259" w:lineRule="auto"/>
              <w:jc w:val="both"/>
              <w:rPr>
                <w:sz w:val="20"/>
                <w:szCs w:val="20"/>
              </w:rPr>
            </w:pPr>
          </w:p>
          <w:p w14:paraId="59E0F456" w14:textId="260A5E50" w:rsidR="00390841" w:rsidRDefault="00390841" w:rsidP="00BA7E3E">
            <w:pPr>
              <w:spacing w:line="259" w:lineRule="auto"/>
              <w:jc w:val="both"/>
              <w:rPr>
                <w:sz w:val="20"/>
                <w:szCs w:val="20"/>
              </w:rPr>
            </w:pPr>
          </w:p>
          <w:p w14:paraId="76D0D915" w14:textId="77777777" w:rsidR="00390841" w:rsidRPr="00B21FAC" w:rsidRDefault="00390841" w:rsidP="00BA7E3E">
            <w:pPr>
              <w:spacing w:line="259" w:lineRule="auto"/>
              <w:jc w:val="both"/>
              <w:rPr>
                <w:sz w:val="20"/>
                <w:szCs w:val="20"/>
              </w:rPr>
            </w:pPr>
          </w:p>
          <w:p w14:paraId="59BC6749" w14:textId="77777777" w:rsidR="004B778F" w:rsidRPr="00B21FAC" w:rsidRDefault="004B778F" w:rsidP="00BA7E3E">
            <w:pPr>
              <w:spacing w:line="259" w:lineRule="auto"/>
              <w:jc w:val="both"/>
              <w:rPr>
                <w:sz w:val="20"/>
                <w:szCs w:val="20"/>
              </w:rPr>
            </w:pPr>
          </w:p>
          <w:p w14:paraId="60282A04" w14:textId="5F5F0409" w:rsidR="00547BC0" w:rsidRDefault="00547BC0" w:rsidP="00BA7E3E">
            <w:pPr>
              <w:numPr>
                <w:ilvl w:val="0"/>
                <w:numId w:val="1"/>
              </w:numPr>
              <w:spacing w:line="259" w:lineRule="auto"/>
              <w:jc w:val="both"/>
              <w:rPr>
                <w:sz w:val="20"/>
                <w:szCs w:val="20"/>
              </w:rPr>
            </w:pPr>
            <w:r w:rsidRPr="00B21FAC">
              <w:rPr>
                <w:sz w:val="20"/>
                <w:szCs w:val="20"/>
              </w:rPr>
              <w:t xml:space="preserve">Spillovers van onderzoek en ontwikkeling </w:t>
            </w:r>
          </w:p>
          <w:p w14:paraId="4F83A625" w14:textId="77777777" w:rsidR="00F9286D" w:rsidRDefault="00F9286D" w:rsidP="00BA7E3E">
            <w:pPr>
              <w:spacing w:line="259" w:lineRule="auto"/>
              <w:ind w:left="720"/>
              <w:jc w:val="both"/>
              <w:rPr>
                <w:sz w:val="20"/>
                <w:szCs w:val="20"/>
              </w:rPr>
            </w:pPr>
          </w:p>
          <w:p w14:paraId="10B69E1B" w14:textId="77777777" w:rsidR="00F9286D" w:rsidRDefault="00F9286D" w:rsidP="00BA7E3E">
            <w:pPr>
              <w:spacing w:line="259" w:lineRule="auto"/>
              <w:ind w:left="720"/>
              <w:jc w:val="both"/>
              <w:rPr>
                <w:sz w:val="20"/>
                <w:szCs w:val="20"/>
              </w:rPr>
            </w:pPr>
          </w:p>
          <w:p w14:paraId="5163BE16" w14:textId="77777777" w:rsidR="00F9286D" w:rsidRDefault="00F9286D" w:rsidP="00BA7E3E">
            <w:pPr>
              <w:spacing w:line="259" w:lineRule="auto"/>
              <w:ind w:left="720"/>
              <w:jc w:val="both"/>
              <w:rPr>
                <w:sz w:val="20"/>
                <w:szCs w:val="20"/>
              </w:rPr>
            </w:pPr>
          </w:p>
          <w:p w14:paraId="75D8A364" w14:textId="77777777" w:rsidR="00F9286D" w:rsidRDefault="00F9286D" w:rsidP="00BA7E3E">
            <w:pPr>
              <w:spacing w:line="259" w:lineRule="auto"/>
              <w:ind w:left="720"/>
              <w:jc w:val="both"/>
              <w:rPr>
                <w:sz w:val="20"/>
                <w:szCs w:val="20"/>
              </w:rPr>
            </w:pPr>
          </w:p>
          <w:p w14:paraId="0F6662C6" w14:textId="77777777" w:rsidR="00F9286D" w:rsidRDefault="00F9286D" w:rsidP="00BA7E3E">
            <w:pPr>
              <w:spacing w:line="259" w:lineRule="auto"/>
              <w:ind w:left="720"/>
              <w:jc w:val="both"/>
              <w:rPr>
                <w:sz w:val="20"/>
                <w:szCs w:val="20"/>
              </w:rPr>
            </w:pPr>
          </w:p>
          <w:p w14:paraId="1403F53E" w14:textId="77777777" w:rsidR="00F9286D" w:rsidRDefault="00F9286D" w:rsidP="00BA7E3E">
            <w:pPr>
              <w:spacing w:line="259" w:lineRule="auto"/>
              <w:ind w:left="720"/>
              <w:jc w:val="both"/>
              <w:rPr>
                <w:sz w:val="20"/>
                <w:szCs w:val="20"/>
              </w:rPr>
            </w:pPr>
          </w:p>
          <w:p w14:paraId="42ED440D" w14:textId="6F357832" w:rsidR="0011423B" w:rsidRDefault="00F9286D" w:rsidP="00BA7E3E">
            <w:pPr>
              <w:numPr>
                <w:ilvl w:val="0"/>
                <w:numId w:val="1"/>
              </w:numPr>
              <w:spacing w:line="259" w:lineRule="auto"/>
              <w:jc w:val="both"/>
              <w:rPr>
                <w:sz w:val="20"/>
                <w:szCs w:val="20"/>
              </w:rPr>
            </w:pPr>
            <w:r>
              <w:rPr>
                <w:sz w:val="20"/>
                <w:szCs w:val="20"/>
              </w:rPr>
              <w:t>Bestrijding van zwartwerk</w:t>
            </w:r>
          </w:p>
          <w:p w14:paraId="71510548" w14:textId="42FEA2CD" w:rsidR="00B802BA" w:rsidRPr="00B21FAC" w:rsidRDefault="00B802BA" w:rsidP="00BA7E3E">
            <w:pPr>
              <w:numPr>
                <w:ilvl w:val="0"/>
                <w:numId w:val="1"/>
              </w:numPr>
              <w:spacing w:line="259" w:lineRule="auto"/>
              <w:jc w:val="both"/>
              <w:rPr>
                <w:sz w:val="20"/>
                <w:szCs w:val="20"/>
              </w:rPr>
            </w:pPr>
            <w:r>
              <w:rPr>
                <w:sz w:val="20"/>
                <w:szCs w:val="20"/>
              </w:rPr>
              <w:t>…</w:t>
            </w:r>
          </w:p>
          <w:p w14:paraId="5A320D86" w14:textId="77777777" w:rsidR="00547BC0" w:rsidRPr="00B21FAC" w:rsidRDefault="00547BC0" w:rsidP="00BA7E3E">
            <w:pPr>
              <w:spacing w:line="259" w:lineRule="auto"/>
              <w:jc w:val="both"/>
              <w:rPr>
                <w:sz w:val="20"/>
                <w:szCs w:val="20"/>
              </w:rPr>
            </w:pPr>
          </w:p>
        </w:tc>
        <w:tc>
          <w:tcPr>
            <w:tcW w:w="5387" w:type="dxa"/>
          </w:tcPr>
          <w:p w14:paraId="51EBA401" w14:textId="730C35B5" w:rsidR="00547BC0" w:rsidRDefault="00547BC0" w:rsidP="00BA7E3E">
            <w:pPr>
              <w:spacing w:line="259" w:lineRule="auto"/>
              <w:jc w:val="both"/>
              <w:rPr>
                <w:sz w:val="20"/>
                <w:szCs w:val="20"/>
              </w:rPr>
            </w:pPr>
          </w:p>
          <w:p w14:paraId="36754310" w14:textId="616EE0CB" w:rsidR="00CC602D" w:rsidRDefault="00CC602D" w:rsidP="00BA7E3E">
            <w:pPr>
              <w:spacing w:line="259" w:lineRule="auto"/>
              <w:jc w:val="both"/>
              <w:rPr>
                <w:sz w:val="20"/>
                <w:szCs w:val="20"/>
              </w:rPr>
            </w:pPr>
          </w:p>
          <w:p w14:paraId="75B2C7F9" w14:textId="5E6A516A" w:rsidR="004A2E8C" w:rsidRDefault="004A2E8C" w:rsidP="00BA7E3E">
            <w:pPr>
              <w:spacing w:line="259" w:lineRule="auto"/>
              <w:jc w:val="both"/>
              <w:rPr>
                <w:sz w:val="20"/>
                <w:szCs w:val="20"/>
              </w:rPr>
            </w:pPr>
          </w:p>
          <w:p w14:paraId="2FC231D1" w14:textId="0F13719D" w:rsidR="004A2E8C" w:rsidRDefault="004A2E8C" w:rsidP="00BA7E3E">
            <w:pPr>
              <w:spacing w:line="259" w:lineRule="auto"/>
              <w:jc w:val="both"/>
              <w:rPr>
                <w:sz w:val="20"/>
                <w:szCs w:val="20"/>
              </w:rPr>
            </w:pPr>
          </w:p>
          <w:p w14:paraId="77FA52BF" w14:textId="77777777" w:rsidR="004A2E8C" w:rsidRPr="00B21FAC" w:rsidRDefault="004A2E8C" w:rsidP="00BA7E3E">
            <w:pPr>
              <w:spacing w:line="259" w:lineRule="auto"/>
              <w:jc w:val="both"/>
              <w:rPr>
                <w:sz w:val="20"/>
                <w:szCs w:val="20"/>
              </w:rPr>
            </w:pPr>
          </w:p>
          <w:p w14:paraId="57FF9B65" w14:textId="77777777" w:rsidR="00547BC0" w:rsidRPr="00B21FAC" w:rsidRDefault="00547BC0" w:rsidP="00B84BE6">
            <w:pPr>
              <w:pStyle w:val="Lijstalinea"/>
              <w:numPr>
                <w:ilvl w:val="0"/>
                <w:numId w:val="6"/>
              </w:numPr>
              <w:spacing w:line="259" w:lineRule="auto"/>
              <w:ind w:left="321"/>
              <w:jc w:val="both"/>
              <w:rPr>
                <w:sz w:val="20"/>
                <w:szCs w:val="20"/>
                <w:lang w:val="en-GB"/>
              </w:rPr>
            </w:pPr>
            <w:r w:rsidRPr="00B21FAC">
              <w:rPr>
                <w:sz w:val="20"/>
                <w:szCs w:val="20"/>
                <w:lang w:val="en-GB"/>
              </w:rPr>
              <w:t>Phase out mortgage tax credits - OECD</w:t>
            </w:r>
          </w:p>
          <w:p w14:paraId="270B619D" w14:textId="04841FD3" w:rsidR="006D203C" w:rsidRPr="00B21FAC" w:rsidRDefault="006D203C" w:rsidP="00B84BE6">
            <w:pPr>
              <w:pStyle w:val="Lijstalinea"/>
              <w:numPr>
                <w:ilvl w:val="0"/>
                <w:numId w:val="6"/>
              </w:numPr>
              <w:spacing w:line="259" w:lineRule="auto"/>
              <w:ind w:left="315"/>
              <w:jc w:val="both"/>
              <w:rPr>
                <w:sz w:val="20"/>
                <w:szCs w:val="20"/>
                <w:lang w:val="en-GB"/>
              </w:rPr>
            </w:pPr>
            <w:r w:rsidRPr="00B21FAC">
              <w:rPr>
                <w:sz w:val="20"/>
                <w:szCs w:val="20"/>
                <w:lang w:val="en-GB"/>
              </w:rPr>
              <w:t xml:space="preserve">Voluntary retirement saving is important for stability of personal and government finances, especially with an aging population. However, the tax advantages given to encourage savings under Pillar II act as tax shelter, unduly benefiting a select group of high-income taxpayers. Consideration could be given to introducing a €-denominated limit on contribution amounts to constrain use of the tax advantage at the high end of the income distribution. </w:t>
            </w:r>
            <w:r w:rsidR="001B6F3F" w:rsidRPr="00B21FAC">
              <w:rPr>
                <w:sz w:val="20"/>
                <w:szCs w:val="20"/>
                <w:lang w:val="en-GB"/>
              </w:rPr>
              <w:t xml:space="preserve">– IMF </w:t>
            </w:r>
          </w:p>
          <w:p w14:paraId="4B0AD9F0" w14:textId="77777777" w:rsidR="00C1218F" w:rsidRPr="00B21FAC" w:rsidRDefault="00C1218F" w:rsidP="00BA7E3E">
            <w:pPr>
              <w:spacing w:line="259" w:lineRule="auto"/>
              <w:ind w:left="-39"/>
              <w:jc w:val="both"/>
              <w:rPr>
                <w:sz w:val="20"/>
                <w:szCs w:val="20"/>
                <w:lang w:val="en-GB"/>
              </w:rPr>
            </w:pPr>
          </w:p>
          <w:p w14:paraId="0F1E0335" w14:textId="77777777" w:rsidR="00547BC0" w:rsidRPr="00B21FAC" w:rsidRDefault="00547BC0" w:rsidP="00BA7E3E">
            <w:pPr>
              <w:spacing w:line="259" w:lineRule="auto"/>
              <w:jc w:val="both"/>
              <w:rPr>
                <w:sz w:val="20"/>
                <w:szCs w:val="20"/>
                <w:lang w:val="en-GB"/>
              </w:rPr>
            </w:pPr>
          </w:p>
          <w:p w14:paraId="0D6DD416" w14:textId="0D71298A" w:rsidR="00547BC0" w:rsidRPr="00B21FAC" w:rsidRDefault="00547BC0" w:rsidP="00B84BE6">
            <w:pPr>
              <w:pStyle w:val="Lijstalinea"/>
              <w:numPr>
                <w:ilvl w:val="0"/>
                <w:numId w:val="6"/>
              </w:numPr>
              <w:spacing w:line="259" w:lineRule="auto"/>
              <w:ind w:left="321"/>
              <w:jc w:val="both"/>
              <w:rPr>
                <w:sz w:val="20"/>
                <w:szCs w:val="20"/>
              </w:rPr>
            </w:pPr>
            <w:r w:rsidRPr="00B21FAC">
              <w:rPr>
                <w:sz w:val="20"/>
                <w:szCs w:val="20"/>
              </w:rPr>
              <w:t xml:space="preserve">Het nieuwe belastingstelsel zal ook moeten bijdragen aan de verwezenlijking van de klimaat- en milieudoelstellingen die in dit regeerakkoord zijn vastgelegd </w:t>
            </w:r>
            <w:r w:rsidR="000436F9" w:rsidRPr="00B21FAC">
              <w:rPr>
                <w:sz w:val="20"/>
                <w:szCs w:val="20"/>
              </w:rPr>
              <w:t>–</w:t>
            </w:r>
            <w:r w:rsidRPr="00B21FAC">
              <w:rPr>
                <w:sz w:val="20"/>
                <w:szCs w:val="20"/>
              </w:rPr>
              <w:t xml:space="preserve"> REGEERAKKOORD</w:t>
            </w:r>
          </w:p>
          <w:p w14:paraId="276FEA61" w14:textId="77777777" w:rsidR="00DE77C1" w:rsidRPr="00B21FAC" w:rsidRDefault="00DE77C1" w:rsidP="00B84BE6">
            <w:pPr>
              <w:pStyle w:val="Pa8"/>
              <w:numPr>
                <w:ilvl w:val="0"/>
                <w:numId w:val="6"/>
              </w:numPr>
              <w:spacing w:after="100" w:line="259" w:lineRule="auto"/>
              <w:ind w:left="315"/>
              <w:jc w:val="both"/>
              <w:rPr>
                <w:rFonts w:asciiTheme="minorHAnsi" w:hAnsiTheme="minorHAnsi" w:cstheme="minorHAnsi"/>
                <w:sz w:val="20"/>
                <w:szCs w:val="20"/>
              </w:rPr>
            </w:pPr>
            <w:r w:rsidRPr="00B21FAC">
              <w:rPr>
                <w:rFonts w:asciiTheme="minorHAnsi" w:hAnsiTheme="minorHAnsi" w:cstheme="minorHAnsi"/>
                <w:sz w:val="20"/>
                <w:szCs w:val="20"/>
              </w:rPr>
              <w:t xml:space="preserve">De fiscaliteit zal worden bestudeerd om ze klimaat- en milieuvriendelijker te maken. We vertrekken vanuit het principe van de vervuiler betaalt, waarbij we het gebruik van fossiele brandstoffen zoveel mogelijk willen ontmoedigen door de invoering van een fiscaal sturend instrument. Meer concreet bekijken we hoe we dit via prijssignalen kunnen realiseren. In principe dient het hier te gaan over een budgetneutraal instrument waarbij inkomsten worden teruggegeven aan de bevolking en de bedrijven. Dit wordt ingebed in de bredere fiscale hervorming, waarvan hierboven sprake. Het nieuwe instrument moet rechtvaardig zijn en in lijn liggen met andere fiscale hervormingen, is aanvullend op ander klimaatbeleid en dient in overleg te gebeuren met de deelstaten. Het is van belang dat tegelijk flankerend beleid wordt voorzien en dat de concurrentiepositie van bedrijven en de koopkracht van gezinnen wordt gevrijwaard, in voorkomend geval zal er sociaal en territoriaal gecorrigeerd worden. </w:t>
            </w:r>
          </w:p>
          <w:p w14:paraId="2AEA4113" w14:textId="77777777" w:rsidR="00DE77C1" w:rsidRPr="00B21FAC" w:rsidRDefault="00DE77C1" w:rsidP="00BA7E3E">
            <w:pPr>
              <w:pStyle w:val="Pa8"/>
              <w:spacing w:after="100" w:line="259" w:lineRule="auto"/>
              <w:ind w:left="315"/>
              <w:jc w:val="both"/>
              <w:rPr>
                <w:rFonts w:asciiTheme="minorHAnsi" w:hAnsiTheme="minorHAnsi" w:cstheme="minorHAnsi"/>
                <w:sz w:val="20"/>
                <w:szCs w:val="20"/>
              </w:rPr>
            </w:pPr>
            <w:r w:rsidRPr="00B21FAC">
              <w:rPr>
                <w:rFonts w:asciiTheme="minorHAnsi" w:hAnsiTheme="minorHAnsi" w:cstheme="minorHAnsi"/>
                <w:sz w:val="20"/>
                <w:szCs w:val="20"/>
              </w:rPr>
              <w:t xml:space="preserve">De federale regering zal in nauw overleg met buurlanden en deelstaten het debat ondersteunen over hoe het principe ‘de vervuiler betaalt’ beter kan worden toegepast in de scheepvaartsector en de luchtvaartsector, dit rekening houdende met de impact op de economie en zonder dat dit het level playing field verstoort. </w:t>
            </w:r>
          </w:p>
          <w:p w14:paraId="00CF9D36" w14:textId="77777777" w:rsidR="00DE77C1" w:rsidRPr="00B21FAC" w:rsidRDefault="00DE77C1" w:rsidP="00BA7E3E">
            <w:pPr>
              <w:pStyle w:val="Pa8"/>
              <w:spacing w:after="100" w:line="259" w:lineRule="auto"/>
              <w:ind w:left="315"/>
              <w:jc w:val="both"/>
              <w:rPr>
                <w:rFonts w:asciiTheme="minorHAnsi" w:hAnsiTheme="minorHAnsi" w:cstheme="minorHAnsi"/>
                <w:sz w:val="20"/>
                <w:szCs w:val="20"/>
              </w:rPr>
            </w:pPr>
            <w:r w:rsidRPr="00B21FAC">
              <w:rPr>
                <w:rFonts w:asciiTheme="minorHAnsi" w:hAnsiTheme="minorHAnsi" w:cstheme="minorHAnsi"/>
                <w:sz w:val="20"/>
                <w:szCs w:val="20"/>
              </w:rPr>
              <w:t xml:space="preserve">De regering zet zich op Europees en internationaal niveau in voor de herziening van de huidige belastingvrijstelling op kerosine. </w:t>
            </w:r>
          </w:p>
          <w:p w14:paraId="38568118" w14:textId="3D067289" w:rsidR="000436F9" w:rsidRPr="00B21FAC" w:rsidRDefault="00DE77C1" w:rsidP="00BA7E3E">
            <w:pPr>
              <w:pStyle w:val="Pa8"/>
              <w:spacing w:after="100" w:line="259" w:lineRule="auto"/>
              <w:ind w:left="315"/>
              <w:jc w:val="both"/>
              <w:rPr>
                <w:rFonts w:cstheme="minorHAnsi"/>
                <w:sz w:val="20"/>
                <w:szCs w:val="20"/>
              </w:rPr>
            </w:pPr>
            <w:r w:rsidRPr="00B21FAC">
              <w:rPr>
                <w:rFonts w:asciiTheme="minorHAnsi" w:hAnsiTheme="minorHAnsi" w:cstheme="minorHAnsi"/>
                <w:sz w:val="20"/>
                <w:szCs w:val="20"/>
              </w:rPr>
              <w:t xml:space="preserve">De regering zal op Europees niveau pleiten tegen hele korte afstandsvluchten. – REGEERAKKOORD </w:t>
            </w:r>
          </w:p>
          <w:p w14:paraId="496DFC93" w14:textId="0BCB3288" w:rsidR="00547BC0" w:rsidRPr="00B21FAC" w:rsidRDefault="00547BC0" w:rsidP="00B84BE6">
            <w:pPr>
              <w:pStyle w:val="Lijstalinea"/>
              <w:numPr>
                <w:ilvl w:val="0"/>
                <w:numId w:val="6"/>
              </w:numPr>
              <w:spacing w:line="259" w:lineRule="auto"/>
              <w:ind w:left="321"/>
              <w:jc w:val="both"/>
              <w:rPr>
                <w:sz w:val="20"/>
                <w:szCs w:val="20"/>
                <w:lang w:val="en-GB"/>
              </w:rPr>
            </w:pPr>
            <w:r w:rsidRPr="00B21FAC">
              <w:rPr>
                <w:sz w:val="20"/>
                <w:szCs w:val="20"/>
                <w:lang w:val="en-GB"/>
              </w:rPr>
              <w:t xml:space="preserve">Introduce </w:t>
            </w:r>
            <w:r w:rsidR="00FC00C8">
              <w:rPr>
                <w:sz w:val="20"/>
                <w:szCs w:val="20"/>
                <w:lang w:val="en-GB"/>
              </w:rPr>
              <w:t xml:space="preserve">in the medium-term </w:t>
            </w:r>
            <w:r w:rsidRPr="00B21FAC">
              <w:rPr>
                <w:sz w:val="20"/>
                <w:szCs w:val="20"/>
                <w:lang w:val="en-GB"/>
              </w:rPr>
              <w:t xml:space="preserve">a carbon tax for sectors not subject to the EU </w:t>
            </w:r>
            <w:r w:rsidR="00C00947">
              <w:rPr>
                <w:sz w:val="20"/>
                <w:szCs w:val="20"/>
                <w:lang w:val="en-GB"/>
              </w:rPr>
              <w:t xml:space="preserve">ETS by implementing </w:t>
            </w:r>
            <w:r w:rsidR="00411792">
              <w:rPr>
                <w:sz w:val="20"/>
                <w:szCs w:val="20"/>
                <w:lang w:val="en-GB"/>
              </w:rPr>
              <w:t xml:space="preserve">a minimum price that reflects the evolution of prices in the EU ETS, accompanied by compensatory measures for vulnerable </w:t>
            </w:r>
            <w:r w:rsidR="008029B7">
              <w:rPr>
                <w:sz w:val="20"/>
                <w:szCs w:val="20"/>
                <w:lang w:val="en-GB"/>
              </w:rPr>
              <w:t xml:space="preserve">households. – </w:t>
            </w:r>
            <w:r w:rsidRPr="00B21FAC">
              <w:rPr>
                <w:sz w:val="20"/>
                <w:szCs w:val="20"/>
                <w:lang w:val="en-GB"/>
              </w:rPr>
              <w:t>OECD</w:t>
            </w:r>
          </w:p>
          <w:p w14:paraId="1B7F702B" w14:textId="0DB09B1B" w:rsidR="00547BC0" w:rsidRPr="00B21FAC" w:rsidRDefault="00547BC0" w:rsidP="00B84BE6">
            <w:pPr>
              <w:pStyle w:val="Lijstalinea"/>
              <w:numPr>
                <w:ilvl w:val="0"/>
                <w:numId w:val="6"/>
              </w:numPr>
              <w:spacing w:line="259" w:lineRule="auto"/>
              <w:ind w:left="321"/>
              <w:jc w:val="both"/>
              <w:rPr>
                <w:sz w:val="20"/>
                <w:szCs w:val="20"/>
                <w:lang w:val="en-GB"/>
              </w:rPr>
            </w:pPr>
            <w:r w:rsidRPr="00B21FAC">
              <w:rPr>
                <w:sz w:val="20"/>
                <w:szCs w:val="20"/>
                <w:lang w:val="en-GB"/>
              </w:rPr>
              <w:t>Introduce road congestion charges, for example around Brussels and Antwerp, with sufficient time differentiation within the peak period.</w:t>
            </w:r>
            <w:r w:rsidR="00A207CA">
              <w:rPr>
                <w:sz w:val="20"/>
                <w:szCs w:val="20"/>
                <w:lang w:val="en-GB"/>
              </w:rPr>
              <w:t xml:space="preserve"> - OECD</w:t>
            </w:r>
          </w:p>
          <w:p w14:paraId="02FED028" w14:textId="041A9748" w:rsidR="00547BC0" w:rsidRPr="00B21FAC" w:rsidRDefault="00547BC0" w:rsidP="00B84BE6">
            <w:pPr>
              <w:pStyle w:val="Lijstalinea"/>
              <w:numPr>
                <w:ilvl w:val="0"/>
                <w:numId w:val="6"/>
              </w:numPr>
              <w:spacing w:line="259" w:lineRule="auto"/>
              <w:ind w:left="321"/>
              <w:jc w:val="both"/>
              <w:rPr>
                <w:sz w:val="20"/>
                <w:szCs w:val="20"/>
                <w:lang w:val="en-GB"/>
              </w:rPr>
            </w:pPr>
            <w:r w:rsidRPr="00B21FAC">
              <w:rPr>
                <w:sz w:val="20"/>
                <w:szCs w:val="20"/>
                <w:lang w:val="en-GB"/>
              </w:rPr>
              <w:t>Consider abolishing the favourable tax treatment of company cars or alternatively extend other options, such as greener vehicles.</w:t>
            </w:r>
            <w:r w:rsidR="00A207CA">
              <w:rPr>
                <w:sz w:val="20"/>
                <w:szCs w:val="20"/>
                <w:lang w:val="en-GB"/>
              </w:rPr>
              <w:t xml:space="preserve"> - OECD</w:t>
            </w:r>
          </w:p>
          <w:p w14:paraId="123F1FE6" w14:textId="5A8DA32C" w:rsidR="00D77187" w:rsidRPr="00B21FAC" w:rsidRDefault="00F54A9C" w:rsidP="00B84BE6">
            <w:pPr>
              <w:pStyle w:val="Lijstalinea"/>
              <w:numPr>
                <w:ilvl w:val="0"/>
                <w:numId w:val="6"/>
              </w:numPr>
              <w:spacing w:line="259" w:lineRule="auto"/>
              <w:ind w:left="321"/>
              <w:jc w:val="both"/>
              <w:rPr>
                <w:rFonts w:cstheme="minorHAnsi"/>
                <w:color w:val="000000"/>
                <w:sz w:val="20"/>
                <w:szCs w:val="20"/>
                <w:lang w:val="en-GB"/>
              </w:rPr>
            </w:pPr>
            <w:r w:rsidRPr="00B21FAC">
              <w:rPr>
                <w:rFonts w:cstheme="minorHAnsi"/>
                <w:color w:val="000000"/>
                <w:sz w:val="20"/>
                <w:szCs w:val="20"/>
                <w:lang w:val="en-GB"/>
              </w:rPr>
              <w:t>Polices to encourage a shift away from fossil fuel consumption in transport, building and industry will require a combination of carbon pricing, taxation, and regulation.</w:t>
            </w:r>
            <w:r w:rsidRPr="00B21FAC">
              <w:rPr>
                <w:rFonts w:cstheme="minorHAnsi"/>
                <w:b/>
                <w:bCs/>
                <w:color w:val="000000"/>
                <w:sz w:val="20"/>
                <w:szCs w:val="20"/>
                <w:lang w:val="en-GB"/>
              </w:rPr>
              <w:t xml:space="preserve"> </w:t>
            </w:r>
            <w:r w:rsidRPr="00B21FAC">
              <w:rPr>
                <w:rFonts w:cstheme="minorHAnsi"/>
                <w:color w:val="000000"/>
                <w:sz w:val="20"/>
                <w:szCs w:val="20"/>
                <w:lang w:val="en-GB"/>
              </w:rPr>
              <w:t>In comparison to other EU economies, most fossil fuel use in Belgium appears rather lightly taxed and benefits from non-negligible subsidization. Therefore, the recent compilation of an inventory of fossil-fuel subsidies by the authorities is welcome and should be followed-up by the adoption of measures for their gradual phase-out by the end of 2021 as planned.</w:t>
            </w:r>
            <w:r w:rsidR="007E2C13" w:rsidRPr="00B21FAC">
              <w:rPr>
                <w:rFonts w:cstheme="minorHAnsi"/>
                <w:color w:val="000000"/>
                <w:sz w:val="20"/>
                <w:szCs w:val="20"/>
                <w:lang w:val="en-GB"/>
              </w:rPr>
              <w:t xml:space="preserve"> </w:t>
            </w:r>
            <w:r w:rsidRPr="00B21FAC">
              <w:rPr>
                <w:rFonts w:cstheme="minorHAnsi"/>
                <w:color w:val="000000"/>
                <w:sz w:val="20"/>
                <w:szCs w:val="20"/>
                <w:lang w:val="en-GB"/>
              </w:rPr>
              <w:t xml:space="preserve">Likewise, taxation reform incentivizing procurement of emissions-neutral company cars is a promising start, as their sizable share of the vehicle fleet and generally-shorter replacement cycle offer scope for rapid progress. </w:t>
            </w:r>
            <w:r w:rsidR="00842F87" w:rsidRPr="00B21FAC">
              <w:rPr>
                <w:rFonts w:cstheme="minorHAnsi"/>
                <w:color w:val="000000"/>
                <w:sz w:val="20"/>
                <w:szCs w:val="20"/>
                <w:lang w:val="en-GB"/>
              </w:rPr>
              <w:t xml:space="preserve">– IMF </w:t>
            </w:r>
            <w:r w:rsidR="00D77187" w:rsidRPr="00B21FAC">
              <w:rPr>
                <w:rFonts w:ascii="Segoe UI" w:hAnsi="Segoe UI" w:cs="Segoe UI"/>
                <w:color w:val="000000"/>
                <w:sz w:val="11"/>
                <w:szCs w:val="11"/>
                <w:lang w:val="en-GB"/>
              </w:rPr>
              <w:t xml:space="preserve"> </w:t>
            </w:r>
          </w:p>
          <w:p w14:paraId="61D706D1" w14:textId="77777777" w:rsidR="005556DA" w:rsidRDefault="00D77187" w:rsidP="00B84BE6">
            <w:pPr>
              <w:pStyle w:val="Lijstalinea"/>
              <w:numPr>
                <w:ilvl w:val="0"/>
                <w:numId w:val="6"/>
              </w:numPr>
              <w:autoSpaceDE w:val="0"/>
              <w:autoSpaceDN w:val="0"/>
              <w:adjustRightInd w:val="0"/>
              <w:spacing w:line="259" w:lineRule="auto"/>
              <w:ind w:left="315"/>
              <w:jc w:val="both"/>
              <w:rPr>
                <w:rFonts w:cstheme="minorHAnsi"/>
                <w:color w:val="000000"/>
                <w:sz w:val="20"/>
                <w:szCs w:val="20"/>
                <w:lang w:val="en-GB"/>
              </w:rPr>
            </w:pPr>
            <w:r w:rsidRPr="00B21FAC">
              <w:rPr>
                <w:rFonts w:cstheme="minorHAnsi"/>
                <w:color w:val="000000"/>
                <w:sz w:val="20"/>
                <w:szCs w:val="20"/>
                <w:lang w:val="en-GB"/>
              </w:rPr>
              <w:t xml:space="preserve">Still, more, and accelerated, efforts are needed, calling for a policy mix to discourage carbon-emitting activities. With the federal government principally in favor of pricing GHG emissions in an effective and predictable manner, widening emissions trading to sectors not currently included in the ETS, as also proposed by the EU, should be contemplated, potentially by developing a national scheme, as recently done by Germany. Besides, devising and communicating a long-term trajectory for carbon taxation, in line with a range of EU countries, would steer firms and households towards more climate-friendly fuel sources. Lastly, feebates and regulations should accompany a ramp-up of carbon taxes, both to provide additional incentive mechanisms and to stay within the political limits of exclusively price-based signals. </w:t>
            </w:r>
            <w:r w:rsidR="001B6F3F" w:rsidRPr="00B21FAC">
              <w:rPr>
                <w:rFonts w:cstheme="minorHAnsi"/>
                <w:color w:val="000000"/>
                <w:sz w:val="20"/>
                <w:szCs w:val="20"/>
                <w:lang w:val="en-GB"/>
              </w:rPr>
              <w:t xml:space="preserve">– IMF </w:t>
            </w:r>
          </w:p>
          <w:p w14:paraId="032F4002" w14:textId="35025A6C" w:rsidR="005556DA" w:rsidRPr="005556DA" w:rsidRDefault="005556DA" w:rsidP="00B84BE6">
            <w:pPr>
              <w:pStyle w:val="Lijstalinea"/>
              <w:numPr>
                <w:ilvl w:val="0"/>
                <w:numId w:val="6"/>
              </w:numPr>
              <w:autoSpaceDE w:val="0"/>
              <w:autoSpaceDN w:val="0"/>
              <w:adjustRightInd w:val="0"/>
              <w:spacing w:line="259" w:lineRule="auto"/>
              <w:ind w:left="315"/>
              <w:jc w:val="both"/>
              <w:rPr>
                <w:rFonts w:cstheme="minorHAnsi"/>
                <w:color w:val="000000"/>
                <w:sz w:val="20"/>
                <w:szCs w:val="20"/>
                <w:lang w:val="en-GB"/>
              </w:rPr>
            </w:pPr>
            <w:r w:rsidRPr="005556DA">
              <w:rPr>
                <w:sz w:val="20"/>
                <w:szCs w:val="20"/>
                <w:lang w:val="en-US"/>
              </w:rPr>
              <w:t xml:space="preserve">Belgium’s energy taxation still encourages the use of fossil fuels. Excise duties on fossil fuels used for heating (e.g. gas oil, natural gas) are low, particularly compared to electricity. This discourages the investment in low carbon heating solutions and leads to fossil fuel subsidies. Flanking measures focused on energy efficiency may be needed to support the most vulnerable households. As highlighted by the Belgian Court of Audit (2022), the partial refund of excise duties on diesel for professional use goes against environmental objectives and benefits an increasing number of road transporters, leading to growing traffic transit and an increasing budgetary cost. Other environmentally harmful subsidies include a tax exemption for energy used in agriculture and fisheries, as well as reduced VAT rates for coal and coke. – </w:t>
            </w:r>
            <w:r>
              <w:rPr>
                <w:sz w:val="20"/>
                <w:szCs w:val="20"/>
                <w:lang w:val="en-US"/>
              </w:rPr>
              <w:t>EUROPESE COMMISSIE</w:t>
            </w:r>
          </w:p>
          <w:p w14:paraId="10E437C4" w14:textId="4E8693FB" w:rsidR="00547BC0" w:rsidRDefault="00547BC0" w:rsidP="00BA7E3E">
            <w:pPr>
              <w:spacing w:line="259" w:lineRule="auto"/>
              <w:jc w:val="both"/>
              <w:rPr>
                <w:sz w:val="20"/>
                <w:szCs w:val="20"/>
                <w:lang w:val="en-GB"/>
              </w:rPr>
            </w:pPr>
          </w:p>
          <w:p w14:paraId="1BE7DF26" w14:textId="77777777" w:rsidR="00612724" w:rsidRPr="00B21FAC" w:rsidRDefault="00612724" w:rsidP="00BA7E3E">
            <w:pPr>
              <w:spacing w:line="259" w:lineRule="auto"/>
              <w:jc w:val="both"/>
              <w:rPr>
                <w:sz w:val="20"/>
                <w:szCs w:val="20"/>
                <w:lang w:val="en-GB"/>
              </w:rPr>
            </w:pPr>
          </w:p>
          <w:p w14:paraId="1E3C0F68" w14:textId="77777777" w:rsidR="00547BC0" w:rsidRPr="00A16B28" w:rsidRDefault="00547BC0" w:rsidP="00B84BE6">
            <w:pPr>
              <w:pStyle w:val="Lijstalinea"/>
              <w:numPr>
                <w:ilvl w:val="0"/>
                <w:numId w:val="6"/>
              </w:numPr>
              <w:spacing w:line="259" w:lineRule="auto"/>
              <w:ind w:left="321"/>
              <w:jc w:val="both"/>
              <w:rPr>
                <w:sz w:val="20"/>
                <w:szCs w:val="20"/>
                <w:lang w:val="en-GB"/>
              </w:rPr>
            </w:pPr>
            <w:r w:rsidRPr="00A16B28">
              <w:rPr>
                <w:sz w:val="20"/>
                <w:szCs w:val="20"/>
                <w:lang w:val="en-GB"/>
              </w:rPr>
              <w:t>Improve the efficiency of public support for business R&amp;D by achieving an appropriate mix of direct and indirect measures.</w:t>
            </w:r>
          </w:p>
          <w:p w14:paraId="0127BAEA" w14:textId="2F1A4D79" w:rsidR="00547BC0" w:rsidRPr="00A16B28" w:rsidRDefault="00547BC0" w:rsidP="00BA7E3E">
            <w:pPr>
              <w:pStyle w:val="Lijstalinea"/>
              <w:spacing w:line="259" w:lineRule="auto"/>
              <w:ind w:left="320"/>
              <w:jc w:val="both"/>
              <w:rPr>
                <w:sz w:val="20"/>
                <w:szCs w:val="20"/>
              </w:rPr>
            </w:pPr>
            <w:r w:rsidRPr="00A16B28">
              <w:rPr>
                <w:sz w:val="20"/>
                <w:szCs w:val="20"/>
              </w:rPr>
              <w:t xml:space="preserve">Introduce immediate refundability of R&amp;D tax credits. – OECD </w:t>
            </w:r>
            <w:r w:rsidR="00F20357" w:rsidRPr="00A16B28">
              <w:rPr>
                <w:sz w:val="20"/>
                <w:szCs w:val="20"/>
              </w:rPr>
              <w:t xml:space="preserve">(zie in dit verband ook het Rapport van het Rekenhof: </w:t>
            </w:r>
            <w:hyperlink r:id="rId15" w:history="1">
              <w:r w:rsidR="00F20357" w:rsidRPr="00303355">
                <w:rPr>
                  <w:color w:val="0000FF"/>
                  <w:sz w:val="20"/>
                  <w:szCs w:val="20"/>
                  <w:u w:val="single"/>
                </w:rPr>
                <w:t>2021_57_SteunVennootschapsbelasting.pdf</w:t>
              </w:r>
            </w:hyperlink>
          </w:p>
          <w:p w14:paraId="6C3A43F9" w14:textId="77777777" w:rsidR="00547BC0" w:rsidRPr="00BA7E3E" w:rsidRDefault="00547BC0" w:rsidP="00BA7E3E">
            <w:pPr>
              <w:spacing w:line="259" w:lineRule="auto"/>
              <w:jc w:val="both"/>
              <w:rPr>
                <w:sz w:val="20"/>
                <w:szCs w:val="20"/>
              </w:rPr>
            </w:pPr>
          </w:p>
        </w:tc>
      </w:tr>
    </w:tbl>
    <w:p w14:paraId="2317D5AB" w14:textId="77777777" w:rsidR="00EA3F9D" w:rsidRDefault="00EA3F9D">
      <w:pPr>
        <w:spacing w:after="0"/>
        <w:jc w:val="both"/>
      </w:pPr>
    </w:p>
    <w:p w14:paraId="3ED10446" w14:textId="77777777" w:rsidR="00EA3F9D" w:rsidRDefault="00EA3F9D">
      <w:r>
        <w:br w:type="page"/>
      </w:r>
    </w:p>
    <w:p w14:paraId="01B31ED9" w14:textId="77777777" w:rsidR="00547BC0" w:rsidRPr="00BA7E3E" w:rsidRDefault="00547BC0" w:rsidP="00BA7E3E">
      <w:pPr>
        <w:spacing w:after="0"/>
        <w:jc w:val="both"/>
      </w:pPr>
    </w:p>
    <w:p w14:paraId="4FB3176A" w14:textId="77777777" w:rsidR="00547BC0" w:rsidRPr="00BA7E3E" w:rsidRDefault="00547BC0" w:rsidP="00BA7E3E">
      <w:pPr>
        <w:spacing w:after="0"/>
        <w:jc w:val="both"/>
      </w:pPr>
    </w:p>
    <w:p w14:paraId="24961A46" w14:textId="49AA0912" w:rsidR="00547BC0" w:rsidRPr="00B21FAC" w:rsidRDefault="00547BC0" w:rsidP="00BA7E3E">
      <w:pPr>
        <w:pStyle w:val="Kop3"/>
        <w:numPr>
          <w:ilvl w:val="0"/>
          <w:numId w:val="99"/>
        </w:numPr>
        <w:spacing w:before="0"/>
      </w:pPr>
      <w:bookmarkStart w:id="21" w:name="_Toc107210879"/>
      <w:r w:rsidRPr="00B21FAC">
        <w:t>Herverdeling</w:t>
      </w:r>
      <w:bookmarkEnd w:id="21"/>
    </w:p>
    <w:p w14:paraId="2D7AB4F7" w14:textId="77777777" w:rsidR="00547BC0" w:rsidRPr="00B21FAC" w:rsidRDefault="00547BC0" w:rsidP="00BA7E3E">
      <w:pPr>
        <w:spacing w:after="0"/>
        <w:ind w:right="1"/>
        <w:jc w:val="both"/>
      </w:pPr>
    </w:p>
    <w:p w14:paraId="78C56CAD" w14:textId="77777777" w:rsidR="00547BC0" w:rsidRPr="00B21FAC" w:rsidRDefault="00547BC0" w:rsidP="00BA7E3E">
      <w:pPr>
        <w:spacing w:after="0"/>
        <w:ind w:right="1"/>
        <w:jc w:val="both"/>
      </w:pPr>
    </w:p>
    <w:p w14:paraId="48E72AFF" w14:textId="134303F0" w:rsidR="00547BC0" w:rsidRPr="00B21FAC" w:rsidRDefault="00547BC0" w:rsidP="00BA7E3E">
      <w:pPr>
        <w:spacing w:after="0"/>
        <w:ind w:right="1"/>
        <w:jc w:val="both"/>
      </w:pPr>
      <w:r w:rsidRPr="00B21FAC">
        <w:t xml:space="preserve">Naast een zo hoog mogelijke economische efficiëntie beoogt een belastingsysteem ook een zekere </w:t>
      </w:r>
      <w:r w:rsidRPr="00B21FAC">
        <w:rPr>
          <w:u w:val="single"/>
        </w:rPr>
        <w:t>herverdeling</w:t>
      </w:r>
      <w:r w:rsidRPr="00B21FAC">
        <w:t xml:space="preserve"> van de welvaart tussen individuen. Dit wordt beschouwd als een vereiste van sociale rechtvaardigheid waarbij de meer welvarenden een stuk welvaart overdragen aan de minder welvarenden. Een herverdelingsdoelstelling conflicteert vaak (althans wat de implementatie ervan betreft) met de efficiëntiedoelstelling. Het komt er dan ook </w:t>
      </w:r>
      <w:r w:rsidR="00B53B54" w:rsidRPr="00B21FAC">
        <w:t xml:space="preserve">op </w:t>
      </w:r>
      <w:r w:rsidRPr="00B21FAC">
        <w:t xml:space="preserve">aan een optimaal evenwicht na te streven tussen de efficiëntiedoelstelling enerzijds en de door de samenleving gewenste mate van welvaartsverdeling anderzijds. </w:t>
      </w:r>
    </w:p>
    <w:p w14:paraId="6769661B" w14:textId="77777777" w:rsidR="00547BC0" w:rsidRPr="00B21FAC" w:rsidRDefault="00547BC0" w:rsidP="00BA7E3E">
      <w:pPr>
        <w:spacing w:after="0"/>
        <w:ind w:right="1"/>
        <w:jc w:val="both"/>
      </w:pPr>
    </w:p>
    <w:p w14:paraId="517F021C" w14:textId="3C48671E" w:rsidR="00547BC0" w:rsidRPr="00B21FAC" w:rsidRDefault="00547BC0" w:rsidP="00BA7E3E">
      <w:pPr>
        <w:spacing w:after="0"/>
        <w:ind w:right="1"/>
        <w:jc w:val="both"/>
      </w:pPr>
      <w:r w:rsidRPr="00B21FAC">
        <w:t>In de onderstaande tabel wordt een overzicht aangereikt van de diverse aanbevelingen (HRF en OESO), in combinatie met de afspraken blijkend uit het Regeerakkoord (rechterkolom). De aanbevelingen en afspraken worden daarbij gegroepeerd en in verband gebracht met de theoretische principes en economische inzichten in dit verband (zie voor een ruimer overzicht</w:t>
      </w:r>
      <w:r w:rsidR="000B06C9">
        <w:t xml:space="preserve"> opnieuw</w:t>
      </w:r>
      <w:r w:rsidRPr="00B21FAC">
        <w:t>: R. Schoonackers en S. Van  Parys, “Voorbeschouwingen: inzichten uit de economische literatuur over optimale belastingsystemen”, gevoegd aan het advies van mei 2020 van de HRF).</w:t>
      </w:r>
    </w:p>
    <w:p w14:paraId="1080C005" w14:textId="77777777" w:rsidR="00547BC0" w:rsidRPr="00B21FAC" w:rsidRDefault="00547BC0" w:rsidP="00BA7E3E">
      <w:pPr>
        <w:spacing w:after="0"/>
        <w:ind w:right="1"/>
        <w:jc w:val="both"/>
      </w:pPr>
    </w:p>
    <w:p w14:paraId="36533D1C" w14:textId="77777777" w:rsidR="00547BC0" w:rsidRPr="00B21FAC" w:rsidRDefault="00547BC0" w:rsidP="00BA7E3E">
      <w:pPr>
        <w:spacing w:after="0"/>
        <w:ind w:left="-993" w:right="1"/>
        <w:jc w:val="both"/>
      </w:pPr>
    </w:p>
    <w:tbl>
      <w:tblPr>
        <w:tblStyle w:val="Tabelraster"/>
        <w:tblW w:w="10774" w:type="dxa"/>
        <w:tblInd w:w="-998" w:type="dxa"/>
        <w:tblLook w:val="04A0" w:firstRow="1" w:lastRow="0" w:firstColumn="1" w:lastColumn="0" w:noHBand="0" w:noVBand="1"/>
      </w:tblPr>
      <w:tblGrid>
        <w:gridCol w:w="5813"/>
        <w:gridCol w:w="4961"/>
      </w:tblGrid>
      <w:tr w:rsidR="00547BC0" w:rsidRPr="00B21FAC" w14:paraId="6F129144" w14:textId="77777777" w:rsidTr="00FB3500">
        <w:trPr>
          <w:trHeight w:val="360"/>
        </w:trPr>
        <w:tc>
          <w:tcPr>
            <w:tcW w:w="10774" w:type="dxa"/>
            <w:gridSpan w:val="2"/>
          </w:tcPr>
          <w:p w14:paraId="325C24FA" w14:textId="77777777" w:rsidR="00547BC0" w:rsidRPr="00B21FAC" w:rsidRDefault="00547BC0" w:rsidP="00BA7E3E">
            <w:pPr>
              <w:spacing w:line="259" w:lineRule="auto"/>
              <w:rPr>
                <w:sz w:val="20"/>
                <w:szCs w:val="20"/>
              </w:rPr>
            </w:pPr>
          </w:p>
          <w:p w14:paraId="14036171" w14:textId="77777777" w:rsidR="00547BC0" w:rsidRPr="00B21FAC" w:rsidRDefault="00547BC0" w:rsidP="00BA7E3E">
            <w:pPr>
              <w:spacing w:line="259" w:lineRule="auto"/>
              <w:jc w:val="center"/>
              <w:rPr>
                <w:b/>
                <w:bCs/>
                <w:caps/>
                <w:sz w:val="20"/>
                <w:szCs w:val="20"/>
              </w:rPr>
            </w:pPr>
            <w:r w:rsidRPr="00B21FAC">
              <w:rPr>
                <w:b/>
                <w:bCs/>
                <w:caps/>
                <w:sz w:val="20"/>
                <w:szCs w:val="20"/>
              </w:rPr>
              <w:t>Herverdeling en draagkracht</w:t>
            </w:r>
          </w:p>
          <w:p w14:paraId="60BDDEA0" w14:textId="77777777" w:rsidR="00547BC0" w:rsidRPr="00B21FAC" w:rsidRDefault="00547BC0" w:rsidP="00BA7E3E">
            <w:pPr>
              <w:spacing w:line="259" w:lineRule="auto"/>
              <w:rPr>
                <w:sz w:val="20"/>
                <w:szCs w:val="20"/>
              </w:rPr>
            </w:pPr>
          </w:p>
        </w:tc>
      </w:tr>
      <w:tr w:rsidR="00547BC0" w:rsidRPr="00B21FAC" w14:paraId="0D1FE45C" w14:textId="77777777" w:rsidTr="00FB3500">
        <w:trPr>
          <w:trHeight w:val="360"/>
        </w:trPr>
        <w:tc>
          <w:tcPr>
            <w:tcW w:w="5813" w:type="dxa"/>
          </w:tcPr>
          <w:p w14:paraId="365BC22F" w14:textId="77777777" w:rsidR="00547BC0" w:rsidRPr="00B21FAC" w:rsidRDefault="00547BC0" w:rsidP="00BA7E3E">
            <w:pPr>
              <w:spacing w:line="259" w:lineRule="auto"/>
              <w:rPr>
                <w:sz w:val="20"/>
                <w:szCs w:val="20"/>
              </w:rPr>
            </w:pPr>
          </w:p>
        </w:tc>
        <w:tc>
          <w:tcPr>
            <w:tcW w:w="4961" w:type="dxa"/>
          </w:tcPr>
          <w:p w14:paraId="79354EE0" w14:textId="77777777" w:rsidR="00547BC0" w:rsidRPr="00B21FAC" w:rsidRDefault="00547BC0" w:rsidP="00BA7E3E">
            <w:pPr>
              <w:spacing w:line="259" w:lineRule="auto"/>
              <w:rPr>
                <w:sz w:val="20"/>
                <w:szCs w:val="20"/>
              </w:rPr>
            </w:pPr>
          </w:p>
        </w:tc>
      </w:tr>
      <w:tr w:rsidR="00547BC0" w:rsidRPr="00B21FAC" w14:paraId="12B8D1A5" w14:textId="77777777" w:rsidTr="00FB3500">
        <w:trPr>
          <w:trHeight w:val="360"/>
        </w:trPr>
        <w:tc>
          <w:tcPr>
            <w:tcW w:w="5813" w:type="dxa"/>
          </w:tcPr>
          <w:p w14:paraId="1B885000" w14:textId="77777777" w:rsidR="00547BC0" w:rsidRPr="00B21FAC" w:rsidRDefault="00547BC0" w:rsidP="00BA7E3E">
            <w:pPr>
              <w:spacing w:line="259" w:lineRule="auto"/>
              <w:jc w:val="both"/>
              <w:rPr>
                <w:sz w:val="20"/>
                <w:szCs w:val="20"/>
              </w:rPr>
            </w:pPr>
            <w:r w:rsidRPr="00B21FAC">
              <w:rPr>
                <w:sz w:val="20"/>
                <w:szCs w:val="20"/>
              </w:rPr>
              <w:t>Herverdeling is best te bewerkstelligen via de personenbelasting (inz. via de progressieve tarieven) en uitkeringen</w:t>
            </w:r>
          </w:p>
          <w:p w14:paraId="5771DAC7" w14:textId="2968C580" w:rsidR="00547BC0" w:rsidRDefault="00547BC0" w:rsidP="00BA7E3E">
            <w:pPr>
              <w:spacing w:line="259" w:lineRule="auto"/>
              <w:jc w:val="both"/>
              <w:rPr>
                <w:sz w:val="20"/>
                <w:szCs w:val="20"/>
              </w:rPr>
            </w:pPr>
          </w:p>
          <w:p w14:paraId="336D8004" w14:textId="77777777" w:rsidR="00570E6D" w:rsidRPr="00B21FAC" w:rsidRDefault="00570E6D" w:rsidP="00BA7E3E">
            <w:pPr>
              <w:spacing w:line="259" w:lineRule="auto"/>
              <w:jc w:val="both"/>
              <w:rPr>
                <w:sz w:val="20"/>
                <w:szCs w:val="20"/>
              </w:rPr>
            </w:pPr>
          </w:p>
          <w:p w14:paraId="4360CC0B" w14:textId="142877F3" w:rsidR="00547BC0" w:rsidRPr="00B21FAC" w:rsidRDefault="00435DA0" w:rsidP="00BA7E3E">
            <w:pPr>
              <w:spacing w:line="259" w:lineRule="auto"/>
              <w:jc w:val="both"/>
              <w:rPr>
                <w:sz w:val="20"/>
                <w:szCs w:val="20"/>
              </w:rPr>
            </w:pPr>
            <w:r>
              <w:rPr>
                <w:sz w:val="20"/>
                <w:szCs w:val="20"/>
              </w:rPr>
              <w:t xml:space="preserve">PM: </w:t>
            </w:r>
            <w:r w:rsidR="00547BC0" w:rsidRPr="00B21FAC">
              <w:rPr>
                <w:sz w:val="20"/>
                <w:szCs w:val="20"/>
              </w:rPr>
              <w:t xml:space="preserve">Een verschuiving naar consumptiebelastingen kan </w:t>
            </w:r>
            <w:r w:rsidR="001F2888">
              <w:rPr>
                <w:sz w:val="20"/>
                <w:szCs w:val="20"/>
              </w:rPr>
              <w:t>wel</w:t>
            </w:r>
            <w:r w:rsidR="001F2888" w:rsidRPr="00B21FAC">
              <w:rPr>
                <w:sz w:val="20"/>
                <w:szCs w:val="20"/>
              </w:rPr>
              <w:t xml:space="preserve"> </w:t>
            </w:r>
            <w:r w:rsidR="00547BC0" w:rsidRPr="00B21FAC">
              <w:rPr>
                <w:sz w:val="20"/>
                <w:szCs w:val="20"/>
              </w:rPr>
              <w:t xml:space="preserve">nadelig zijn vanuit herverdelingsoogpunt (geen progressiviteit). Om die reden voorzien vele landen in hun btw-stelsel verlaagde tarieven en vrijstellingen. Nochtans </w:t>
            </w:r>
            <w:r w:rsidR="00705D88">
              <w:rPr>
                <w:sz w:val="20"/>
                <w:szCs w:val="20"/>
              </w:rPr>
              <w:t xml:space="preserve">zijn er </w:t>
            </w:r>
            <w:r w:rsidR="00547BC0" w:rsidRPr="00B21FAC">
              <w:rPr>
                <w:sz w:val="20"/>
                <w:szCs w:val="20"/>
              </w:rPr>
              <w:t xml:space="preserve">goede redenen om een uniform tarief op alle goederen en diensten als uitgangspunt te nemen. Om de herverdelingsdoelstelling te handhaven, is het dus </w:t>
            </w:r>
            <w:r w:rsidR="00E02168" w:rsidRPr="00B21FAC">
              <w:rPr>
                <w:sz w:val="20"/>
                <w:szCs w:val="20"/>
              </w:rPr>
              <w:t>effic</w:t>
            </w:r>
            <w:r w:rsidR="00E02168">
              <w:rPr>
                <w:sz w:val="20"/>
                <w:szCs w:val="20"/>
              </w:rPr>
              <w:t>iënter</w:t>
            </w:r>
            <w:r w:rsidR="00547BC0" w:rsidRPr="00B21FAC">
              <w:rPr>
                <w:sz w:val="20"/>
                <w:szCs w:val="20"/>
              </w:rPr>
              <w:t xml:space="preserve"> om de progressiviteit van de inkomstenbelasting en de uitkeringen bij te stellen</w:t>
            </w:r>
            <w:r w:rsidR="00BE4C70">
              <w:rPr>
                <w:sz w:val="20"/>
                <w:szCs w:val="20"/>
              </w:rPr>
              <w:t>.</w:t>
            </w:r>
          </w:p>
          <w:p w14:paraId="73809F0E" w14:textId="77777777" w:rsidR="00547BC0" w:rsidRPr="00B21FAC" w:rsidRDefault="00547BC0" w:rsidP="00BA7E3E">
            <w:pPr>
              <w:spacing w:line="259" w:lineRule="auto"/>
              <w:jc w:val="both"/>
              <w:rPr>
                <w:sz w:val="20"/>
                <w:szCs w:val="20"/>
              </w:rPr>
            </w:pPr>
          </w:p>
        </w:tc>
        <w:tc>
          <w:tcPr>
            <w:tcW w:w="4961" w:type="dxa"/>
          </w:tcPr>
          <w:p w14:paraId="2862CCDB" w14:textId="77777777" w:rsidR="00547BC0" w:rsidRPr="00B21FAC" w:rsidRDefault="00547BC0" w:rsidP="00B84BE6">
            <w:pPr>
              <w:pStyle w:val="Lijstalinea"/>
              <w:numPr>
                <w:ilvl w:val="0"/>
                <w:numId w:val="6"/>
              </w:numPr>
              <w:spacing w:line="259" w:lineRule="auto"/>
              <w:ind w:left="321"/>
              <w:jc w:val="both"/>
              <w:rPr>
                <w:sz w:val="20"/>
                <w:szCs w:val="20"/>
              </w:rPr>
            </w:pPr>
            <w:r w:rsidRPr="00B21FAC">
              <w:rPr>
                <w:sz w:val="20"/>
                <w:szCs w:val="20"/>
              </w:rPr>
              <w:t>Zorg ervoor dat inkomens beneden het leefloon niet worden belast – HRF</w:t>
            </w:r>
          </w:p>
          <w:p w14:paraId="7159AF45" w14:textId="77777777" w:rsidR="00547BC0" w:rsidRPr="00B21FAC" w:rsidRDefault="00547BC0" w:rsidP="00BA7E3E">
            <w:pPr>
              <w:spacing w:line="259" w:lineRule="auto"/>
              <w:ind w:left="-39"/>
              <w:jc w:val="both"/>
              <w:rPr>
                <w:sz w:val="20"/>
                <w:szCs w:val="20"/>
              </w:rPr>
            </w:pPr>
          </w:p>
          <w:p w14:paraId="2BCAEF4E" w14:textId="77777777" w:rsidR="00547BC0" w:rsidRPr="00B21FAC" w:rsidRDefault="00547BC0" w:rsidP="00BA7E3E">
            <w:pPr>
              <w:spacing w:line="259" w:lineRule="auto"/>
              <w:jc w:val="both"/>
              <w:rPr>
                <w:sz w:val="20"/>
                <w:szCs w:val="20"/>
              </w:rPr>
            </w:pPr>
          </w:p>
          <w:p w14:paraId="234B3E28" w14:textId="77777777" w:rsidR="00547BC0" w:rsidRPr="00B21FAC" w:rsidRDefault="00547BC0" w:rsidP="00B84BE6">
            <w:pPr>
              <w:pStyle w:val="Lijstalinea"/>
              <w:numPr>
                <w:ilvl w:val="0"/>
                <w:numId w:val="6"/>
              </w:numPr>
              <w:spacing w:line="259" w:lineRule="auto"/>
              <w:ind w:left="321"/>
              <w:jc w:val="both"/>
              <w:rPr>
                <w:sz w:val="20"/>
                <w:szCs w:val="20"/>
                <w:lang w:val="en-GB"/>
              </w:rPr>
            </w:pPr>
            <w:r w:rsidRPr="00B21FAC">
              <w:rPr>
                <w:sz w:val="20"/>
                <w:szCs w:val="20"/>
                <w:lang w:val="en-GB"/>
              </w:rPr>
              <w:t>Align those reduced value-added tax rates that are regressive with the standard rates. - OECD</w:t>
            </w:r>
          </w:p>
          <w:p w14:paraId="189C4E90" w14:textId="77777777" w:rsidR="00547BC0" w:rsidRPr="00B21FAC" w:rsidRDefault="00547BC0" w:rsidP="00BA7E3E">
            <w:pPr>
              <w:spacing w:line="259" w:lineRule="auto"/>
              <w:jc w:val="both"/>
              <w:rPr>
                <w:sz w:val="20"/>
                <w:szCs w:val="20"/>
                <w:lang w:val="en-GB"/>
              </w:rPr>
            </w:pPr>
          </w:p>
          <w:p w14:paraId="3F7EAF79" w14:textId="77777777" w:rsidR="00547BC0" w:rsidRPr="00B21FAC" w:rsidRDefault="00547BC0" w:rsidP="00BA7E3E">
            <w:pPr>
              <w:spacing w:line="259" w:lineRule="auto"/>
              <w:jc w:val="both"/>
              <w:rPr>
                <w:sz w:val="20"/>
                <w:szCs w:val="20"/>
                <w:lang w:val="en-GB"/>
              </w:rPr>
            </w:pPr>
          </w:p>
          <w:p w14:paraId="7A1E8188" w14:textId="09EDEDEC" w:rsidR="00547BC0" w:rsidRDefault="00547BC0" w:rsidP="00BA7E3E">
            <w:pPr>
              <w:spacing w:line="259" w:lineRule="auto"/>
              <w:jc w:val="both"/>
              <w:rPr>
                <w:sz w:val="20"/>
                <w:szCs w:val="20"/>
                <w:lang w:val="en-GB"/>
              </w:rPr>
            </w:pPr>
          </w:p>
          <w:p w14:paraId="07CD39CD" w14:textId="1E84942E" w:rsidR="00570E6D" w:rsidRDefault="00570E6D" w:rsidP="00BA7E3E">
            <w:pPr>
              <w:spacing w:line="259" w:lineRule="auto"/>
              <w:jc w:val="both"/>
              <w:rPr>
                <w:sz w:val="20"/>
                <w:szCs w:val="20"/>
                <w:lang w:val="en-GB"/>
              </w:rPr>
            </w:pPr>
          </w:p>
          <w:p w14:paraId="5F356EC4" w14:textId="77777777" w:rsidR="00570E6D" w:rsidRPr="00B21FAC" w:rsidRDefault="00570E6D" w:rsidP="00BA7E3E">
            <w:pPr>
              <w:spacing w:line="259" w:lineRule="auto"/>
              <w:jc w:val="both"/>
              <w:rPr>
                <w:sz w:val="20"/>
                <w:szCs w:val="20"/>
                <w:lang w:val="en-GB"/>
              </w:rPr>
            </w:pPr>
          </w:p>
          <w:p w14:paraId="7F5C30AB" w14:textId="77777777" w:rsidR="00547BC0" w:rsidRPr="00B21FAC" w:rsidRDefault="00547BC0" w:rsidP="00BA7E3E">
            <w:pPr>
              <w:spacing w:line="259" w:lineRule="auto"/>
              <w:jc w:val="both"/>
              <w:rPr>
                <w:sz w:val="20"/>
                <w:szCs w:val="20"/>
                <w:lang w:val="en-GB"/>
              </w:rPr>
            </w:pPr>
          </w:p>
          <w:p w14:paraId="0EC4107A" w14:textId="77777777" w:rsidR="00547BC0" w:rsidRPr="00B21FAC" w:rsidRDefault="00547BC0" w:rsidP="00B84BE6">
            <w:pPr>
              <w:pStyle w:val="Lijstalinea"/>
              <w:numPr>
                <w:ilvl w:val="0"/>
                <w:numId w:val="6"/>
              </w:numPr>
              <w:spacing w:line="259" w:lineRule="auto"/>
              <w:ind w:left="321"/>
              <w:jc w:val="both"/>
              <w:rPr>
                <w:sz w:val="20"/>
                <w:szCs w:val="20"/>
              </w:rPr>
            </w:pPr>
            <w:r w:rsidRPr="00B21FAC">
              <w:rPr>
                <w:sz w:val="20"/>
                <w:szCs w:val="20"/>
              </w:rPr>
              <w:t>De overheid zal streven naar een eerlijke bijdrage van die personen die de grootste draagkracht hebben om bij te dragen, met respect voor het ondernemerschap. Deze bijdrage zal deel uitmaken van de inspanningen die nodig zijn in de huidige gezondheidscontext en de behoeften van de gezondheidszorg. Bij de volgende begrotingscontrole zal een voorstel worden ingediend. - REGEERAKKOORD</w:t>
            </w:r>
          </w:p>
        </w:tc>
      </w:tr>
      <w:tr w:rsidR="00547BC0" w:rsidRPr="00562ABA" w14:paraId="47B36307" w14:textId="77777777" w:rsidTr="00FB3500">
        <w:trPr>
          <w:trHeight w:val="360"/>
        </w:trPr>
        <w:tc>
          <w:tcPr>
            <w:tcW w:w="5813" w:type="dxa"/>
          </w:tcPr>
          <w:p w14:paraId="574F58B1" w14:textId="1863EEBB" w:rsidR="00547BC0" w:rsidRPr="00B21FAC" w:rsidRDefault="00547BC0" w:rsidP="00BA7E3E">
            <w:pPr>
              <w:spacing w:line="259" w:lineRule="auto"/>
              <w:jc w:val="both"/>
              <w:rPr>
                <w:sz w:val="20"/>
                <w:szCs w:val="20"/>
              </w:rPr>
            </w:pPr>
            <w:r w:rsidRPr="00B21FAC">
              <w:rPr>
                <w:b/>
                <w:bCs/>
                <w:sz w:val="20"/>
                <w:szCs w:val="20"/>
              </w:rPr>
              <w:t>Belasting op arbeid</w:t>
            </w:r>
            <w:r w:rsidRPr="00B21FAC">
              <w:rPr>
                <w:sz w:val="20"/>
                <w:szCs w:val="20"/>
              </w:rPr>
              <w:t xml:space="preserve"> is geschikt om te herverdelen omdat inkomen uit arbeid een aanvaarde benadering vormt voor het verdientalent van personen. </w:t>
            </w:r>
            <w:r w:rsidR="00E2503E">
              <w:rPr>
                <w:sz w:val="20"/>
                <w:szCs w:val="20"/>
              </w:rPr>
              <w:t>De mate van herverdeling wordt g</w:t>
            </w:r>
            <w:r w:rsidRPr="00B21FAC">
              <w:rPr>
                <w:sz w:val="20"/>
                <w:szCs w:val="20"/>
              </w:rPr>
              <w:t>emeten aan de hand van de progressiviteit en de daarmee samenhangende gemiddelde stijging van het gemiddeld effectief belastingtarief</w:t>
            </w:r>
            <w:r w:rsidR="00BE4C70">
              <w:rPr>
                <w:sz w:val="20"/>
                <w:szCs w:val="20"/>
              </w:rPr>
              <w:t>.</w:t>
            </w:r>
          </w:p>
          <w:p w14:paraId="1A0A6F85" w14:textId="77777777" w:rsidR="00547BC0" w:rsidRPr="00B21FAC" w:rsidRDefault="00547BC0" w:rsidP="00BA7E3E">
            <w:pPr>
              <w:spacing w:line="259" w:lineRule="auto"/>
              <w:jc w:val="both"/>
              <w:rPr>
                <w:sz w:val="20"/>
                <w:szCs w:val="20"/>
              </w:rPr>
            </w:pPr>
          </w:p>
        </w:tc>
        <w:tc>
          <w:tcPr>
            <w:tcW w:w="4961" w:type="dxa"/>
          </w:tcPr>
          <w:p w14:paraId="25160C9D" w14:textId="76695AFF" w:rsidR="00FE02F4" w:rsidRDefault="00FE02F4" w:rsidP="00B84BE6">
            <w:pPr>
              <w:pStyle w:val="Lijstalinea"/>
              <w:numPr>
                <w:ilvl w:val="0"/>
                <w:numId w:val="6"/>
              </w:numPr>
              <w:spacing w:line="259" w:lineRule="auto"/>
              <w:ind w:left="313"/>
              <w:jc w:val="both"/>
              <w:rPr>
                <w:sz w:val="20"/>
                <w:szCs w:val="20"/>
                <w:lang w:val="en-GB"/>
              </w:rPr>
            </w:pPr>
            <w:r w:rsidRPr="00B21FAC">
              <w:rPr>
                <w:sz w:val="20"/>
                <w:szCs w:val="20"/>
                <w:lang w:val="en-GB"/>
              </w:rPr>
              <w:t xml:space="preserve">Belgium’s PIT features an overly-narrow range of middle tax brackets, with the highest PIT rate starting at a relatively-low income threshold. To provide relief to low-to-middle income employees, broadening of the two middle bands could be considered, with the top marginal tax rate threshold starting to apply at a higher income level. Determination of the optimal brackets and the threshold of the top marginal tax rate should follow a thorough analysis and calibration of the Mirrlees-Saez model to fit the income distribution in Belgium and derive an optimal schedule of marginal tax rates. Ultimately, the marginal-rate structure will also reflect the authorities’ objectives for work-incentive improvements and fairness, as well as revenue constraints. </w:t>
            </w:r>
            <w:r w:rsidR="006979A7" w:rsidRPr="00B21FAC">
              <w:rPr>
                <w:sz w:val="20"/>
                <w:szCs w:val="20"/>
                <w:lang w:val="en-GB"/>
              </w:rPr>
              <w:t xml:space="preserve">– IMF </w:t>
            </w:r>
          </w:p>
          <w:p w14:paraId="42D4EE02" w14:textId="081B1EDE" w:rsidR="00B60E3A" w:rsidRDefault="002B5D77" w:rsidP="00B84BE6">
            <w:pPr>
              <w:pStyle w:val="Lijstalinea"/>
              <w:numPr>
                <w:ilvl w:val="0"/>
                <w:numId w:val="6"/>
              </w:numPr>
              <w:spacing w:line="259" w:lineRule="auto"/>
              <w:ind w:left="313"/>
              <w:jc w:val="both"/>
              <w:rPr>
                <w:sz w:val="20"/>
                <w:szCs w:val="20"/>
                <w:lang w:val="en-GB"/>
              </w:rPr>
            </w:pPr>
            <w:r>
              <w:rPr>
                <w:sz w:val="20"/>
                <w:szCs w:val="20"/>
                <w:lang w:val="en-GB"/>
              </w:rPr>
              <w:t>Reduce tax expenditures that do not benefit low-income households to finance lower labour taxation for low-wage earners.</w:t>
            </w:r>
            <w:r w:rsidR="00CD6213">
              <w:rPr>
                <w:sz w:val="20"/>
                <w:szCs w:val="20"/>
                <w:lang w:val="en-GB"/>
              </w:rPr>
              <w:t xml:space="preserve"> - OECD</w:t>
            </w:r>
          </w:p>
          <w:p w14:paraId="1D650667" w14:textId="77777777" w:rsidR="00547BC0" w:rsidRPr="00B21FAC" w:rsidRDefault="00547BC0" w:rsidP="002D2720">
            <w:pPr>
              <w:pStyle w:val="Lijstalinea"/>
              <w:ind w:left="313"/>
              <w:jc w:val="both"/>
              <w:rPr>
                <w:sz w:val="20"/>
                <w:szCs w:val="20"/>
                <w:lang w:val="en-GB"/>
              </w:rPr>
            </w:pPr>
          </w:p>
        </w:tc>
      </w:tr>
      <w:tr w:rsidR="00547BC0" w:rsidRPr="00562ABA" w14:paraId="7F17445D" w14:textId="77777777" w:rsidTr="00FB3500">
        <w:trPr>
          <w:trHeight w:val="360"/>
        </w:trPr>
        <w:tc>
          <w:tcPr>
            <w:tcW w:w="5813" w:type="dxa"/>
          </w:tcPr>
          <w:p w14:paraId="47EAD391" w14:textId="266D571E" w:rsidR="00547BC0" w:rsidRPr="00B21FAC" w:rsidRDefault="00547BC0" w:rsidP="00BA7E3E">
            <w:pPr>
              <w:spacing w:line="259" w:lineRule="auto"/>
              <w:jc w:val="both"/>
              <w:rPr>
                <w:sz w:val="20"/>
                <w:szCs w:val="20"/>
              </w:rPr>
            </w:pPr>
            <w:r w:rsidRPr="00B21FAC">
              <w:rPr>
                <w:sz w:val="20"/>
                <w:szCs w:val="20"/>
              </w:rPr>
              <w:t xml:space="preserve">Een </w:t>
            </w:r>
            <w:r w:rsidRPr="00B21FAC">
              <w:rPr>
                <w:b/>
                <w:bCs/>
                <w:sz w:val="20"/>
                <w:szCs w:val="20"/>
              </w:rPr>
              <w:t>belasting op kapitaal</w:t>
            </w:r>
            <w:r w:rsidR="001E1080">
              <w:rPr>
                <w:b/>
                <w:bCs/>
                <w:sz w:val="20"/>
                <w:szCs w:val="20"/>
              </w:rPr>
              <w:t>inkomen</w:t>
            </w:r>
            <w:r w:rsidRPr="00B21FAC">
              <w:rPr>
                <w:sz w:val="20"/>
                <w:szCs w:val="20"/>
              </w:rPr>
              <w:t xml:space="preserve"> kan ook uit herverdelingsoogpunt worden bepleit.</w:t>
            </w:r>
          </w:p>
          <w:p w14:paraId="16C33B38" w14:textId="77777777" w:rsidR="00547BC0" w:rsidRPr="00B21FAC" w:rsidRDefault="00547BC0" w:rsidP="00BA7E3E">
            <w:pPr>
              <w:spacing w:line="259" w:lineRule="auto"/>
              <w:jc w:val="both"/>
              <w:rPr>
                <w:sz w:val="20"/>
                <w:szCs w:val="20"/>
              </w:rPr>
            </w:pPr>
          </w:p>
        </w:tc>
        <w:tc>
          <w:tcPr>
            <w:tcW w:w="4961" w:type="dxa"/>
          </w:tcPr>
          <w:p w14:paraId="562C271C" w14:textId="77777777" w:rsidR="002D2720" w:rsidRDefault="00547BC0" w:rsidP="002D2720">
            <w:pPr>
              <w:pStyle w:val="Lijstalinea"/>
              <w:numPr>
                <w:ilvl w:val="0"/>
                <w:numId w:val="6"/>
              </w:numPr>
              <w:spacing w:line="259" w:lineRule="auto"/>
              <w:ind w:left="321"/>
              <w:jc w:val="both"/>
              <w:rPr>
                <w:sz w:val="20"/>
                <w:szCs w:val="20"/>
              </w:rPr>
            </w:pPr>
            <w:r w:rsidRPr="00B21FAC">
              <w:rPr>
                <w:sz w:val="20"/>
                <w:szCs w:val="20"/>
              </w:rPr>
              <w:t xml:space="preserve">Dankzij een verbreding van de belastbare basis voorzien we een duurzame financiering voor deze verlaging. Het gaat dus om een verschuiving van de fiscale druk. De totale fiscale druk zal niet toenemen aangezien de maatregelen van de fiscale hervorming, rekening houdend met redelijke terugverdieneffecten, in evenwicht zullen moeten zijn </w:t>
            </w:r>
            <w:r w:rsidR="002D2720">
              <w:rPr>
                <w:sz w:val="20"/>
                <w:szCs w:val="20"/>
              </w:rPr>
              <w:t>–</w:t>
            </w:r>
            <w:r w:rsidRPr="00B21FAC">
              <w:rPr>
                <w:sz w:val="20"/>
                <w:szCs w:val="20"/>
              </w:rPr>
              <w:t xml:space="preserve"> REGEERAKKOORD</w:t>
            </w:r>
          </w:p>
          <w:p w14:paraId="71FAEAC1" w14:textId="1FBB2E1B" w:rsidR="002D2720" w:rsidRPr="002D2720" w:rsidRDefault="002D2720" w:rsidP="002D2720">
            <w:pPr>
              <w:pStyle w:val="Lijstalinea"/>
              <w:numPr>
                <w:ilvl w:val="0"/>
                <w:numId w:val="6"/>
              </w:numPr>
              <w:spacing w:line="259" w:lineRule="auto"/>
              <w:ind w:left="321"/>
              <w:jc w:val="both"/>
              <w:rPr>
                <w:sz w:val="20"/>
                <w:szCs w:val="20"/>
                <w:lang w:val="en-GB"/>
              </w:rPr>
            </w:pPr>
            <w:r w:rsidRPr="002D2720">
              <w:rPr>
                <w:sz w:val="20"/>
                <w:szCs w:val="20"/>
                <w:lang w:val="en-GB"/>
              </w:rPr>
              <w:t>Consider introducing a progressive tax rate schedule for taxation of all types of capital, as part of the properly prepared broad tax reform.</w:t>
            </w:r>
            <w:r w:rsidR="00CD6213">
              <w:rPr>
                <w:sz w:val="20"/>
                <w:szCs w:val="20"/>
                <w:lang w:val="en-GB"/>
              </w:rPr>
              <w:t xml:space="preserve"> – OECD </w:t>
            </w:r>
          </w:p>
          <w:p w14:paraId="1A7113F4" w14:textId="77777777" w:rsidR="00547BC0" w:rsidRPr="002D2720" w:rsidRDefault="00547BC0" w:rsidP="00BA7E3E">
            <w:pPr>
              <w:spacing w:line="259" w:lineRule="auto"/>
              <w:jc w:val="both"/>
              <w:rPr>
                <w:sz w:val="20"/>
                <w:szCs w:val="20"/>
                <w:lang w:val="en-GB"/>
              </w:rPr>
            </w:pPr>
          </w:p>
        </w:tc>
      </w:tr>
      <w:tr w:rsidR="00547BC0" w:rsidRPr="00562ABA" w14:paraId="5C3A0B76" w14:textId="77777777" w:rsidTr="00FB3500">
        <w:trPr>
          <w:trHeight w:val="672"/>
        </w:trPr>
        <w:tc>
          <w:tcPr>
            <w:tcW w:w="5813" w:type="dxa"/>
          </w:tcPr>
          <w:p w14:paraId="3AA6A3FD" w14:textId="77777777" w:rsidR="00547BC0" w:rsidRPr="00B21FAC" w:rsidRDefault="00547BC0" w:rsidP="00BA7E3E">
            <w:pPr>
              <w:spacing w:line="259" w:lineRule="auto"/>
              <w:jc w:val="both"/>
              <w:rPr>
                <w:sz w:val="20"/>
                <w:szCs w:val="20"/>
              </w:rPr>
            </w:pPr>
            <w:r w:rsidRPr="00B21FAC">
              <w:rPr>
                <w:sz w:val="20"/>
                <w:szCs w:val="20"/>
              </w:rPr>
              <w:t xml:space="preserve">Vanuit herverdelingsoogpunt is het huishouden waartoe het individu behoort een relevante </w:t>
            </w:r>
            <w:r w:rsidRPr="00B21FAC">
              <w:rPr>
                <w:b/>
                <w:bCs/>
                <w:sz w:val="20"/>
                <w:szCs w:val="20"/>
              </w:rPr>
              <w:t>belastbare eenheid</w:t>
            </w:r>
            <w:r w:rsidRPr="00B21FAC">
              <w:rPr>
                <w:sz w:val="20"/>
                <w:szCs w:val="20"/>
              </w:rPr>
              <w:t>, omwille van de schaalvoordelen in consumptie.</w:t>
            </w:r>
          </w:p>
          <w:p w14:paraId="25EDF2A9" w14:textId="77777777" w:rsidR="00547BC0" w:rsidRPr="00B21FAC" w:rsidRDefault="00547BC0" w:rsidP="00BA7E3E">
            <w:pPr>
              <w:spacing w:line="259" w:lineRule="auto"/>
              <w:jc w:val="both"/>
              <w:rPr>
                <w:sz w:val="20"/>
                <w:szCs w:val="20"/>
              </w:rPr>
            </w:pPr>
          </w:p>
          <w:p w14:paraId="3482F764" w14:textId="77777777" w:rsidR="00547BC0" w:rsidRPr="00B21FAC" w:rsidRDefault="00547BC0" w:rsidP="00BA7E3E">
            <w:pPr>
              <w:spacing w:line="259" w:lineRule="auto"/>
              <w:jc w:val="both"/>
              <w:rPr>
                <w:sz w:val="20"/>
                <w:szCs w:val="20"/>
              </w:rPr>
            </w:pPr>
            <w:r w:rsidRPr="00B21FAC">
              <w:rPr>
                <w:sz w:val="20"/>
                <w:szCs w:val="20"/>
              </w:rPr>
              <w:t>Mogelijkerwijze kan rekening gehouden worden met de equivalentieschalen waarbij een gewicht toegekend wordt aan de noden van een huishouding in functie van de omvang en de samenstelling ervan.</w:t>
            </w:r>
          </w:p>
          <w:p w14:paraId="1F59816F" w14:textId="77777777" w:rsidR="00547BC0" w:rsidRPr="00B21FAC" w:rsidRDefault="00547BC0" w:rsidP="00BA7E3E">
            <w:pPr>
              <w:spacing w:line="259" w:lineRule="auto"/>
              <w:jc w:val="both"/>
              <w:rPr>
                <w:sz w:val="20"/>
                <w:szCs w:val="20"/>
              </w:rPr>
            </w:pPr>
          </w:p>
        </w:tc>
        <w:tc>
          <w:tcPr>
            <w:tcW w:w="4961" w:type="dxa"/>
          </w:tcPr>
          <w:p w14:paraId="47C74B74" w14:textId="77777777" w:rsidR="00547BC0" w:rsidRPr="00B21FAC" w:rsidRDefault="00547BC0" w:rsidP="00B84BE6">
            <w:pPr>
              <w:pStyle w:val="Lijstalinea"/>
              <w:numPr>
                <w:ilvl w:val="0"/>
                <w:numId w:val="6"/>
              </w:numPr>
              <w:spacing w:line="259" w:lineRule="auto"/>
              <w:ind w:left="321"/>
              <w:jc w:val="both"/>
              <w:rPr>
                <w:sz w:val="20"/>
                <w:szCs w:val="20"/>
              </w:rPr>
            </w:pPr>
            <w:r w:rsidRPr="00B21FAC">
              <w:rPr>
                <w:sz w:val="20"/>
                <w:szCs w:val="20"/>
              </w:rPr>
              <w:t>Bevorder de fiscale neutraliteit tussen de samenlevingsvormen – HRF</w:t>
            </w:r>
          </w:p>
          <w:p w14:paraId="43A66999" w14:textId="77777777" w:rsidR="00547BC0" w:rsidRPr="00B21FAC" w:rsidRDefault="00547BC0" w:rsidP="00BA7E3E">
            <w:pPr>
              <w:pStyle w:val="Lijstalinea"/>
              <w:spacing w:line="259" w:lineRule="auto"/>
              <w:ind w:left="321"/>
              <w:jc w:val="both"/>
              <w:rPr>
                <w:sz w:val="20"/>
                <w:szCs w:val="20"/>
              </w:rPr>
            </w:pPr>
          </w:p>
          <w:p w14:paraId="622DDEDB" w14:textId="77777777" w:rsidR="00547BC0" w:rsidRPr="00B21FAC" w:rsidRDefault="00547BC0" w:rsidP="00BA7E3E">
            <w:pPr>
              <w:spacing w:line="259" w:lineRule="auto"/>
              <w:jc w:val="both"/>
              <w:rPr>
                <w:sz w:val="20"/>
                <w:szCs w:val="20"/>
              </w:rPr>
            </w:pPr>
          </w:p>
          <w:p w14:paraId="5F854034" w14:textId="0761EF00" w:rsidR="00547BC0" w:rsidRPr="00B21FAC" w:rsidRDefault="00547BC0" w:rsidP="00B84BE6">
            <w:pPr>
              <w:pStyle w:val="Lijstalinea"/>
              <w:numPr>
                <w:ilvl w:val="0"/>
                <w:numId w:val="6"/>
              </w:numPr>
              <w:spacing w:line="259" w:lineRule="auto"/>
              <w:ind w:left="321"/>
              <w:jc w:val="both"/>
              <w:rPr>
                <w:sz w:val="20"/>
                <w:szCs w:val="20"/>
              </w:rPr>
            </w:pPr>
            <w:r w:rsidRPr="00B21FAC">
              <w:rPr>
                <w:rFonts w:cs="Libre Baskerville"/>
                <w:color w:val="3A393B"/>
                <w:sz w:val="20"/>
                <w:szCs w:val="20"/>
              </w:rPr>
              <w:t xml:space="preserve">De regering neemt maatregelen om de gezinsfiscaliteit te verlichten en beter af te stemmen op de combinatie werk en gezin en de zorg voor oudere, inwonende familieleden. Dit gebeurt onder meer via de uitbreiding van de belastingvermindering voor kinderoppas. Voorts wordt de toeslag op de belastingvrije som voor (groot)ouders en broers/zussen ten laste ouder dan 65 verhoogd. </w:t>
            </w:r>
            <w:r w:rsidR="00E402F3" w:rsidRPr="00B21FAC">
              <w:rPr>
                <w:rFonts w:cs="Libre Baskerville"/>
                <w:color w:val="3A393B"/>
                <w:sz w:val="20"/>
                <w:szCs w:val="20"/>
              </w:rPr>
              <w:t>–</w:t>
            </w:r>
            <w:r w:rsidRPr="00B21FAC">
              <w:rPr>
                <w:rFonts w:cs="Libre Baskerville"/>
                <w:color w:val="3A393B"/>
                <w:sz w:val="20"/>
                <w:szCs w:val="20"/>
              </w:rPr>
              <w:t xml:space="preserve"> REGEERAKKOORD</w:t>
            </w:r>
          </w:p>
          <w:p w14:paraId="2CDEAB02" w14:textId="77777777" w:rsidR="001A4A06" w:rsidRPr="00B21FAC" w:rsidRDefault="001A4A06" w:rsidP="00BA7E3E">
            <w:pPr>
              <w:spacing w:line="259" w:lineRule="auto"/>
              <w:jc w:val="both"/>
              <w:rPr>
                <w:sz w:val="20"/>
                <w:szCs w:val="20"/>
              </w:rPr>
            </w:pPr>
          </w:p>
          <w:p w14:paraId="755347E3" w14:textId="1F9EC0C2" w:rsidR="001A4A06" w:rsidRPr="00B21FAC" w:rsidRDefault="001A4A06" w:rsidP="00B84BE6">
            <w:pPr>
              <w:pStyle w:val="Lijstalinea"/>
              <w:numPr>
                <w:ilvl w:val="0"/>
                <w:numId w:val="6"/>
              </w:numPr>
              <w:spacing w:line="259" w:lineRule="auto"/>
              <w:ind w:left="313"/>
              <w:jc w:val="both"/>
              <w:rPr>
                <w:sz w:val="20"/>
                <w:szCs w:val="20"/>
                <w:lang w:val="en-GB"/>
              </w:rPr>
            </w:pPr>
            <w:r w:rsidRPr="00B21FAC">
              <w:rPr>
                <w:sz w:val="20"/>
                <w:szCs w:val="20"/>
                <w:lang w:val="en-GB"/>
              </w:rPr>
              <w:t xml:space="preserve">Conversion of allowances and deductions into tax credits at a fixed marginal tax rate would be progressivity-enhancing and fair. Instead of reducing taxable income by a fixed amount for all taxpayers, a tax credit reduces tax liabilities by a fixed amount, ensuring that the €-value of a tax preference is constant and equalized across income levels and does not depend on the taxpayer’s marginal tax rate. – IMF </w:t>
            </w:r>
          </w:p>
          <w:p w14:paraId="64F84D8D" w14:textId="77777777" w:rsidR="00E402F3" w:rsidRPr="00B21FAC" w:rsidRDefault="00E402F3" w:rsidP="00BA7E3E">
            <w:pPr>
              <w:spacing w:line="259" w:lineRule="auto"/>
              <w:jc w:val="both"/>
              <w:rPr>
                <w:sz w:val="20"/>
                <w:szCs w:val="20"/>
                <w:lang w:val="en-GB"/>
              </w:rPr>
            </w:pPr>
          </w:p>
          <w:p w14:paraId="14CB7451" w14:textId="5913BAF6" w:rsidR="00E402F3" w:rsidRPr="00B21FAC" w:rsidRDefault="00E402F3" w:rsidP="00BA7E3E">
            <w:pPr>
              <w:spacing w:line="259" w:lineRule="auto"/>
              <w:jc w:val="both"/>
              <w:rPr>
                <w:sz w:val="20"/>
                <w:szCs w:val="20"/>
                <w:lang w:val="en-GB"/>
              </w:rPr>
            </w:pPr>
          </w:p>
        </w:tc>
      </w:tr>
      <w:tr w:rsidR="00547BC0" w:rsidRPr="00562ABA" w14:paraId="6899D6EC" w14:textId="77777777" w:rsidTr="00FB3500">
        <w:trPr>
          <w:trHeight w:val="330"/>
        </w:trPr>
        <w:tc>
          <w:tcPr>
            <w:tcW w:w="5813" w:type="dxa"/>
          </w:tcPr>
          <w:p w14:paraId="39D68502" w14:textId="0CB4BFA9" w:rsidR="00547BC0" w:rsidRPr="00BA7E3E" w:rsidRDefault="00B26885" w:rsidP="00BA7E3E">
            <w:pPr>
              <w:spacing w:line="259" w:lineRule="auto"/>
              <w:jc w:val="both"/>
              <w:rPr>
                <w:sz w:val="20"/>
                <w:szCs w:val="20"/>
              </w:rPr>
            </w:pPr>
            <w:r w:rsidRPr="00BA7E3E">
              <w:rPr>
                <w:sz w:val="20"/>
                <w:szCs w:val="20"/>
              </w:rPr>
              <w:t xml:space="preserve">De transitie naar </w:t>
            </w:r>
            <w:r w:rsidRPr="00BA7E3E">
              <w:rPr>
                <w:b/>
                <w:bCs/>
                <w:sz w:val="20"/>
                <w:szCs w:val="20"/>
              </w:rPr>
              <w:t>zwaardere milieuheffingen</w:t>
            </w:r>
            <w:r w:rsidRPr="00BA7E3E">
              <w:rPr>
                <w:sz w:val="20"/>
                <w:szCs w:val="20"/>
              </w:rPr>
              <w:t>, moet gepaard gaan met begeleidende maatregelen.</w:t>
            </w:r>
          </w:p>
        </w:tc>
        <w:tc>
          <w:tcPr>
            <w:tcW w:w="4961" w:type="dxa"/>
          </w:tcPr>
          <w:p w14:paraId="4A6F4390" w14:textId="3FA42211" w:rsidR="002622FA" w:rsidRPr="00B21FAC" w:rsidRDefault="002622FA" w:rsidP="00B84BE6">
            <w:pPr>
              <w:pStyle w:val="Lijstalinea"/>
              <w:numPr>
                <w:ilvl w:val="0"/>
                <w:numId w:val="6"/>
              </w:numPr>
              <w:spacing w:line="259" w:lineRule="auto"/>
              <w:ind w:left="313"/>
              <w:jc w:val="both"/>
              <w:rPr>
                <w:sz w:val="20"/>
                <w:szCs w:val="20"/>
                <w:lang w:val="en-GB"/>
              </w:rPr>
            </w:pPr>
            <w:r w:rsidRPr="00B21FAC">
              <w:rPr>
                <w:sz w:val="20"/>
                <w:szCs w:val="20"/>
                <w:lang w:val="en-GB"/>
              </w:rPr>
              <w:t>Measures facilitating the transition and cushioning the impact on particularly-affected households and firms should accompany policies targeting fossil fuels.</w:t>
            </w:r>
            <w:r w:rsidRPr="00B21FAC">
              <w:rPr>
                <w:b/>
                <w:bCs/>
                <w:sz w:val="20"/>
                <w:szCs w:val="20"/>
                <w:lang w:val="en-GB"/>
              </w:rPr>
              <w:t xml:space="preserve"> </w:t>
            </w:r>
            <w:r w:rsidRPr="00B21FAC">
              <w:rPr>
                <w:sz w:val="20"/>
                <w:szCs w:val="20"/>
                <w:lang w:val="en-GB"/>
              </w:rPr>
              <w:t xml:space="preserve">A sizable share of GHG emissions in Belgium are accounted for by sectors whose carbon footprint is costly to abate, requiring strategies to mitigate the socio-economic impact of most-expensive fossil fuels and helping the transition along. For instance, subsidies should be replaced with well-designed, means-tested support where warranted. Likewise, the switch to emissions-neutral vehicles calls for a build-up of associated infrastructure, such as clean energy supply or charging stations. At the same time, reliable and efficient alternative modes of transport, such as railways, should not be neglected—they require substantial investment, also to address other negative externalities of individual transportation, like congestion. Furthermore, retrofitting Belgium’s building stock can yield large rewards but needs instruments to finance equally large investments and the alignment of owner, landlord, and tenant interests.19 Finally, ways to compensate households and companies disproportionally burdened by higher carbon prices need to be found. In this context, carbon taxes provide an advantage as they create fiscal revenues that may be employed to reimburse sectors of the economy bearing an especially large share of the cost. SPF Santé Publique, Sécurité de la Chaine Alimentaire et Environnement (2018) highlights options that should be considered and pursued, including direct redistribution of carbon tax revenues to most affected groups, shifting taxation away from labor and electricity, and public investment in support of the transition to a low-carbon economy. Against this backdrop, government plans to reduce labor taxation in the context of broader fiscal reform should take the possibilities offered by carbon pricing into account. </w:t>
            </w:r>
            <w:r w:rsidR="00C846A7" w:rsidRPr="00B21FAC">
              <w:rPr>
                <w:sz w:val="20"/>
                <w:szCs w:val="20"/>
                <w:lang w:val="en-GB"/>
              </w:rPr>
              <w:t xml:space="preserve">– IMF </w:t>
            </w:r>
          </w:p>
          <w:p w14:paraId="5999A28D" w14:textId="77777777" w:rsidR="00547BC0" w:rsidRPr="00B21FAC" w:rsidRDefault="00547BC0" w:rsidP="00BA7E3E">
            <w:pPr>
              <w:spacing w:line="259" w:lineRule="auto"/>
              <w:jc w:val="both"/>
              <w:rPr>
                <w:sz w:val="20"/>
                <w:szCs w:val="20"/>
                <w:lang w:val="en-GB"/>
              </w:rPr>
            </w:pPr>
          </w:p>
          <w:p w14:paraId="278185DD" w14:textId="77777777" w:rsidR="002622FA" w:rsidRPr="00B21FAC" w:rsidRDefault="002622FA" w:rsidP="00BA7E3E">
            <w:pPr>
              <w:spacing w:line="259" w:lineRule="auto"/>
              <w:jc w:val="both"/>
              <w:rPr>
                <w:sz w:val="20"/>
                <w:szCs w:val="20"/>
                <w:lang w:val="en-GB"/>
              </w:rPr>
            </w:pPr>
          </w:p>
          <w:p w14:paraId="29B9C1DB" w14:textId="77777777" w:rsidR="002622FA" w:rsidRPr="00B21FAC" w:rsidRDefault="002622FA" w:rsidP="00BA7E3E">
            <w:pPr>
              <w:spacing w:line="259" w:lineRule="auto"/>
              <w:jc w:val="both"/>
              <w:rPr>
                <w:sz w:val="20"/>
                <w:szCs w:val="20"/>
                <w:lang w:val="en-GB"/>
              </w:rPr>
            </w:pPr>
          </w:p>
          <w:p w14:paraId="75B98114" w14:textId="2EF936D8" w:rsidR="002622FA" w:rsidRPr="00B21FAC" w:rsidRDefault="002622FA" w:rsidP="00BA7E3E">
            <w:pPr>
              <w:spacing w:line="259" w:lineRule="auto"/>
              <w:jc w:val="both"/>
              <w:rPr>
                <w:sz w:val="20"/>
                <w:szCs w:val="20"/>
                <w:lang w:val="en-GB"/>
              </w:rPr>
            </w:pPr>
          </w:p>
        </w:tc>
      </w:tr>
    </w:tbl>
    <w:p w14:paraId="70D702E8" w14:textId="77777777" w:rsidR="00547BC0" w:rsidRPr="00B21FAC" w:rsidRDefault="00547BC0" w:rsidP="00BA7E3E">
      <w:pPr>
        <w:spacing w:after="0"/>
        <w:ind w:left="-992"/>
        <w:rPr>
          <w:lang w:val="en-GB"/>
        </w:rPr>
      </w:pPr>
    </w:p>
    <w:p w14:paraId="0397830F" w14:textId="77777777" w:rsidR="00547BC0" w:rsidRPr="00B21FAC" w:rsidRDefault="00547BC0" w:rsidP="00BA7E3E">
      <w:pPr>
        <w:spacing w:after="0"/>
        <w:rPr>
          <w:lang w:val="en-GB"/>
        </w:rPr>
      </w:pPr>
      <w:r w:rsidRPr="00B21FAC">
        <w:rPr>
          <w:lang w:val="en-GB"/>
        </w:rPr>
        <w:br w:type="page"/>
      </w:r>
    </w:p>
    <w:p w14:paraId="668B84D4" w14:textId="77777777" w:rsidR="00547BC0" w:rsidRPr="00B21FAC" w:rsidRDefault="00547BC0" w:rsidP="00BA7E3E">
      <w:pPr>
        <w:spacing w:after="0"/>
        <w:ind w:right="-1134"/>
        <w:jc w:val="both"/>
        <w:rPr>
          <w:lang w:val="en-GB"/>
        </w:rPr>
      </w:pPr>
    </w:p>
    <w:p w14:paraId="1C56B065" w14:textId="77777777" w:rsidR="00547BC0" w:rsidRPr="00B21FAC" w:rsidRDefault="00547BC0" w:rsidP="00BA7E3E">
      <w:pPr>
        <w:spacing w:after="0"/>
        <w:ind w:right="-1134"/>
        <w:jc w:val="both"/>
        <w:rPr>
          <w:lang w:val="en-GB"/>
        </w:rPr>
      </w:pPr>
    </w:p>
    <w:p w14:paraId="44B9C771" w14:textId="6CC15BFD" w:rsidR="00547BC0" w:rsidRPr="00B21FAC" w:rsidRDefault="00547BC0" w:rsidP="00BA7E3E">
      <w:pPr>
        <w:pStyle w:val="Kop3"/>
        <w:numPr>
          <w:ilvl w:val="0"/>
          <w:numId w:val="99"/>
        </w:numPr>
        <w:spacing w:before="0"/>
      </w:pPr>
      <w:bookmarkStart w:id="22" w:name="_Toc107210880"/>
      <w:r w:rsidRPr="00B21FAC">
        <w:t>Eenvoud</w:t>
      </w:r>
      <w:bookmarkEnd w:id="22"/>
    </w:p>
    <w:p w14:paraId="76C0EBC6" w14:textId="77777777" w:rsidR="00547BC0" w:rsidRPr="00B21FAC" w:rsidRDefault="00547BC0" w:rsidP="00BA7E3E">
      <w:pPr>
        <w:spacing w:after="0"/>
        <w:ind w:right="1"/>
        <w:jc w:val="both"/>
      </w:pPr>
    </w:p>
    <w:p w14:paraId="622205E3" w14:textId="77777777" w:rsidR="00547BC0" w:rsidRPr="00B21FAC" w:rsidRDefault="00547BC0" w:rsidP="00BA7E3E">
      <w:pPr>
        <w:spacing w:after="0"/>
        <w:ind w:right="1"/>
        <w:jc w:val="both"/>
      </w:pPr>
    </w:p>
    <w:p w14:paraId="25F87EF7" w14:textId="77777777" w:rsidR="00547BC0" w:rsidRPr="00B21FAC" w:rsidRDefault="00547BC0" w:rsidP="00BA7E3E">
      <w:pPr>
        <w:spacing w:after="0"/>
        <w:ind w:right="1"/>
        <w:jc w:val="both"/>
      </w:pPr>
      <w:r w:rsidRPr="00B21FAC">
        <w:t>‘</w:t>
      </w:r>
      <w:r w:rsidRPr="00B21FAC">
        <w:rPr>
          <w:u w:val="single"/>
        </w:rPr>
        <w:t>Eenvoud</w:t>
      </w:r>
      <w:r w:rsidRPr="00B21FAC">
        <w:t xml:space="preserve">’ is vooral een beginsel dat moet toelaten af te wijken van het optimum teneinde rekening te houden met de administratieve haalbaarheid, mede ingegeven vanuit een kosten/baten-analyse. </w:t>
      </w:r>
    </w:p>
    <w:p w14:paraId="492B7FD4" w14:textId="77777777" w:rsidR="00547BC0" w:rsidRPr="00B21FAC" w:rsidRDefault="00547BC0" w:rsidP="00BA7E3E">
      <w:pPr>
        <w:spacing w:after="0"/>
        <w:ind w:right="1"/>
        <w:jc w:val="both"/>
      </w:pPr>
    </w:p>
    <w:p w14:paraId="24D3C767" w14:textId="184B1C8D" w:rsidR="00547BC0" w:rsidRPr="00B21FAC" w:rsidRDefault="00547BC0" w:rsidP="00BA7E3E">
      <w:pPr>
        <w:spacing w:after="0"/>
        <w:jc w:val="both"/>
      </w:pPr>
      <w:r w:rsidRPr="00B21FAC">
        <w:t xml:space="preserve">In het </w:t>
      </w:r>
      <w:r w:rsidR="0026321D">
        <w:t>R</w:t>
      </w:r>
      <w:r w:rsidRPr="00B21FAC">
        <w:t>egeerakkoord wordt dit als volgt omschreven: “De belastingen worden zo eenvoudig en effectief mogelijk geheven en geïnd.”</w:t>
      </w:r>
    </w:p>
    <w:p w14:paraId="0BAAFA7D" w14:textId="39583C64" w:rsidR="00E666E2" w:rsidRPr="00B21FAC" w:rsidRDefault="00E666E2" w:rsidP="00BA7E3E">
      <w:pPr>
        <w:spacing w:after="0"/>
        <w:jc w:val="both"/>
      </w:pPr>
    </w:p>
    <w:p w14:paraId="09119DE6" w14:textId="2954D1D2" w:rsidR="00E666E2" w:rsidRPr="00B21FAC" w:rsidRDefault="00E666E2" w:rsidP="00BA7E3E">
      <w:pPr>
        <w:spacing w:after="0"/>
        <w:jc w:val="both"/>
      </w:pPr>
      <w:r w:rsidRPr="00B21FAC">
        <w:t>Op dit vlak is in ieder geval heel wat werk aan de winkel. Het IMF verwoord</w:t>
      </w:r>
      <w:r w:rsidR="00556287" w:rsidRPr="00B21FAC">
        <w:t>d</w:t>
      </w:r>
      <w:r w:rsidRPr="00B21FAC">
        <w:t xml:space="preserve">e dit in één van </w:t>
      </w:r>
      <w:r w:rsidR="00FF69A7" w:rsidRPr="00B21FAC">
        <w:t>zijn aanbevelingen als volgt:</w:t>
      </w:r>
    </w:p>
    <w:p w14:paraId="32F701A0" w14:textId="49061F3E" w:rsidR="00FF69A7" w:rsidRPr="00B21FAC" w:rsidRDefault="00FF69A7" w:rsidP="00BA7E3E">
      <w:pPr>
        <w:spacing w:after="0"/>
        <w:jc w:val="both"/>
      </w:pPr>
    </w:p>
    <w:p w14:paraId="0EE008E7" w14:textId="2EB0614C" w:rsidR="00FF69A7" w:rsidRPr="00B21FAC" w:rsidRDefault="0098466B" w:rsidP="00BA7E3E">
      <w:pPr>
        <w:spacing w:after="0"/>
        <w:ind w:left="708"/>
        <w:jc w:val="both"/>
        <w:rPr>
          <w:lang w:val="en-GB"/>
        </w:rPr>
      </w:pPr>
      <w:r w:rsidRPr="00B21FAC">
        <w:rPr>
          <w:lang w:val="en-GB"/>
        </w:rPr>
        <w:t>“</w:t>
      </w:r>
      <w:r w:rsidR="00FF69A7" w:rsidRPr="00B21FAC">
        <w:rPr>
          <w:b/>
          <w:bCs/>
          <w:i/>
          <w:iCs/>
          <w:lang w:val="en-GB"/>
        </w:rPr>
        <w:t xml:space="preserve">As outlined in the Coalition Agreement and agreed by stakeholders, an overarching goal of any tax reform should be simplification of tax legislation. </w:t>
      </w:r>
      <w:r w:rsidR="00FF69A7" w:rsidRPr="00B21FAC">
        <w:rPr>
          <w:i/>
          <w:iCs/>
          <w:lang w:val="en-GB"/>
        </w:rPr>
        <w:t>The Belgian tax system is complicated, even for experts with decades of experience. Often, tax system complexity is the price paid by mature tax systems for years of accumulated changes aiming to resolve specific issues. Pursuing greater simplicity as overarching objective in reforming specific tax instruments as well as the system as a whole would ease costs of taxpayer compliance and revenue administration.</w:t>
      </w:r>
      <w:r w:rsidRPr="00B21FAC">
        <w:rPr>
          <w:lang w:val="en-GB"/>
        </w:rPr>
        <w:t>”</w:t>
      </w:r>
    </w:p>
    <w:p w14:paraId="6B9576A8" w14:textId="50F2FBCF" w:rsidR="00547BC0" w:rsidRPr="00B21FAC" w:rsidRDefault="00547BC0" w:rsidP="00BA7E3E">
      <w:pPr>
        <w:spacing w:after="0"/>
        <w:ind w:right="1"/>
        <w:jc w:val="both"/>
        <w:rPr>
          <w:lang w:val="en-GB"/>
        </w:rPr>
      </w:pPr>
    </w:p>
    <w:p w14:paraId="14B31AA1" w14:textId="77777777" w:rsidR="0058732D" w:rsidRPr="00B21FAC" w:rsidRDefault="0058732D" w:rsidP="00BA7E3E">
      <w:pPr>
        <w:spacing w:after="0"/>
        <w:ind w:right="1"/>
        <w:jc w:val="both"/>
        <w:rPr>
          <w:lang w:val="en-GB"/>
        </w:rPr>
      </w:pPr>
    </w:p>
    <w:p w14:paraId="5488813A" w14:textId="1BBC54E6" w:rsidR="0058732D" w:rsidRPr="00B21FAC" w:rsidRDefault="0058732D" w:rsidP="00BA7E3E">
      <w:pPr>
        <w:pStyle w:val="Kop3"/>
        <w:numPr>
          <w:ilvl w:val="0"/>
          <w:numId w:val="99"/>
        </w:numPr>
        <w:rPr>
          <w:lang w:val="en-GB"/>
        </w:rPr>
      </w:pPr>
      <w:bookmarkStart w:id="23" w:name="_Toc107210881"/>
      <w:r w:rsidRPr="00B21FAC">
        <w:rPr>
          <w:lang w:val="en-GB"/>
        </w:rPr>
        <w:t>Rechtszekerheid</w:t>
      </w:r>
      <w:bookmarkEnd w:id="23"/>
    </w:p>
    <w:p w14:paraId="094B0E6F" w14:textId="36115194" w:rsidR="0058732D" w:rsidRPr="00B21FAC" w:rsidRDefault="0058732D" w:rsidP="00BA7E3E">
      <w:pPr>
        <w:spacing w:after="0"/>
        <w:ind w:right="1"/>
        <w:jc w:val="both"/>
        <w:rPr>
          <w:lang w:val="en-GB"/>
        </w:rPr>
      </w:pPr>
    </w:p>
    <w:p w14:paraId="5173725B" w14:textId="77777777" w:rsidR="0058732D" w:rsidRPr="00B21FAC" w:rsidRDefault="0058732D" w:rsidP="00BA7E3E">
      <w:pPr>
        <w:spacing w:after="0"/>
        <w:ind w:right="1"/>
        <w:jc w:val="both"/>
        <w:rPr>
          <w:lang w:val="en-GB"/>
        </w:rPr>
      </w:pPr>
    </w:p>
    <w:p w14:paraId="5FF60CBB" w14:textId="5EBF4D41" w:rsidR="00547BC0" w:rsidRPr="00B21FAC" w:rsidRDefault="00547BC0" w:rsidP="00BA7E3E">
      <w:pPr>
        <w:spacing w:after="0"/>
        <w:ind w:right="1"/>
        <w:jc w:val="both"/>
      </w:pPr>
      <w:r w:rsidRPr="00B21FAC">
        <w:t>De ‘</w:t>
      </w:r>
      <w:r w:rsidRPr="00B21FAC">
        <w:rPr>
          <w:u w:val="single"/>
        </w:rPr>
        <w:t>rechtszekerheid</w:t>
      </w:r>
      <w:r w:rsidRPr="00B21FAC">
        <w:t xml:space="preserve">’ </w:t>
      </w:r>
      <w:r w:rsidR="00B6461D" w:rsidRPr="00B21FAC">
        <w:t xml:space="preserve">is een ruim </w:t>
      </w:r>
      <w:r w:rsidR="006F4C50" w:rsidRPr="00B21FAC">
        <w:t xml:space="preserve">en algemeen </w:t>
      </w:r>
      <w:r w:rsidR="00B6461D" w:rsidRPr="00B21FAC">
        <w:t>erkend beginsel dat (bij het uitwerken van nieuwe wetgeving) inzonderheid impliceert dat de wetteksten duidelijk moeten zijn</w:t>
      </w:r>
      <w:r w:rsidR="00643FE4" w:rsidRPr="00B21FAC">
        <w:t xml:space="preserve">, zodat de wijze van toepassing ervan voor eenieder voorzienbaar </w:t>
      </w:r>
      <w:r w:rsidR="003A0753" w:rsidRPr="00B21FAC">
        <w:t xml:space="preserve">is. Dit </w:t>
      </w:r>
      <w:r w:rsidRPr="00B21FAC">
        <w:t xml:space="preserve">beginsel </w:t>
      </w:r>
      <w:r w:rsidR="003A0753" w:rsidRPr="00B21FAC">
        <w:t>moet ook in acht</w:t>
      </w:r>
      <w:r w:rsidRPr="00B21FAC">
        <w:t xml:space="preserve"> worden genomen met het oog op het uitwerken van eventuele overgangsmaatregelen. </w:t>
      </w:r>
    </w:p>
    <w:p w14:paraId="7D534BF4" w14:textId="77777777" w:rsidR="00547BC0" w:rsidRPr="00B21FAC" w:rsidRDefault="00547BC0" w:rsidP="00BA7E3E">
      <w:pPr>
        <w:spacing w:after="0"/>
        <w:ind w:right="1"/>
        <w:jc w:val="both"/>
      </w:pPr>
    </w:p>
    <w:p w14:paraId="7F95D0AA" w14:textId="751D7993" w:rsidR="00547BC0" w:rsidRPr="00B21FAC" w:rsidRDefault="00547BC0" w:rsidP="00BA7E3E">
      <w:pPr>
        <w:spacing w:after="0"/>
        <w:ind w:right="1"/>
        <w:jc w:val="both"/>
      </w:pPr>
      <w:r w:rsidRPr="00B21FAC">
        <w:t xml:space="preserve">Dit laatste wordt in het regeerakkoord als volgt verwoord: “Met het oog op voorzienbaarheid en rechtszekerheid zullen de fiscale hervormingsplannen ruim op tijd kenbaar worden gemaakt. Dit laat toe dat er gedegen fiscale wetgeving uitgewerkt kan worden. Er wordt rekening gehouden met lopende contracten op een redelijke en billijke wijze.” </w:t>
      </w:r>
    </w:p>
    <w:p w14:paraId="3040326E" w14:textId="29DB78D5" w:rsidR="006E62C7" w:rsidRDefault="006E62C7">
      <w:pPr>
        <w:spacing w:after="0"/>
      </w:pPr>
    </w:p>
    <w:p w14:paraId="63B7592C" w14:textId="2E58A562" w:rsidR="006E62C7" w:rsidRDefault="006E62C7">
      <w:r>
        <w:br w:type="page"/>
      </w:r>
    </w:p>
    <w:p w14:paraId="594F8594" w14:textId="77777777" w:rsidR="006E62C7" w:rsidRPr="00B21FAC" w:rsidRDefault="006E62C7" w:rsidP="00BA7E3E">
      <w:pPr>
        <w:spacing w:after="0"/>
      </w:pPr>
    </w:p>
    <w:p w14:paraId="5975F7B4" w14:textId="1FADA509" w:rsidR="00547BC0" w:rsidRPr="00B21FAC" w:rsidRDefault="00547BC0" w:rsidP="00BA7E3E">
      <w:pPr>
        <w:spacing w:after="0"/>
      </w:pPr>
    </w:p>
    <w:p w14:paraId="54411605" w14:textId="1C864D22" w:rsidR="0097349F" w:rsidRPr="00B21FAC" w:rsidRDefault="0097349F" w:rsidP="002D349C">
      <w:pPr>
        <w:pStyle w:val="Kop1"/>
        <w:numPr>
          <w:ilvl w:val="0"/>
          <w:numId w:val="32"/>
        </w:numPr>
        <w:rPr>
          <w:smallCaps/>
        </w:rPr>
      </w:pPr>
      <w:bookmarkStart w:id="24" w:name="_Toc94168150"/>
      <w:bookmarkStart w:id="25" w:name="_Toc94168151"/>
      <w:bookmarkStart w:id="26" w:name="_Toc94168152"/>
      <w:bookmarkStart w:id="27" w:name="_Toc94168153"/>
      <w:bookmarkStart w:id="28" w:name="_Toc94168154"/>
      <w:bookmarkStart w:id="29" w:name="_Toc94168155"/>
      <w:bookmarkStart w:id="30" w:name="_Toc94168156"/>
      <w:bookmarkStart w:id="31" w:name="_Toc94168157"/>
      <w:bookmarkStart w:id="32" w:name="_Toc94168158"/>
      <w:bookmarkStart w:id="33" w:name="_Toc94168159"/>
      <w:bookmarkStart w:id="34" w:name="_Toc94168160"/>
      <w:bookmarkStart w:id="35" w:name="_Toc94168161"/>
      <w:bookmarkStart w:id="36" w:name="_Toc94168162"/>
      <w:bookmarkStart w:id="37" w:name="_Toc94168163"/>
      <w:bookmarkStart w:id="38" w:name="_Toc94168164"/>
      <w:bookmarkStart w:id="39" w:name="_Toc94168165"/>
      <w:bookmarkStart w:id="40" w:name="_Toc94168166"/>
      <w:bookmarkStart w:id="41" w:name="_Toc94168167"/>
      <w:bookmarkStart w:id="42" w:name="_Toc94168168"/>
      <w:bookmarkStart w:id="43" w:name="_Toc94168169"/>
      <w:bookmarkStart w:id="44" w:name="_Toc94168170"/>
      <w:bookmarkStart w:id="45" w:name="_Toc94168171"/>
      <w:bookmarkStart w:id="46" w:name="_Toc94168172"/>
      <w:bookmarkStart w:id="47" w:name="_Toc94168173"/>
      <w:bookmarkStart w:id="48" w:name="_Toc94168174"/>
      <w:bookmarkStart w:id="49" w:name="_Toc94168175"/>
      <w:bookmarkStart w:id="50" w:name="_Toc94168176"/>
      <w:bookmarkStart w:id="51" w:name="_Toc94168177"/>
      <w:bookmarkStart w:id="52" w:name="_Toc94168178"/>
      <w:bookmarkStart w:id="53" w:name="_Toc94168179"/>
      <w:bookmarkStart w:id="54" w:name="_Toc94168180"/>
      <w:bookmarkStart w:id="55" w:name="_Toc94168181"/>
      <w:bookmarkStart w:id="56" w:name="_Toc94168182"/>
      <w:bookmarkStart w:id="57" w:name="_Toc94168183"/>
      <w:bookmarkStart w:id="58" w:name="_Toc94168184"/>
      <w:bookmarkStart w:id="59" w:name="_Toc94168185"/>
      <w:bookmarkStart w:id="60" w:name="_Toc94168186"/>
      <w:bookmarkStart w:id="61" w:name="_Toc94168187"/>
      <w:bookmarkStart w:id="62" w:name="_Toc94168188"/>
      <w:bookmarkStart w:id="63" w:name="_Toc94168189"/>
      <w:bookmarkStart w:id="64" w:name="_Toc94168190"/>
      <w:bookmarkStart w:id="65" w:name="_Toc94168191"/>
      <w:bookmarkStart w:id="66" w:name="_Toc94168192"/>
      <w:bookmarkStart w:id="67" w:name="_Toc94168193"/>
      <w:bookmarkStart w:id="68" w:name="_Toc94168194"/>
      <w:bookmarkStart w:id="69" w:name="_Toc94168195"/>
      <w:bookmarkStart w:id="70" w:name="_Toc94168196"/>
      <w:bookmarkStart w:id="71" w:name="_Toc94168197"/>
      <w:bookmarkStart w:id="72" w:name="_Toc94168198"/>
      <w:bookmarkStart w:id="73" w:name="_Toc94168199"/>
      <w:bookmarkStart w:id="74" w:name="_Toc94168200"/>
      <w:bookmarkStart w:id="75" w:name="_Toc94168201"/>
      <w:bookmarkStart w:id="76" w:name="_Toc94168202"/>
      <w:bookmarkStart w:id="77" w:name="_Toc94168203"/>
      <w:bookmarkStart w:id="78" w:name="_Toc94168204"/>
      <w:bookmarkStart w:id="79" w:name="_Toc94168205"/>
      <w:bookmarkStart w:id="80" w:name="_Toc94168206"/>
      <w:bookmarkStart w:id="81" w:name="_Toc94168207"/>
      <w:bookmarkStart w:id="82" w:name="_Toc94168208"/>
      <w:bookmarkStart w:id="83" w:name="_Toc94168209"/>
      <w:bookmarkStart w:id="84" w:name="_Toc94168210"/>
      <w:bookmarkStart w:id="85" w:name="_Toc94168211"/>
      <w:bookmarkStart w:id="86" w:name="_Toc94168212"/>
      <w:bookmarkStart w:id="87" w:name="_Toc94168213"/>
      <w:bookmarkStart w:id="88" w:name="_Toc94168214"/>
      <w:bookmarkStart w:id="89" w:name="_Toc94168215"/>
      <w:bookmarkStart w:id="90" w:name="_Toc94168216"/>
      <w:bookmarkStart w:id="91" w:name="_Toc94168217"/>
      <w:bookmarkStart w:id="92" w:name="_Toc94168218"/>
      <w:bookmarkStart w:id="93" w:name="_Toc94168219"/>
      <w:bookmarkStart w:id="94" w:name="_Toc94168220"/>
      <w:bookmarkStart w:id="95" w:name="_Toc94168221"/>
      <w:bookmarkStart w:id="96" w:name="_Toc94168222"/>
      <w:bookmarkStart w:id="97" w:name="_Toc94168223"/>
      <w:bookmarkStart w:id="98" w:name="_Toc94168224"/>
      <w:bookmarkStart w:id="99" w:name="_Toc94168225"/>
      <w:bookmarkStart w:id="100" w:name="_Toc94168226"/>
      <w:bookmarkStart w:id="101" w:name="_Toc94168227"/>
      <w:bookmarkStart w:id="102" w:name="_Toc94168228"/>
      <w:bookmarkStart w:id="103" w:name="_Toc94168229"/>
      <w:bookmarkStart w:id="104" w:name="_Toc94168230"/>
      <w:bookmarkStart w:id="105" w:name="_Toc94168231"/>
      <w:bookmarkStart w:id="106" w:name="_Toc94168232"/>
      <w:bookmarkStart w:id="107" w:name="_Toc94168233"/>
      <w:bookmarkStart w:id="108" w:name="_Toc94168234"/>
      <w:bookmarkStart w:id="109" w:name="_Toc94168235"/>
      <w:bookmarkStart w:id="110" w:name="_Toc94168236"/>
      <w:bookmarkStart w:id="111" w:name="_Toc94168237"/>
      <w:bookmarkStart w:id="112" w:name="_Toc94168238"/>
      <w:bookmarkStart w:id="113" w:name="_Toc94168239"/>
      <w:bookmarkStart w:id="114" w:name="_Toc94168240"/>
      <w:bookmarkStart w:id="115" w:name="_Toc94168241"/>
      <w:bookmarkStart w:id="116" w:name="_Toc94168242"/>
      <w:bookmarkStart w:id="117" w:name="_Toc94168243"/>
      <w:bookmarkStart w:id="118" w:name="_Toc94168244"/>
      <w:bookmarkStart w:id="119" w:name="_Toc94168245"/>
      <w:bookmarkStart w:id="120" w:name="_Toc94168246"/>
      <w:bookmarkStart w:id="121" w:name="_Toc94168247"/>
      <w:bookmarkStart w:id="122" w:name="_Toc94168248"/>
      <w:bookmarkStart w:id="123" w:name="_Toc94168249"/>
      <w:bookmarkStart w:id="124" w:name="_Toc94168250"/>
      <w:bookmarkStart w:id="125" w:name="_Toc94168251"/>
      <w:bookmarkStart w:id="126" w:name="_Toc94168252"/>
      <w:bookmarkStart w:id="127" w:name="_Toc94168253"/>
      <w:bookmarkStart w:id="128" w:name="_Toc94168254"/>
      <w:bookmarkStart w:id="129" w:name="_Toc94168255"/>
      <w:bookmarkStart w:id="130" w:name="_Toc94168256"/>
      <w:bookmarkStart w:id="131" w:name="_Toc94168257"/>
      <w:bookmarkStart w:id="132" w:name="_Toc94168258"/>
      <w:bookmarkStart w:id="133" w:name="_Toc94168259"/>
      <w:bookmarkStart w:id="134" w:name="_Toc94168260"/>
      <w:bookmarkStart w:id="135" w:name="_Toc94168261"/>
      <w:bookmarkStart w:id="136" w:name="_Toc94168262"/>
      <w:bookmarkStart w:id="137" w:name="_Toc94168263"/>
      <w:bookmarkStart w:id="138" w:name="_Toc94168264"/>
      <w:bookmarkStart w:id="139" w:name="_Toc94168265"/>
      <w:bookmarkStart w:id="140" w:name="_Toc94168266"/>
      <w:bookmarkStart w:id="141" w:name="_Toc10721088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B21FAC">
        <w:rPr>
          <w:smallCaps/>
        </w:rPr>
        <w:t>De architectuur van de toekomst</w:t>
      </w:r>
      <w:bookmarkEnd w:id="141"/>
    </w:p>
    <w:p w14:paraId="663775D6" w14:textId="58B58F84" w:rsidR="0097349F" w:rsidRPr="00B21FAC" w:rsidRDefault="0097349F" w:rsidP="00275FEB">
      <w:pPr>
        <w:spacing w:after="0"/>
      </w:pPr>
    </w:p>
    <w:p w14:paraId="43D7D303" w14:textId="77777777" w:rsidR="00C2572E" w:rsidRPr="00B21FAC" w:rsidRDefault="00C2572E" w:rsidP="00BA7E3E">
      <w:pPr>
        <w:spacing w:after="0"/>
        <w:jc w:val="both"/>
      </w:pPr>
    </w:p>
    <w:p w14:paraId="49C6F32E" w14:textId="753EC80D" w:rsidR="00C2572E" w:rsidRPr="00B21FAC" w:rsidRDefault="00B044AE" w:rsidP="00BA7E3E">
      <w:pPr>
        <w:spacing w:after="0"/>
        <w:jc w:val="both"/>
      </w:pPr>
      <w:r w:rsidRPr="00B21FAC">
        <w:t>E</w:t>
      </w:r>
      <w:r w:rsidR="00C2572E" w:rsidRPr="00B21FAC">
        <w:t xml:space="preserve">en grondige fiscale hervorming </w:t>
      </w:r>
      <w:r w:rsidRPr="00B21FAC">
        <w:t xml:space="preserve">vooronderstelt dat de architectuur in </w:t>
      </w:r>
      <w:r w:rsidR="000D37C1">
        <w:t>haar</w:t>
      </w:r>
      <w:r w:rsidR="000D37C1" w:rsidRPr="00B21FAC">
        <w:t xml:space="preserve"> </w:t>
      </w:r>
      <w:r w:rsidRPr="00B21FAC">
        <w:t>geheel wordt bekeken. De</w:t>
      </w:r>
      <w:r w:rsidR="00C2572E" w:rsidRPr="00B21FAC">
        <w:t xml:space="preserve"> huidige structuren zijn verouderd en komen meer en meer maatschappelijk onder druk. Veel heeft te maken met de gefragmenteerde opbouw en detailsystematiek</w:t>
      </w:r>
      <w:r w:rsidR="00F0371A" w:rsidRPr="00B21FAC">
        <w:t xml:space="preserve">, die </w:t>
      </w:r>
      <w:r w:rsidR="00ED1198" w:rsidRPr="00B21FAC">
        <w:t xml:space="preserve">er </w:t>
      </w:r>
      <w:r w:rsidR="00F0371A" w:rsidRPr="00B21FAC">
        <w:t xml:space="preserve">(hoe goed bedoeld ook) vaak </w:t>
      </w:r>
      <w:r w:rsidR="00ED1198" w:rsidRPr="00B21FAC">
        <w:t xml:space="preserve">toe leiden dat </w:t>
      </w:r>
      <w:r w:rsidR="00F0371A" w:rsidRPr="00B21FAC">
        <w:t xml:space="preserve">aan transparantie </w:t>
      </w:r>
      <w:r w:rsidR="00ED1198" w:rsidRPr="00B21FAC">
        <w:t>wordt ingeboet</w:t>
      </w:r>
      <w:r w:rsidR="00C2572E" w:rsidRPr="00B21FAC">
        <w:t xml:space="preserve">. </w:t>
      </w:r>
    </w:p>
    <w:p w14:paraId="706C046C" w14:textId="77777777" w:rsidR="00C2572E" w:rsidRPr="00B21FAC" w:rsidRDefault="00C2572E" w:rsidP="00BA7E3E">
      <w:pPr>
        <w:spacing w:after="0"/>
        <w:jc w:val="both"/>
      </w:pPr>
    </w:p>
    <w:p w14:paraId="7AF2A5D5" w14:textId="77777777" w:rsidR="00C2572E" w:rsidRPr="00B21FAC" w:rsidRDefault="00C2572E" w:rsidP="00BA7E3E">
      <w:pPr>
        <w:spacing w:after="0"/>
        <w:jc w:val="both"/>
      </w:pPr>
    </w:p>
    <w:p w14:paraId="49D0CD4C" w14:textId="186E3E9C" w:rsidR="00C2572E" w:rsidRPr="00B21FAC" w:rsidRDefault="00C2572E" w:rsidP="00275FEB">
      <w:pPr>
        <w:pStyle w:val="Kop2"/>
        <w:numPr>
          <w:ilvl w:val="2"/>
          <w:numId w:val="11"/>
        </w:numPr>
        <w:ind w:left="709"/>
      </w:pPr>
      <w:bookmarkStart w:id="142" w:name="_Toc107210883"/>
      <w:r w:rsidRPr="00B21FAC">
        <w:t>Het uitgangspunt</w:t>
      </w:r>
      <w:bookmarkEnd w:id="142"/>
    </w:p>
    <w:p w14:paraId="6A60AC42" w14:textId="77777777" w:rsidR="00C2572E" w:rsidRPr="00B21FAC" w:rsidRDefault="00C2572E" w:rsidP="00BA7E3E">
      <w:pPr>
        <w:spacing w:after="0"/>
      </w:pPr>
    </w:p>
    <w:p w14:paraId="19BD3D0A" w14:textId="77777777" w:rsidR="00C2572E" w:rsidRPr="00B21FAC" w:rsidRDefault="00C2572E" w:rsidP="00BA7E3E">
      <w:pPr>
        <w:spacing w:after="0"/>
      </w:pPr>
    </w:p>
    <w:p w14:paraId="0BDB730A" w14:textId="77777777" w:rsidR="00C2572E" w:rsidRPr="00B21FAC" w:rsidRDefault="00C2572E" w:rsidP="00BA7E3E">
      <w:pPr>
        <w:spacing w:after="0"/>
        <w:jc w:val="both"/>
      </w:pPr>
      <w:r w:rsidRPr="00B21FAC">
        <w:t xml:space="preserve">De fiscale opbouw, zoals wij die op vandaag kennen, is </w:t>
      </w:r>
      <w:r w:rsidRPr="00B21FAC">
        <w:rPr>
          <w:u w:val="single"/>
        </w:rPr>
        <w:t>complex en incoherent</w:t>
      </w:r>
      <w:r w:rsidRPr="00B21FAC">
        <w:t xml:space="preserve">. </w:t>
      </w:r>
    </w:p>
    <w:p w14:paraId="7CD90844" w14:textId="77777777" w:rsidR="00C2572E" w:rsidRPr="00B21FAC" w:rsidRDefault="00C2572E" w:rsidP="00BA7E3E">
      <w:pPr>
        <w:spacing w:after="0"/>
        <w:jc w:val="both"/>
      </w:pPr>
    </w:p>
    <w:p w14:paraId="2D1F1D67" w14:textId="119A4298" w:rsidR="00C2572E" w:rsidRPr="00B21FAC" w:rsidRDefault="00C2572E" w:rsidP="00BA7E3E">
      <w:pPr>
        <w:spacing w:after="0"/>
        <w:jc w:val="both"/>
      </w:pPr>
      <w:r w:rsidRPr="00B21FAC">
        <w:t xml:space="preserve">Zoals blijkt uit de (sterk) vereenvoudigde weergave in afbeelding 1, bestaan er op federaal niveau </w:t>
      </w:r>
      <w:r w:rsidRPr="00B21FAC">
        <w:rPr>
          <w:u w:val="single"/>
        </w:rPr>
        <w:t>tal van heffingen</w:t>
      </w:r>
      <w:r w:rsidRPr="00B21FAC">
        <w:t xml:space="preserve"> (op arbeidsinkomsten</w:t>
      </w:r>
      <w:r w:rsidR="00930E29" w:rsidRPr="00B21FAC">
        <w:t xml:space="preserve"> (geel gemarkeerd)</w:t>
      </w:r>
      <w:r w:rsidRPr="00B21FAC">
        <w:t>, vervangingsinkomsten</w:t>
      </w:r>
      <w:r w:rsidR="00930E29" w:rsidRPr="00B21FAC">
        <w:t xml:space="preserve"> (rood gemarkeerd)</w:t>
      </w:r>
      <w:r w:rsidRPr="00B21FAC">
        <w:t>, vermogen</w:t>
      </w:r>
      <w:r w:rsidR="00930E29" w:rsidRPr="00B21FAC">
        <w:t xml:space="preserve"> (groen gemarkeerd)</w:t>
      </w:r>
      <w:r w:rsidRPr="00B21FAC">
        <w:t>, consumptie en vervuiling</w:t>
      </w:r>
      <w:r w:rsidR="00EC6F0C" w:rsidRPr="00B21FAC">
        <w:t xml:space="preserve"> (bruin gemarkeerd)</w:t>
      </w:r>
      <w:r w:rsidRPr="00B21FAC">
        <w:t xml:space="preserve">), waarvan de bevoegdheid overigens vaak verstrengeld zit met die van de regionale en lokale overheden. Deze afzonderlijke heffingen zijn voorts </w:t>
      </w:r>
      <w:r w:rsidRPr="00B21FAC">
        <w:rPr>
          <w:u w:val="single"/>
        </w:rPr>
        <w:t>niet altijd éénduidig</w:t>
      </w:r>
      <w:r w:rsidRPr="00B21FAC">
        <w:t xml:space="preserve">. Vele uitzonderingen en afwijkende stelsels doorkruisen die heffingen. </w:t>
      </w:r>
    </w:p>
    <w:p w14:paraId="1DB7C645" w14:textId="77777777" w:rsidR="00C2572E" w:rsidRPr="00B21FAC" w:rsidRDefault="00C2572E" w:rsidP="00BA7E3E">
      <w:pPr>
        <w:spacing w:after="0"/>
        <w:jc w:val="both"/>
      </w:pPr>
    </w:p>
    <w:p w14:paraId="2E3E1458" w14:textId="5EE9A93B" w:rsidR="00C2572E" w:rsidRPr="00B21FAC" w:rsidRDefault="00C2572E" w:rsidP="00BA7E3E">
      <w:pPr>
        <w:spacing w:after="0"/>
        <w:jc w:val="both"/>
      </w:pPr>
      <w:r w:rsidRPr="00B21FAC">
        <w:t xml:space="preserve">De </w:t>
      </w:r>
      <w:r w:rsidRPr="00B21FAC">
        <w:rPr>
          <w:u w:val="single"/>
        </w:rPr>
        <w:t>personenbelasting is hiervan het meest prominente voorbeeld</w:t>
      </w:r>
      <w:r w:rsidRPr="00B21FAC">
        <w:t>. Visionair in zijn opzet, is deze heffing stilaan afgegleden naar een zeer gedifferentieerd stelsel, waarbij het principe vaak het onderspit delft voor de uitzondering.</w:t>
      </w:r>
      <w:r w:rsidR="008B5533" w:rsidRPr="008B5533">
        <w:t xml:space="preserve"> </w:t>
      </w:r>
      <w:r w:rsidR="008B5533">
        <w:t xml:space="preserve">Binnen dit stelsel bestaan er overigens ook ‘hybride’ inkomstencategorieën </w:t>
      </w:r>
      <w:r w:rsidR="005F0EAE">
        <w:t xml:space="preserve">die zowel inkomsten uit arbeid als inkomsten uit vermogen bevatten </w:t>
      </w:r>
      <w:r w:rsidR="008B5533">
        <w:t xml:space="preserve">(oranje gemarkeerd). </w:t>
      </w:r>
      <w:r w:rsidR="005F0EAE">
        <w:t>Ook de</w:t>
      </w:r>
      <w:r w:rsidR="008B5533" w:rsidRPr="008B5533">
        <w:t xml:space="preserve"> familiale dimensie (blauw gemarkeerd)</w:t>
      </w:r>
      <w:r w:rsidR="005F0EAE">
        <w:t xml:space="preserve"> wordt op diverse wijzen geregeld</w:t>
      </w:r>
      <w:r w:rsidR="008B5533" w:rsidRPr="008B5533">
        <w:t>.</w:t>
      </w:r>
    </w:p>
    <w:p w14:paraId="1E9F2E31" w14:textId="77777777" w:rsidR="00C2572E" w:rsidRPr="00B21FAC" w:rsidRDefault="00C2572E" w:rsidP="00BA7E3E">
      <w:pPr>
        <w:spacing w:after="0"/>
        <w:jc w:val="both"/>
      </w:pPr>
    </w:p>
    <w:p w14:paraId="5BBBC672" w14:textId="77777777" w:rsidR="00C2572E" w:rsidRPr="00B21FAC" w:rsidRDefault="00C2572E" w:rsidP="00BA7E3E">
      <w:pPr>
        <w:spacing w:after="0"/>
        <w:jc w:val="both"/>
      </w:pPr>
      <w:r w:rsidRPr="00B21FAC">
        <w:t xml:space="preserve">Elke heffing heeft weliswaar een eigen historische verantwoording en doelstelling. Dat is ook zo voor de vele uitzonderingen en afwijkende stelsels die deze heffingen doorkruisen. Maar net dit aspect leidt ertoe dat we stilaan terecht komen in een onontwarbaar kluwen, waarbij elke </w:t>
      </w:r>
      <w:r w:rsidRPr="00B21FAC">
        <w:rPr>
          <w:u w:val="single"/>
        </w:rPr>
        <w:t>globale overkoepelende visie ontbreekt</w:t>
      </w:r>
      <w:r w:rsidRPr="00B21FAC">
        <w:t>.</w:t>
      </w:r>
    </w:p>
    <w:p w14:paraId="4DB8E98A" w14:textId="1354CF16" w:rsidR="00301FF2" w:rsidRDefault="00301FF2">
      <w:r>
        <w:br w:type="page"/>
      </w:r>
    </w:p>
    <w:p w14:paraId="379940A1" w14:textId="77777777" w:rsidR="00C2572E" w:rsidRPr="00B21FAC" w:rsidRDefault="00C2572E" w:rsidP="00BA7E3E">
      <w:pPr>
        <w:spacing w:after="0"/>
        <w:jc w:val="both"/>
      </w:pPr>
    </w:p>
    <w:p w14:paraId="49E44313" w14:textId="77777777" w:rsidR="00C2572E" w:rsidRPr="00B21FAC" w:rsidRDefault="00C2572E" w:rsidP="00BA7E3E">
      <w:pPr>
        <w:spacing w:after="0"/>
        <w:jc w:val="both"/>
      </w:pPr>
    </w:p>
    <w:p w14:paraId="54EE17FA" w14:textId="77777777" w:rsidR="00C2572E" w:rsidRPr="00B21FAC" w:rsidRDefault="00C2572E" w:rsidP="00BA7E3E">
      <w:pPr>
        <w:spacing w:after="0"/>
        <w:jc w:val="both"/>
        <w:rPr>
          <w:u w:val="single"/>
        </w:rPr>
      </w:pPr>
      <w:r w:rsidRPr="00B21FAC">
        <w:rPr>
          <w:u w:val="single"/>
        </w:rPr>
        <w:t>Afbeelding 1</w:t>
      </w:r>
    </w:p>
    <w:p w14:paraId="4D1AB71F" w14:textId="77777777" w:rsidR="00C2572E" w:rsidRPr="00B21FAC" w:rsidRDefault="00C2572E" w:rsidP="00BA7E3E">
      <w:pPr>
        <w:spacing w:after="0"/>
        <w:jc w:val="both"/>
      </w:pPr>
    </w:p>
    <w:tbl>
      <w:tblPr>
        <w:tblW w:w="0" w:type="auto"/>
        <w:tblInd w:w="108" w:type="dxa"/>
        <w:tblLayout w:type="fixed"/>
        <w:tblCellMar>
          <w:left w:w="0" w:type="dxa"/>
          <w:right w:w="0" w:type="dxa"/>
        </w:tblCellMar>
        <w:tblLook w:val="0000" w:firstRow="0" w:lastRow="0" w:firstColumn="0" w:lastColumn="0" w:noHBand="0" w:noVBand="0"/>
      </w:tblPr>
      <w:tblGrid>
        <w:gridCol w:w="2186"/>
        <w:gridCol w:w="933"/>
        <w:gridCol w:w="1099"/>
        <w:gridCol w:w="2078"/>
        <w:gridCol w:w="2421"/>
      </w:tblGrid>
      <w:tr w:rsidR="00C2572E" w:rsidRPr="00B21FAC" w14:paraId="58AD62D6" w14:textId="77777777" w:rsidTr="00FB3500">
        <w:trPr>
          <w:trHeight w:val="270"/>
        </w:trPr>
        <w:tc>
          <w:tcPr>
            <w:tcW w:w="8717" w:type="dxa"/>
            <w:gridSpan w:val="5"/>
            <w:tcBorders>
              <w:top w:val="single" w:sz="8" w:space="0" w:color="000000"/>
              <w:left w:val="single" w:sz="8" w:space="0" w:color="000000"/>
              <w:bottom w:val="single" w:sz="8" w:space="0" w:color="000000"/>
              <w:right w:val="single" w:sz="8" w:space="0" w:color="000000"/>
            </w:tcBorders>
          </w:tcPr>
          <w:p w14:paraId="14F01048" w14:textId="77777777" w:rsidR="00C2572E" w:rsidRPr="00B21FAC" w:rsidRDefault="00C2572E" w:rsidP="00BA7E3E">
            <w:pPr>
              <w:kinsoku w:val="0"/>
              <w:overflowPunct w:val="0"/>
              <w:autoSpaceDE w:val="0"/>
              <w:autoSpaceDN w:val="0"/>
              <w:adjustRightInd w:val="0"/>
              <w:spacing w:before="58" w:after="0"/>
              <w:ind w:left="3748" w:right="3711"/>
              <w:jc w:val="center"/>
              <w:rPr>
                <w:rFonts w:ascii="Calibri" w:hAnsi="Calibri" w:cs="Calibri"/>
                <w:b/>
                <w:bCs/>
                <w:sz w:val="11"/>
                <w:szCs w:val="11"/>
              </w:rPr>
            </w:pPr>
            <w:r w:rsidRPr="00B21FAC">
              <w:rPr>
                <w:rFonts w:ascii="Calibri" w:hAnsi="Calibri" w:cs="Calibri"/>
                <w:b/>
                <w:bCs/>
                <w:sz w:val="11"/>
                <w:szCs w:val="11"/>
              </w:rPr>
              <w:t>INKOMSTENBELASTINGEN (Personenbelasting)</w:t>
            </w:r>
          </w:p>
        </w:tc>
      </w:tr>
      <w:tr w:rsidR="00C2572E" w:rsidRPr="00B21FAC" w14:paraId="20EDA8C8" w14:textId="77777777" w:rsidTr="00FB3500">
        <w:trPr>
          <w:trHeight w:val="128"/>
        </w:trPr>
        <w:tc>
          <w:tcPr>
            <w:tcW w:w="2186" w:type="dxa"/>
            <w:tcBorders>
              <w:top w:val="single" w:sz="8" w:space="0" w:color="000000"/>
              <w:left w:val="single" w:sz="8" w:space="0" w:color="000000"/>
              <w:bottom w:val="single" w:sz="8" w:space="0" w:color="000000"/>
              <w:right w:val="single" w:sz="8" w:space="0" w:color="000000"/>
            </w:tcBorders>
            <w:shd w:val="clear" w:color="auto" w:fill="00AF50"/>
          </w:tcPr>
          <w:p w14:paraId="0EB58CED" w14:textId="77777777" w:rsidR="00C2572E" w:rsidRPr="00B21FAC" w:rsidRDefault="00C2572E" w:rsidP="00BA7E3E">
            <w:pPr>
              <w:kinsoku w:val="0"/>
              <w:overflowPunct w:val="0"/>
              <w:autoSpaceDE w:val="0"/>
              <w:autoSpaceDN w:val="0"/>
              <w:adjustRightInd w:val="0"/>
              <w:spacing w:after="0"/>
              <w:ind w:left="117" w:right="78"/>
              <w:jc w:val="center"/>
              <w:rPr>
                <w:rFonts w:ascii="Calibri" w:hAnsi="Calibri" w:cs="Calibri"/>
                <w:b/>
                <w:bCs/>
                <w:sz w:val="11"/>
                <w:szCs w:val="11"/>
              </w:rPr>
            </w:pPr>
            <w:r w:rsidRPr="00B21FAC">
              <w:rPr>
                <w:rFonts w:ascii="Calibri" w:hAnsi="Calibri" w:cs="Calibri"/>
                <w:b/>
                <w:bCs/>
                <w:sz w:val="11"/>
                <w:szCs w:val="11"/>
              </w:rPr>
              <w:t>Onroerend</w:t>
            </w:r>
            <w:r w:rsidRPr="00B21FAC">
              <w:rPr>
                <w:rFonts w:ascii="Calibri" w:hAnsi="Calibri" w:cs="Calibri"/>
                <w:b/>
                <w:bCs/>
                <w:spacing w:val="-3"/>
                <w:sz w:val="11"/>
                <w:szCs w:val="11"/>
              </w:rPr>
              <w:t xml:space="preserve"> </w:t>
            </w:r>
            <w:r w:rsidRPr="00B21FAC">
              <w:rPr>
                <w:rFonts w:ascii="Calibri" w:hAnsi="Calibri" w:cs="Calibri"/>
                <w:b/>
                <w:bCs/>
                <w:sz w:val="11"/>
                <w:szCs w:val="11"/>
              </w:rPr>
              <w:t>inkomen</w:t>
            </w:r>
          </w:p>
        </w:tc>
        <w:tc>
          <w:tcPr>
            <w:tcW w:w="933" w:type="dxa"/>
            <w:tcBorders>
              <w:top w:val="single" w:sz="8" w:space="0" w:color="000000"/>
              <w:left w:val="single" w:sz="8" w:space="0" w:color="000000"/>
              <w:bottom w:val="single" w:sz="8" w:space="0" w:color="000000"/>
              <w:right w:val="none" w:sz="6" w:space="0" w:color="auto"/>
            </w:tcBorders>
            <w:shd w:val="clear" w:color="auto" w:fill="FFFF00"/>
          </w:tcPr>
          <w:p w14:paraId="65EC2A20" w14:textId="77777777" w:rsidR="00C2572E" w:rsidRPr="00B21FAC" w:rsidRDefault="00C2572E" w:rsidP="00BA7E3E">
            <w:pPr>
              <w:kinsoku w:val="0"/>
              <w:overflowPunct w:val="0"/>
              <w:autoSpaceDE w:val="0"/>
              <w:autoSpaceDN w:val="0"/>
              <w:adjustRightInd w:val="0"/>
              <w:spacing w:after="0"/>
              <w:ind w:left="542"/>
              <w:rPr>
                <w:rFonts w:ascii="Calibri" w:hAnsi="Calibri" w:cs="Calibri"/>
                <w:b/>
                <w:bCs/>
                <w:sz w:val="11"/>
                <w:szCs w:val="11"/>
              </w:rPr>
            </w:pPr>
            <w:r w:rsidRPr="00B21FAC">
              <w:rPr>
                <w:rFonts w:ascii="Calibri" w:hAnsi="Calibri" w:cs="Calibri"/>
                <w:b/>
                <w:bCs/>
                <w:sz w:val="11"/>
                <w:szCs w:val="11"/>
              </w:rPr>
              <w:t>Beroeps</w:t>
            </w:r>
          </w:p>
        </w:tc>
        <w:tc>
          <w:tcPr>
            <w:tcW w:w="1099" w:type="dxa"/>
            <w:tcBorders>
              <w:top w:val="single" w:sz="8" w:space="0" w:color="000000"/>
              <w:left w:val="none" w:sz="6" w:space="0" w:color="auto"/>
              <w:bottom w:val="single" w:sz="8" w:space="0" w:color="000000"/>
              <w:right w:val="single" w:sz="8" w:space="0" w:color="000000"/>
            </w:tcBorders>
            <w:shd w:val="clear" w:color="auto" w:fill="FF0000"/>
          </w:tcPr>
          <w:p w14:paraId="3018F926" w14:textId="77777777" w:rsidR="00C2572E" w:rsidRPr="00B21FAC" w:rsidRDefault="00C2572E" w:rsidP="00BA7E3E">
            <w:pPr>
              <w:kinsoku w:val="0"/>
              <w:overflowPunct w:val="0"/>
              <w:autoSpaceDE w:val="0"/>
              <w:autoSpaceDN w:val="0"/>
              <w:adjustRightInd w:val="0"/>
              <w:spacing w:after="0"/>
              <w:ind w:left="24"/>
              <w:rPr>
                <w:rFonts w:ascii="Calibri" w:hAnsi="Calibri" w:cs="Calibri"/>
                <w:b/>
                <w:bCs/>
                <w:sz w:val="11"/>
                <w:szCs w:val="11"/>
              </w:rPr>
            </w:pPr>
            <w:r w:rsidRPr="00B21FAC">
              <w:rPr>
                <w:rFonts w:ascii="Calibri" w:hAnsi="Calibri" w:cs="Calibri"/>
                <w:b/>
                <w:bCs/>
                <w:sz w:val="11"/>
                <w:szCs w:val="11"/>
              </w:rPr>
              <w:t>inkomen</w:t>
            </w:r>
          </w:p>
        </w:tc>
        <w:tc>
          <w:tcPr>
            <w:tcW w:w="2078" w:type="dxa"/>
            <w:tcBorders>
              <w:top w:val="single" w:sz="8" w:space="0" w:color="000000"/>
              <w:left w:val="single" w:sz="8" w:space="0" w:color="000000"/>
              <w:bottom w:val="single" w:sz="8" w:space="0" w:color="000000"/>
              <w:right w:val="single" w:sz="8" w:space="0" w:color="000000"/>
            </w:tcBorders>
            <w:shd w:val="clear" w:color="auto" w:fill="00AF50"/>
          </w:tcPr>
          <w:p w14:paraId="491AF362" w14:textId="77777777" w:rsidR="00C2572E" w:rsidRPr="00B21FAC" w:rsidRDefault="00C2572E" w:rsidP="00BA7E3E">
            <w:pPr>
              <w:kinsoku w:val="0"/>
              <w:overflowPunct w:val="0"/>
              <w:autoSpaceDE w:val="0"/>
              <w:autoSpaceDN w:val="0"/>
              <w:adjustRightInd w:val="0"/>
              <w:spacing w:after="0"/>
              <w:ind w:left="217" w:right="176"/>
              <w:jc w:val="center"/>
              <w:rPr>
                <w:rFonts w:ascii="Calibri" w:hAnsi="Calibri" w:cs="Calibri"/>
                <w:b/>
                <w:bCs/>
                <w:sz w:val="11"/>
                <w:szCs w:val="11"/>
              </w:rPr>
            </w:pPr>
            <w:r w:rsidRPr="00B21FAC">
              <w:rPr>
                <w:rFonts w:ascii="Calibri" w:hAnsi="Calibri" w:cs="Calibri"/>
                <w:b/>
                <w:bCs/>
                <w:sz w:val="11"/>
                <w:szCs w:val="11"/>
              </w:rPr>
              <w:t>Roerend</w:t>
            </w:r>
            <w:r w:rsidRPr="00B21FAC">
              <w:rPr>
                <w:rFonts w:ascii="Calibri" w:hAnsi="Calibri" w:cs="Calibri"/>
                <w:b/>
                <w:bCs/>
                <w:spacing w:val="-3"/>
                <w:sz w:val="11"/>
                <w:szCs w:val="11"/>
              </w:rPr>
              <w:t xml:space="preserve"> </w:t>
            </w:r>
            <w:r w:rsidRPr="00B21FAC">
              <w:rPr>
                <w:rFonts w:ascii="Calibri" w:hAnsi="Calibri" w:cs="Calibri"/>
                <w:b/>
                <w:bCs/>
                <w:sz w:val="11"/>
                <w:szCs w:val="11"/>
              </w:rPr>
              <w:t>inkomen</w:t>
            </w:r>
          </w:p>
        </w:tc>
        <w:tc>
          <w:tcPr>
            <w:tcW w:w="2421" w:type="dxa"/>
            <w:tcBorders>
              <w:top w:val="single" w:sz="8" w:space="0" w:color="000000"/>
              <w:left w:val="single" w:sz="8" w:space="0" w:color="000000"/>
              <w:bottom w:val="single" w:sz="8" w:space="0" w:color="000000"/>
              <w:right w:val="single" w:sz="8" w:space="0" w:color="000000"/>
            </w:tcBorders>
            <w:shd w:val="clear" w:color="auto" w:fill="FFBF00"/>
          </w:tcPr>
          <w:p w14:paraId="29F7C281" w14:textId="77777777" w:rsidR="00C2572E" w:rsidRPr="00B21FAC" w:rsidRDefault="00C2572E" w:rsidP="00BA7E3E">
            <w:pPr>
              <w:kinsoku w:val="0"/>
              <w:overflowPunct w:val="0"/>
              <w:autoSpaceDE w:val="0"/>
              <w:autoSpaceDN w:val="0"/>
              <w:adjustRightInd w:val="0"/>
              <w:spacing w:after="0"/>
              <w:ind w:left="293" w:right="251"/>
              <w:jc w:val="center"/>
              <w:rPr>
                <w:rFonts w:ascii="Calibri" w:hAnsi="Calibri" w:cs="Calibri"/>
                <w:b/>
                <w:bCs/>
                <w:sz w:val="11"/>
                <w:szCs w:val="11"/>
              </w:rPr>
            </w:pPr>
            <w:r w:rsidRPr="00B21FAC">
              <w:rPr>
                <w:rFonts w:ascii="Calibri" w:hAnsi="Calibri" w:cs="Calibri"/>
                <w:b/>
                <w:bCs/>
                <w:sz w:val="11"/>
                <w:szCs w:val="11"/>
              </w:rPr>
              <w:t>Diverse</w:t>
            </w:r>
            <w:r w:rsidRPr="00B21FAC">
              <w:rPr>
                <w:rFonts w:ascii="Calibri" w:hAnsi="Calibri" w:cs="Calibri"/>
                <w:b/>
                <w:bCs/>
                <w:spacing w:val="-1"/>
                <w:sz w:val="11"/>
                <w:szCs w:val="11"/>
              </w:rPr>
              <w:t xml:space="preserve"> </w:t>
            </w:r>
            <w:r w:rsidRPr="00B21FAC">
              <w:rPr>
                <w:rFonts w:ascii="Calibri" w:hAnsi="Calibri" w:cs="Calibri"/>
                <w:b/>
                <w:bCs/>
                <w:sz w:val="11"/>
                <w:szCs w:val="11"/>
              </w:rPr>
              <w:t>inkomsten</w:t>
            </w:r>
          </w:p>
        </w:tc>
      </w:tr>
      <w:tr w:rsidR="00C2572E" w:rsidRPr="00B21FAC" w14:paraId="7AF9EBDE" w14:textId="77777777" w:rsidTr="00FB3500">
        <w:trPr>
          <w:trHeight w:val="128"/>
        </w:trPr>
        <w:tc>
          <w:tcPr>
            <w:tcW w:w="2186" w:type="dxa"/>
            <w:tcBorders>
              <w:top w:val="single" w:sz="8" w:space="0" w:color="000000"/>
              <w:left w:val="single" w:sz="8" w:space="0" w:color="000000"/>
              <w:bottom w:val="single" w:sz="8" w:space="0" w:color="000000"/>
              <w:right w:val="single" w:sz="8" w:space="0" w:color="000000"/>
            </w:tcBorders>
            <w:shd w:val="clear" w:color="auto" w:fill="00AF50"/>
          </w:tcPr>
          <w:p w14:paraId="5870B2EF" w14:textId="77777777" w:rsidR="00C2572E" w:rsidRPr="00B21FAC" w:rsidRDefault="00C2572E" w:rsidP="00BA7E3E">
            <w:pPr>
              <w:kinsoku w:val="0"/>
              <w:overflowPunct w:val="0"/>
              <w:autoSpaceDE w:val="0"/>
              <w:autoSpaceDN w:val="0"/>
              <w:adjustRightInd w:val="0"/>
              <w:spacing w:after="0"/>
              <w:ind w:left="117" w:right="92"/>
              <w:jc w:val="center"/>
              <w:rPr>
                <w:rFonts w:ascii="Calibri" w:hAnsi="Calibri" w:cs="Calibri"/>
                <w:sz w:val="11"/>
                <w:szCs w:val="11"/>
              </w:rPr>
            </w:pPr>
            <w:r w:rsidRPr="00B21FAC">
              <w:rPr>
                <w:rFonts w:ascii="Calibri" w:hAnsi="Calibri" w:cs="Calibri"/>
                <w:sz w:val="11"/>
                <w:szCs w:val="11"/>
              </w:rPr>
              <w:t>niet-verhuurd</w:t>
            </w:r>
            <w:r w:rsidRPr="00B21FAC">
              <w:rPr>
                <w:rFonts w:ascii="Calibri" w:hAnsi="Calibri" w:cs="Calibri"/>
                <w:spacing w:val="-3"/>
                <w:sz w:val="11"/>
                <w:szCs w:val="11"/>
              </w:rPr>
              <w:t xml:space="preserve"> </w:t>
            </w:r>
            <w:r w:rsidRPr="00B21FAC">
              <w:rPr>
                <w:rFonts w:ascii="Calibri" w:hAnsi="Calibri" w:cs="Calibri"/>
                <w:sz w:val="11"/>
                <w:szCs w:val="11"/>
              </w:rPr>
              <w:t>onroerend</w:t>
            </w:r>
            <w:r w:rsidRPr="00B21FAC">
              <w:rPr>
                <w:rFonts w:ascii="Calibri" w:hAnsi="Calibri" w:cs="Calibri"/>
                <w:spacing w:val="-3"/>
                <w:sz w:val="11"/>
                <w:szCs w:val="11"/>
              </w:rPr>
              <w:t xml:space="preserve"> </w:t>
            </w:r>
            <w:r w:rsidRPr="00B21FAC">
              <w:rPr>
                <w:rFonts w:ascii="Calibri" w:hAnsi="Calibri" w:cs="Calibri"/>
                <w:sz w:val="11"/>
                <w:szCs w:val="11"/>
              </w:rPr>
              <w:t>goed</w:t>
            </w:r>
            <w:r w:rsidRPr="00B21FAC">
              <w:rPr>
                <w:rFonts w:ascii="Calibri" w:hAnsi="Calibri" w:cs="Calibri"/>
                <w:spacing w:val="-2"/>
                <w:sz w:val="11"/>
                <w:szCs w:val="11"/>
              </w:rPr>
              <w:t xml:space="preserve"> </w:t>
            </w:r>
            <w:r w:rsidRPr="00B21FAC">
              <w:rPr>
                <w:rFonts w:ascii="Calibri" w:hAnsi="Calibri" w:cs="Calibri"/>
                <w:sz w:val="11"/>
                <w:szCs w:val="11"/>
              </w:rPr>
              <w:t>(KI</w:t>
            </w:r>
            <w:r w:rsidRPr="00B21FAC">
              <w:rPr>
                <w:rFonts w:ascii="Calibri" w:hAnsi="Calibri" w:cs="Calibri"/>
                <w:spacing w:val="-4"/>
                <w:sz w:val="11"/>
                <w:szCs w:val="11"/>
              </w:rPr>
              <w:t xml:space="preserve"> </w:t>
            </w:r>
            <w:r w:rsidRPr="00B21FAC">
              <w:rPr>
                <w:rFonts w:ascii="Calibri" w:hAnsi="Calibri" w:cs="Calibri"/>
                <w:sz w:val="11"/>
                <w:szCs w:val="11"/>
              </w:rPr>
              <w:t>(+40%))</w:t>
            </w:r>
          </w:p>
        </w:tc>
        <w:tc>
          <w:tcPr>
            <w:tcW w:w="933" w:type="dxa"/>
            <w:tcBorders>
              <w:top w:val="single" w:sz="8" w:space="0" w:color="000000"/>
              <w:left w:val="single" w:sz="8" w:space="0" w:color="000000"/>
              <w:bottom w:val="single" w:sz="8" w:space="0" w:color="000000"/>
              <w:right w:val="none" w:sz="6" w:space="0" w:color="auto"/>
            </w:tcBorders>
            <w:shd w:val="clear" w:color="auto" w:fill="FFFF00"/>
          </w:tcPr>
          <w:p w14:paraId="768D5017" w14:textId="77777777" w:rsidR="00C2572E" w:rsidRPr="00B21FAC" w:rsidRDefault="00C2572E" w:rsidP="00BA7E3E">
            <w:pPr>
              <w:kinsoku w:val="0"/>
              <w:overflowPunct w:val="0"/>
              <w:autoSpaceDE w:val="0"/>
              <w:autoSpaceDN w:val="0"/>
              <w:adjustRightInd w:val="0"/>
              <w:spacing w:after="0"/>
              <w:ind w:left="23"/>
              <w:rPr>
                <w:rFonts w:ascii="Calibri" w:hAnsi="Calibri" w:cs="Calibri"/>
                <w:sz w:val="11"/>
                <w:szCs w:val="11"/>
              </w:rPr>
            </w:pPr>
            <w:r w:rsidRPr="00B21FAC">
              <w:rPr>
                <w:rFonts w:ascii="Calibri" w:hAnsi="Calibri" w:cs="Calibri"/>
                <w:sz w:val="11"/>
                <w:szCs w:val="11"/>
              </w:rPr>
              <w:t>Winst</w:t>
            </w:r>
          </w:p>
        </w:tc>
        <w:tc>
          <w:tcPr>
            <w:tcW w:w="1099" w:type="dxa"/>
            <w:tcBorders>
              <w:top w:val="single" w:sz="8" w:space="0" w:color="000000"/>
              <w:left w:val="none" w:sz="6" w:space="0" w:color="auto"/>
              <w:bottom w:val="single" w:sz="8" w:space="0" w:color="000000"/>
              <w:right w:val="single" w:sz="8" w:space="0" w:color="000000"/>
            </w:tcBorders>
            <w:shd w:val="clear" w:color="auto" w:fill="FF0000"/>
          </w:tcPr>
          <w:p w14:paraId="26467752" w14:textId="77777777" w:rsidR="00C2572E" w:rsidRPr="00B21FAC" w:rsidRDefault="00C2572E" w:rsidP="00BA7E3E">
            <w:pPr>
              <w:kinsoku w:val="0"/>
              <w:overflowPunct w:val="0"/>
              <w:autoSpaceDE w:val="0"/>
              <w:autoSpaceDN w:val="0"/>
              <w:adjustRightInd w:val="0"/>
              <w:spacing w:after="0"/>
              <w:ind w:left="24"/>
              <w:rPr>
                <w:rFonts w:ascii="Calibri" w:hAnsi="Calibri" w:cs="Calibri"/>
                <w:sz w:val="11"/>
                <w:szCs w:val="11"/>
              </w:rPr>
            </w:pPr>
            <w:r w:rsidRPr="00B21FAC">
              <w:rPr>
                <w:rFonts w:ascii="Calibri" w:hAnsi="Calibri" w:cs="Calibri"/>
                <w:sz w:val="11"/>
                <w:szCs w:val="11"/>
              </w:rPr>
              <w:t>vervangingsinkomen</w:t>
            </w:r>
          </w:p>
        </w:tc>
        <w:tc>
          <w:tcPr>
            <w:tcW w:w="2078" w:type="dxa"/>
            <w:tcBorders>
              <w:top w:val="single" w:sz="8" w:space="0" w:color="000000"/>
              <w:left w:val="single" w:sz="8" w:space="0" w:color="000000"/>
              <w:bottom w:val="single" w:sz="8" w:space="0" w:color="000000"/>
              <w:right w:val="single" w:sz="8" w:space="0" w:color="000000"/>
            </w:tcBorders>
            <w:shd w:val="clear" w:color="auto" w:fill="00AF50"/>
          </w:tcPr>
          <w:p w14:paraId="785C4D17" w14:textId="77777777" w:rsidR="00C2572E" w:rsidRPr="00B21FAC" w:rsidRDefault="00C2572E" w:rsidP="00BA7E3E">
            <w:pPr>
              <w:kinsoku w:val="0"/>
              <w:overflowPunct w:val="0"/>
              <w:autoSpaceDE w:val="0"/>
              <w:autoSpaceDN w:val="0"/>
              <w:adjustRightInd w:val="0"/>
              <w:spacing w:after="0"/>
              <w:ind w:left="217" w:right="177"/>
              <w:jc w:val="center"/>
              <w:rPr>
                <w:rFonts w:ascii="Calibri" w:hAnsi="Calibri" w:cs="Calibri"/>
                <w:sz w:val="11"/>
                <w:szCs w:val="11"/>
              </w:rPr>
            </w:pPr>
            <w:r w:rsidRPr="00B21FAC">
              <w:rPr>
                <w:rFonts w:ascii="Calibri" w:hAnsi="Calibri" w:cs="Calibri"/>
                <w:sz w:val="11"/>
                <w:szCs w:val="11"/>
              </w:rPr>
              <w:t>dividenden</w:t>
            </w:r>
          </w:p>
        </w:tc>
        <w:tc>
          <w:tcPr>
            <w:tcW w:w="2421" w:type="dxa"/>
            <w:tcBorders>
              <w:top w:val="single" w:sz="8" w:space="0" w:color="000000"/>
              <w:left w:val="single" w:sz="8" w:space="0" w:color="000000"/>
              <w:bottom w:val="single" w:sz="8" w:space="0" w:color="000000"/>
              <w:right w:val="single" w:sz="8" w:space="0" w:color="000000"/>
            </w:tcBorders>
            <w:shd w:val="clear" w:color="auto" w:fill="FFBF00"/>
          </w:tcPr>
          <w:p w14:paraId="0806766D" w14:textId="77777777" w:rsidR="00C2572E" w:rsidRPr="00B21FAC" w:rsidRDefault="00C2572E" w:rsidP="00BA7E3E">
            <w:pPr>
              <w:kinsoku w:val="0"/>
              <w:overflowPunct w:val="0"/>
              <w:autoSpaceDE w:val="0"/>
              <w:autoSpaceDN w:val="0"/>
              <w:adjustRightInd w:val="0"/>
              <w:spacing w:after="0"/>
              <w:ind w:left="292" w:right="252"/>
              <w:jc w:val="center"/>
              <w:rPr>
                <w:rFonts w:ascii="Calibri" w:hAnsi="Calibri" w:cs="Calibri"/>
                <w:sz w:val="11"/>
                <w:szCs w:val="11"/>
              </w:rPr>
            </w:pPr>
            <w:r w:rsidRPr="00B21FAC">
              <w:rPr>
                <w:rFonts w:ascii="Calibri" w:hAnsi="Calibri" w:cs="Calibri"/>
                <w:sz w:val="11"/>
                <w:szCs w:val="11"/>
              </w:rPr>
              <w:t>Toevallige</w:t>
            </w:r>
            <w:r w:rsidRPr="00B21FAC">
              <w:rPr>
                <w:rFonts w:ascii="Calibri" w:hAnsi="Calibri" w:cs="Calibri"/>
                <w:spacing w:val="-4"/>
                <w:sz w:val="11"/>
                <w:szCs w:val="11"/>
              </w:rPr>
              <w:t xml:space="preserve"> </w:t>
            </w:r>
            <w:r w:rsidRPr="00B21FAC">
              <w:rPr>
                <w:rFonts w:ascii="Calibri" w:hAnsi="Calibri" w:cs="Calibri"/>
                <w:sz w:val="11"/>
                <w:szCs w:val="11"/>
              </w:rPr>
              <w:t>winst</w:t>
            </w:r>
            <w:r w:rsidRPr="00B21FAC">
              <w:rPr>
                <w:rFonts w:ascii="Calibri" w:hAnsi="Calibri" w:cs="Calibri"/>
                <w:spacing w:val="-2"/>
                <w:sz w:val="11"/>
                <w:szCs w:val="11"/>
              </w:rPr>
              <w:t xml:space="preserve"> </w:t>
            </w:r>
            <w:r w:rsidRPr="00B21FAC">
              <w:rPr>
                <w:rFonts w:ascii="Calibri" w:hAnsi="Calibri" w:cs="Calibri"/>
                <w:sz w:val="11"/>
                <w:szCs w:val="11"/>
              </w:rPr>
              <w:t>of</w:t>
            </w:r>
            <w:r w:rsidRPr="00B21FAC">
              <w:rPr>
                <w:rFonts w:ascii="Calibri" w:hAnsi="Calibri" w:cs="Calibri"/>
                <w:spacing w:val="-2"/>
                <w:sz w:val="11"/>
                <w:szCs w:val="11"/>
              </w:rPr>
              <w:t xml:space="preserve"> </w:t>
            </w:r>
            <w:r w:rsidRPr="00B21FAC">
              <w:rPr>
                <w:rFonts w:ascii="Calibri" w:hAnsi="Calibri" w:cs="Calibri"/>
                <w:sz w:val="11"/>
                <w:szCs w:val="11"/>
              </w:rPr>
              <w:t>baten</w:t>
            </w:r>
          </w:p>
        </w:tc>
      </w:tr>
      <w:tr w:rsidR="00C2572E" w:rsidRPr="00B21FAC" w14:paraId="3D4AC1BA" w14:textId="77777777" w:rsidTr="00FB3500">
        <w:trPr>
          <w:trHeight w:val="128"/>
        </w:trPr>
        <w:tc>
          <w:tcPr>
            <w:tcW w:w="2186" w:type="dxa"/>
            <w:tcBorders>
              <w:top w:val="single" w:sz="8" w:space="0" w:color="000000"/>
              <w:left w:val="single" w:sz="8" w:space="0" w:color="000000"/>
              <w:bottom w:val="single" w:sz="8" w:space="0" w:color="000000"/>
              <w:right w:val="single" w:sz="8" w:space="0" w:color="000000"/>
            </w:tcBorders>
            <w:shd w:val="clear" w:color="auto" w:fill="00AF50"/>
          </w:tcPr>
          <w:p w14:paraId="60DA8D4C" w14:textId="77777777" w:rsidR="00C2572E" w:rsidRPr="00B21FAC" w:rsidRDefault="00C2572E" w:rsidP="00BA7E3E">
            <w:pPr>
              <w:kinsoku w:val="0"/>
              <w:overflowPunct w:val="0"/>
              <w:autoSpaceDE w:val="0"/>
              <w:autoSpaceDN w:val="0"/>
              <w:adjustRightInd w:val="0"/>
              <w:spacing w:after="0"/>
              <w:ind w:left="116" w:right="93"/>
              <w:jc w:val="center"/>
              <w:rPr>
                <w:rFonts w:ascii="Calibri" w:hAnsi="Calibri" w:cs="Calibri"/>
                <w:sz w:val="11"/>
                <w:szCs w:val="11"/>
              </w:rPr>
            </w:pPr>
            <w:r w:rsidRPr="00B21FAC">
              <w:rPr>
                <w:rFonts w:ascii="Calibri" w:hAnsi="Calibri" w:cs="Calibri"/>
                <w:sz w:val="11"/>
                <w:szCs w:val="11"/>
              </w:rPr>
              <w:t>Particuliere</w:t>
            </w:r>
            <w:r w:rsidRPr="00B21FAC">
              <w:rPr>
                <w:rFonts w:ascii="Calibri" w:hAnsi="Calibri" w:cs="Calibri"/>
                <w:spacing w:val="-3"/>
                <w:sz w:val="11"/>
                <w:szCs w:val="11"/>
              </w:rPr>
              <w:t xml:space="preserve"> </w:t>
            </w:r>
            <w:r w:rsidRPr="00B21FAC">
              <w:rPr>
                <w:rFonts w:ascii="Calibri" w:hAnsi="Calibri" w:cs="Calibri"/>
                <w:sz w:val="11"/>
                <w:szCs w:val="11"/>
              </w:rPr>
              <w:t>verhuur</w:t>
            </w:r>
            <w:r w:rsidRPr="00B21FAC">
              <w:rPr>
                <w:rFonts w:ascii="Calibri" w:hAnsi="Calibri" w:cs="Calibri"/>
                <w:spacing w:val="-1"/>
                <w:sz w:val="11"/>
                <w:szCs w:val="11"/>
              </w:rPr>
              <w:t xml:space="preserve"> </w:t>
            </w:r>
            <w:r w:rsidRPr="00B21FAC">
              <w:rPr>
                <w:rFonts w:ascii="Calibri" w:hAnsi="Calibri" w:cs="Calibri"/>
                <w:sz w:val="11"/>
                <w:szCs w:val="11"/>
              </w:rPr>
              <w:t>(KI</w:t>
            </w:r>
            <w:r w:rsidRPr="00B21FAC">
              <w:rPr>
                <w:rFonts w:ascii="Calibri" w:hAnsi="Calibri" w:cs="Calibri"/>
                <w:spacing w:val="-4"/>
                <w:sz w:val="11"/>
                <w:szCs w:val="11"/>
              </w:rPr>
              <w:t xml:space="preserve"> </w:t>
            </w:r>
            <w:r w:rsidRPr="00B21FAC">
              <w:rPr>
                <w:rFonts w:ascii="Calibri" w:hAnsi="Calibri" w:cs="Calibri"/>
                <w:sz w:val="11"/>
                <w:szCs w:val="11"/>
              </w:rPr>
              <w:t>(+40%))</w:t>
            </w:r>
          </w:p>
        </w:tc>
        <w:tc>
          <w:tcPr>
            <w:tcW w:w="933" w:type="dxa"/>
            <w:tcBorders>
              <w:top w:val="single" w:sz="8" w:space="0" w:color="000000"/>
              <w:left w:val="single" w:sz="8" w:space="0" w:color="000000"/>
              <w:bottom w:val="single" w:sz="8" w:space="0" w:color="000000"/>
              <w:right w:val="none" w:sz="6" w:space="0" w:color="auto"/>
            </w:tcBorders>
            <w:shd w:val="clear" w:color="auto" w:fill="FFFF00"/>
          </w:tcPr>
          <w:p w14:paraId="3B6B7AF2" w14:textId="77777777" w:rsidR="00C2572E" w:rsidRPr="00B21FAC" w:rsidRDefault="00C2572E" w:rsidP="00BA7E3E">
            <w:pPr>
              <w:kinsoku w:val="0"/>
              <w:overflowPunct w:val="0"/>
              <w:autoSpaceDE w:val="0"/>
              <w:autoSpaceDN w:val="0"/>
              <w:adjustRightInd w:val="0"/>
              <w:spacing w:after="0"/>
              <w:ind w:left="23"/>
              <w:rPr>
                <w:rFonts w:ascii="Calibri" w:hAnsi="Calibri" w:cs="Calibri"/>
                <w:sz w:val="11"/>
                <w:szCs w:val="11"/>
              </w:rPr>
            </w:pPr>
            <w:r w:rsidRPr="00B21FAC">
              <w:rPr>
                <w:rFonts w:ascii="Calibri" w:hAnsi="Calibri" w:cs="Calibri"/>
                <w:sz w:val="11"/>
                <w:szCs w:val="11"/>
              </w:rPr>
              <w:t>Baten</w:t>
            </w:r>
          </w:p>
        </w:tc>
        <w:tc>
          <w:tcPr>
            <w:tcW w:w="1099" w:type="dxa"/>
            <w:tcBorders>
              <w:top w:val="single" w:sz="8" w:space="0" w:color="000000"/>
              <w:left w:val="none" w:sz="6" w:space="0" w:color="auto"/>
              <w:bottom w:val="single" w:sz="8" w:space="0" w:color="000000"/>
              <w:right w:val="single" w:sz="8" w:space="0" w:color="000000"/>
            </w:tcBorders>
            <w:shd w:val="clear" w:color="auto" w:fill="FF0000"/>
          </w:tcPr>
          <w:p w14:paraId="255863B1" w14:textId="77777777" w:rsidR="00C2572E" w:rsidRPr="00B21FAC" w:rsidRDefault="00C2572E" w:rsidP="00BA7E3E">
            <w:pPr>
              <w:kinsoku w:val="0"/>
              <w:overflowPunct w:val="0"/>
              <w:autoSpaceDE w:val="0"/>
              <w:autoSpaceDN w:val="0"/>
              <w:adjustRightInd w:val="0"/>
              <w:spacing w:after="0"/>
              <w:ind w:left="24"/>
              <w:rPr>
                <w:rFonts w:ascii="Calibri" w:hAnsi="Calibri" w:cs="Calibri"/>
                <w:sz w:val="11"/>
                <w:szCs w:val="11"/>
              </w:rPr>
            </w:pPr>
            <w:r w:rsidRPr="00B21FAC">
              <w:rPr>
                <w:rFonts w:ascii="Calibri" w:hAnsi="Calibri" w:cs="Calibri"/>
                <w:sz w:val="11"/>
                <w:szCs w:val="11"/>
              </w:rPr>
              <w:t>vervangingsinkomen</w:t>
            </w:r>
          </w:p>
        </w:tc>
        <w:tc>
          <w:tcPr>
            <w:tcW w:w="2078" w:type="dxa"/>
            <w:tcBorders>
              <w:top w:val="single" w:sz="8" w:space="0" w:color="000000"/>
              <w:left w:val="single" w:sz="8" w:space="0" w:color="000000"/>
              <w:bottom w:val="single" w:sz="8" w:space="0" w:color="000000"/>
              <w:right w:val="single" w:sz="8" w:space="0" w:color="000000"/>
            </w:tcBorders>
            <w:shd w:val="clear" w:color="auto" w:fill="00AF50"/>
          </w:tcPr>
          <w:p w14:paraId="4AF5459B" w14:textId="77777777" w:rsidR="00C2572E" w:rsidRPr="00B21FAC" w:rsidRDefault="00C2572E" w:rsidP="00BA7E3E">
            <w:pPr>
              <w:kinsoku w:val="0"/>
              <w:overflowPunct w:val="0"/>
              <w:autoSpaceDE w:val="0"/>
              <w:autoSpaceDN w:val="0"/>
              <w:adjustRightInd w:val="0"/>
              <w:spacing w:after="0"/>
              <w:ind w:left="217" w:right="176"/>
              <w:jc w:val="center"/>
              <w:rPr>
                <w:rFonts w:ascii="Calibri" w:hAnsi="Calibri" w:cs="Calibri"/>
                <w:sz w:val="11"/>
                <w:szCs w:val="11"/>
              </w:rPr>
            </w:pPr>
            <w:r w:rsidRPr="00B21FAC">
              <w:rPr>
                <w:rFonts w:ascii="Calibri" w:hAnsi="Calibri" w:cs="Calibri"/>
                <w:sz w:val="11"/>
                <w:szCs w:val="11"/>
              </w:rPr>
              <w:t>interest</w:t>
            </w:r>
          </w:p>
        </w:tc>
        <w:tc>
          <w:tcPr>
            <w:tcW w:w="2421" w:type="dxa"/>
            <w:tcBorders>
              <w:top w:val="single" w:sz="8" w:space="0" w:color="000000"/>
              <w:left w:val="single" w:sz="8" w:space="0" w:color="000000"/>
              <w:bottom w:val="single" w:sz="8" w:space="0" w:color="000000"/>
              <w:right w:val="single" w:sz="8" w:space="0" w:color="000000"/>
            </w:tcBorders>
            <w:shd w:val="clear" w:color="auto" w:fill="FFFF00"/>
          </w:tcPr>
          <w:p w14:paraId="3E7C3003" w14:textId="77777777" w:rsidR="00C2572E" w:rsidRPr="00B21FAC" w:rsidRDefault="00C2572E" w:rsidP="00BA7E3E">
            <w:pPr>
              <w:kinsoku w:val="0"/>
              <w:overflowPunct w:val="0"/>
              <w:autoSpaceDE w:val="0"/>
              <w:autoSpaceDN w:val="0"/>
              <w:adjustRightInd w:val="0"/>
              <w:spacing w:after="0"/>
              <w:ind w:left="293" w:right="250"/>
              <w:jc w:val="center"/>
              <w:rPr>
                <w:rFonts w:ascii="Calibri" w:hAnsi="Calibri" w:cs="Calibri"/>
                <w:sz w:val="11"/>
                <w:szCs w:val="11"/>
              </w:rPr>
            </w:pPr>
            <w:r w:rsidRPr="00B21FAC">
              <w:rPr>
                <w:rFonts w:ascii="Calibri" w:hAnsi="Calibri" w:cs="Calibri"/>
                <w:sz w:val="11"/>
                <w:szCs w:val="11"/>
              </w:rPr>
              <w:t>Deeleconomie</w:t>
            </w:r>
          </w:p>
        </w:tc>
      </w:tr>
      <w:tr w:rsidR="00C2572E" w:rsidRPr="00B21FAC" w14:paraId="79C33593" w14:textId="77777777" w:rsidTr="00FB3500">
        <w:trPr>
          <w:trHeight w:val="128"/>
        </w:trPr>
        <w:tc>
          <w:tcPr>
            <w:tcW w:w="2186" w:type="dxa"/>
            <w:tcBorders>
              <w:top w:val="single" w:sz="8" w:space="0" w:color="000000"/>
              <w:left w:val="single" w:sz="8" w:space="0" w:color="000000"/>
              <w:bottom w:val="single" w:sz="8" w:space="0" w:color="000000"/>
              <w:right w:val="single" w:sz="8" w:space="0" w:color="000000"/>
            </w:tcBorders>
            <w:shd w:val="clear" w:color="auto" w:fill="00AF50"/>
          </w:tcPr>
          <w:p w14:paraId="77F6BFDA" w14:textId="77777777" w:rsidR="00C2572E" w:rsidRPr="00B21FAC" w:rsidRDefault="00C2572E" w:rsidP="00BA7E3E">
            <w:pPr>
              <w:kinsoku w:val="0"/>
              <w:overflowPunct w:val="0"/>
              <w:autoSpaceDE w:val="0"/>
              <w:autoSpaceDN w:val="0"/>
              <w:adjustRightInd w:val="0"/>
              <w:spacing w:after="0"/>
              <w:ind w:left="117" w:right="93"/>
              <w:jc w:val="center"/>
              <w:rPr>
                <w:rFonts w:ascii="Calibri" w:hAnsi="Calibri" w:cs="Calibri"/>
                <w:sz w:val="11"/>
                <w:szCs w:val="11"/>
              </w:rPr>
            </w:pPr>
            <w:r w:rsidRPr="00B21FAC">
              <w:rPr>
                <w:rFonts w:ascii="Calibri" w:hAnsi="Calibri" w:cs="Calibri"/>
                <w:sz w:val="11"/>
                <w:szCs w:val="11"/>
              </w:rPr>
              <w:t>Niet-particuliere</w:t>
            </w:r>
            <w:r w:rsidRPr="00B21FAC">
              <w:rPr>
                <w:rFonts w:ascii="Calibri" w:hAnsi="Calibri" w:cs="Calibri"/>
                <w:spacing w:val="-6"/>
                <w:sz w:val="11"/>
                <w:szCs w:val="11"/>
              </w:rPr>
              <w:t xml:space="preserve"> </w:t>
            </w:r>
            <w:r w:rsidRPr="00B21FAC">
              <w:rPr>
                <w:rFonts w:ascii="Calibri" w:hAnsi="Calibri" w:cs="Calibri"/>
                <w:sz w:val="11"/>
                <w:szCs w:val="11"/>
              </w:rPr>
              <w:t>verhuur</w:t>
            </w:r>
            <w:r w:rsidRPr="00B21FAC">
              <w:rPr>
                <w:rFonts w:ascii="Calibri" w:hAnsi="Calibri" w:cs="Calibri"/>
                <w:spacing w:val="-3"/>
                <w:sz w:val="11"/>
                <w:szCs w:val="11"/>
              </w:rPr>
              <w:t xml:space="preserve"> </w:t>
            </w:r>
            <w:r w:rsidRPr="00B21FAC">
              <w:rPr>
                <w:rFonts w:ascii="Calibri" w:hAnsi="Calibri" w:cs="Calibri"/>
                <w:sz w:val="11"/>
                <w:szCs w:val="11"/>
              </w:rPr>
              <w:t>(reële</w:t>
            </w:r>
            <w:r w:rsidRPr="00B21FAC">
              <w:rPr>
                <w:rFonts w:ascii="Calibri" w:hAnsi="Calibri" w:cs="Calibri"/>
                <w:spacing w:val="-5"/>
                <w:sz w:val="11"/>
                <w:szCs w:val="11"/>
              </w:rPr>
              <w:t xml:space="preserve"> </w:t>
            </w:r>
            <w:r w:rsidRPr="00B21FAC">
              <w:rPr>
                <w:rFonts w:ascii="Calibri" w:hAnsi="Calibri" w:cs="Calibri"/>
                <w:sz w:val="11"/>
                <w:szCs w:val="11"/>
              </w:rPr>
              <w:t>inkomsten)</w:t>
            </w:r>
          </w:p>
        </w:tc>
        <w:tc>
          <w:tcPr>
            <w:tcW w:w="933" w:type="dxa"/>
            <w:tcBorders>
              <w:top w:val="single" w:sz="8" w:space="0" w:color="000000"/>
              <w:left w:val="single" w:sz="8" w:space="0" w:color="000000"/>
              <w:bottom w:val="single" w:sz="8" w:space="0" w:color="000000"/>
              <w:right w:val="none" w:sz="6" w:space="0" w:color="auto"/>
            </w:tcBorders>
            <w:shd w:val="clear" w:color="auto" w:fill="FFFF00"/>
          </w:tcPr>
          <w:p w14:paraId="502B12BE" w14:textId="77777777" w:rsidR="00C2572E" w:rsidRPr="00B21FAC" w:rsidRDefault="00C2572E" w:rsidP="00BA7E3E">
            <w:pPr>
              <w:kinsoku w:val="0"/>
              <w:overflowPunct w:val="0"/>
              <w:autoSpaceDE w:val="0"/>
              <w:autoSpaceDN w:val="0"/>
              <w:adjustRightInd w:val="0"/>
              <w:spacing w:after="0"/>
              <w:ind w:left="23"/>
              <w:rPr>
                <w:rFonts w:ascii="Calibri" w:hAnsi="Calibri" w:cs="Calibri"/>
                <w:sz w:val="11"/>
                <w:szCs w:val="11"/>
              </w:rPr>
            </w:pPr>
            <w:r w:rsidRPr="00B21FAC">
              <w:rPr>
                <w:rFonts w:ascii="Calibri" w:hAnsi="Calibri" w:cs="Calibri"/>
                <w:sz w:val="11"/>
                <w:szCs w:val="11"/>
              </w:rPr>
              <w:t>Bezoldigingen</w:t>
            </w:r>
          </w:p>
        </w:tc>
        <w:tc>
          <w:tcPr>
            <w:tcW w:w="1099" w:type="dxa"/>
            <w:tcBorders>
              <w:top w:val="single" w:sz="8" w:space="0" w:color="000000"/>
              <w:left w:val="none" w:sz="6" w:space="0" w:color="auto"/>
              <w:bottom w:val="single" w:sz="8" w:space="0" w:color="000000"/>
              <w:right w:val="single" w:sz="8" w:space="0" w:color="000000"/>
            </w:tcBorders>
            <w:shd w:val="clear" w:color="auto" w:fill="FF0000"/>
          </w:tcPr>
          <w:p w14:paraId="1F7AE94E" w14:textId="77777777" w:rsidR="00C2572E" w:rsidRPr="00B21FAC" w:rsidRDefault="00C2572E" w:rsidP="00BA7E3E">
            <w:pPr>
              <w:kinsoku w:val="0"/>
              <w:overflowPunct w:val="0"/>
              <w:autoSpaceDE w:val="0"/>
              <w:autoSpaceDN w:val="0"/>
              <w:adjustRightInd w:val="0"/>
              <w:spacing w:after="0"/>
              <w:ind w:left="24"/>
              <w:rPr>
                <w:rFonts w:ascii="Calibri" w:hAnsi="Calibri" w:cs="Calibri"/>
                <w:sz w:val="11"/>
                <w:szCs w:val="11"/>
              </w:rPr>
            </w:pPr>
            <w:r w:rsidRPr="00B21FAC">
              <w:rPr>
                <w:rFonts w:ascii="Calibri" w:hAnsi="Calibri" w:cs="Calibri"/>
                <w:sz w:val="11"/>
                <w:szCs w:val="11"/>
              </w:rPr>
              <w:t>vervangingsinkomen</w:t>
            </w:r>
          </w:p>
        </w:tc>
        <w:tc>
          <w:tcPr>
            <w:tcW w:w="2078" w:type="dxa"/>
            <w:tcBorders>
              <w:top w:val="single" w:sz="8" w:space="0" w:color="000000"/>
              <w:left w:val="single" w:sz="8" w:space="0" w:color="000000"/>
              <w:bottom w:val="single" w:sz="8" w:space="0" w:color="000000"/>
              <w:right w:val="single" w:sz="8" w:space="0" w:color="000000"/>
            </w:tcBorders>
            <w:shd w:val="clear" w:color="auto" w:fill="00AF50"/>
          </w:tcPr>
          <w:p w14:paraId="4955067D" w14:textId="77777777" w:rsidR="00C2572E" w:rsidRPr="00B21FAC" w:rsidRDefault="00C2572E" w:rsidP="00BA7E3E">
            <w:pPr>
              <w:kinsoku w:val="0"/>
              <w:overflowPunct w:val="0"/>
              <w:autoSpaceDE w:val="0"/>
              <w:autoSpaceDN w:val="0"/>
              <w:adjustRightInd w:val="0"/>
              <w:spacing w:after="0"/>
              <w:ind w:left="217" w:right="176"/>
              <w:jc w:val="center"/>
              <w:rPr>
                <w:rFonts w:ascii="Calibri" w:hAnsi="Calibri" w:cs="Calibri"/>
                <w:sz w:val="11"/>
                <w:szCs w:val="11"/>
              </w:rPr>
            </w:pPr>
            <w:r w:rsidRPr="00B21FAC">
              <w:rPr>
                <w:rFonts w:ascii="Calibri" w:hAnsi="Calibri" w:cs="Calibri"/>
                <w:sz w:val="11"/>
                <w:szCs w:val="11"/>
              </w:rPr>
              <w:t>inkomsten</w:t>
            </w:r>
            <w:r w:rsidRPr="00B21FAC">
              <w:rPr>
                <w:rFonts w:ascii="Calibri" w:hAnsi="Calibri" w:cs="Calibri"/>
                <w:spacing w:val="-1"/>
                <w:sz w:val="11"/>
                <w:szCs w:val="11"/>
              </w:rPr>
              <w:t xml:space="preserve"> </w:t>
            </w:r>
            <w:r w:rsidRPr="00B21FAC">
              <w:rPr>
                <w:rFonts w:ascii="Calibri" w:hAnsi="Calibri" w:cs="Calibri"/>
                <w:sz w:val="11"/>
                <w:szCs w:val="11"/>
              </w:rPr>
              <w:t>van</w:t>
            </w:r>
            <w:r w:rsidRPr="00B21FAC">
              <w:rPr>
                <w:rFonts w:ascii="Calibri" w:hAnsi="Calibri" w:cs="Calibri"/>
                <w:spacing w:val="-1"/>
                <w:sz w:val="11"/>
                <w:szCs w:val="11"/>
              </w:rPr>
              <w:t xml:space="preserve"> </w:t>
            </w:r>
            <w:r w:rsidRPr="00B21FAC">
              <w:rPr>
                <w:rFonts w:ascii="Calibri" w:hAnsi="Calibri" w:cs="Calibri"/>
                <w:sz w:val="11"/>
                <w:szCs w:val="11"/>
              </w:rPr>
              <w:t>verhuring</w:t>
            </w:r>
          </w:p>
        </w:tc>
        <w:tc>
          <w:tcPr>
            <w:tcW w:w="2421" w:type="dxa"/>
            <w:tcBorders>
              <w:top w:val="single" w:sz="8" w:space="0" w:color="000000"/>
              <w:left w:val="single" w:sz="8" w:space="0" w:color="000000"/>
              <w:bottom w:val="single" w:sz="8" w:space="0" w:color="000000"/>
              <w:right w:val="single" w:sz="8" w:space="0" w:color="000000"/>
            </w:tcBorders>
            <w:shd w:val="clear" w:color="auto" w:fill="FFFF00"/>
          </w:tcPr>
          <w:p w14:paraId="5DE6C93E" w14:textId="77777777" w:rsidR="00C2572E" w:rsidRPr="00B21FAC" w:rsidRDefault="00C2572E" w:rsidP="00BA7E3E">
            <w:pPr>
              <w:kinsoku w:val="0"/>
              <w:overflowPunct w:val="0"/>
              <w:autoSpaceDE w:val="0"/>
              <w:autoSpaceDN w:val="0"/>
              <w:adjustRightInd w:val="0"/>
              <w:spacing w:after="0"/>
              <w:ind w:left="292" w:right="252"/>
              <w:jc w:val="center"/>
              <w:rPr>
                <w:rFonts w:ascii="Calibri" w:hAnsi="Calibri" w:cs="Calibri"/>
                <w:sz w:val="11"/>
                <w:szCs w:val="11"/>
              </w:rPr>
            </w:pPr>
            <w:r w:rsidRPr="00B21FAC">
              <w:rPr>
                <w:rFonts w:ascii="Calibri" w:hAnsi="Calibri" w:cs="Calibri"/>
                <w:sz w:val="11"/>
                <w:szCs w:val="11"/>
              </w:rPr>
              <w:t>prijzen</w:t>
            </w:r>
            <w:r w:rsidRPr="00B21FAC">
              <w:rPr>
                <w:rFonts w:ascii="Calibri" w:hAnsi="Calibri" w:cs="Calibri"/>
                <w:spacing w:val="-2"/>
                <w:sz w:val="11"/>
                <w:szCs w:val="11"/>
              </w:rPr>
              <w:t xml:space="preserve"> </w:t>
            </w:r>
            <w:r w:rsidRPr="00B21FAC">
              <w:rPr>
                <w:rFonts w:ascii="Calibri" w:hAnsi="Calibri" w:cs="Calibri"/>
                <w:sz w:val="11"/>
                <w:szCs w:val="11"/>
              </w:rPr>
              <w:t>geleerden,</w:t>
            </w:r>
            <w:r w:rsidRPr="00B21FAC">
              <w:rPr>
                <w:rFonts w:ascii="Calibri" w:hAnsi="Calibri" w:cs="Calibri"/>
                <w:spacing w:val="-3"/>
                <w:sz w:val="11"/>
                <w:szCs w:val="11"/>
              </w:rPr>
              <w:t xml:space="preserve"> </w:t>
            </w:r>
            <w:r w:rsidRPr="00B21FAC">
              <w:rPr>
                <w:rFonts w:ascii="Calibri" w:hAnsi="Calibri" w:cs="Calibri"/>
                <w:sz w:val="11"/>
                <w:szCs w:val="11"/>
              </w:rPr>
              <w:t>kunstenaars,…</w:t>
            </w:r>
          </w:p>
        </w:tc>
      </w:tr>
      <w:tr w:rsidR="00C2572E" w:rsidRPr="00B21FAC" w14:paraId="1FA5D2E0" w14:textId="77777777" w:rsidTr="00FB3500">
        <w:trPr>
          <w:trHeight w:val="128"/>
        </w:trPr>
        <w:tc>
          <w:tcPr>
            <w:tcW w:w="2186" w:type="dxa"/>
            <w:tcBorders>
              <w:top w:val="single" w:sz="8" w:space="0" w:color="000000"/>
              <w:left w:val="single" w:sz="8" w:space="0" w:color="000000"/>
              <w:bottom w:val="single" w:sz="8" w:space="0" w:color="000000"/>
              <w:right w:val="single" w:sz="8" w:space="0" w:color="000000"/>
            </w:tcBorders>
            <w:shd w:val="clear" w:color="auto" w:fill="00AF50"/>
          </w:tcPr>
          <w:p w14:paraId="50EB3160" w14:textId="77777777" w:rsidR="00C2572E" w:rsidRPr="00B21FAC" w:rsidRDefault="00C2572E" w:rsidP="00BA7E3E">
            <w:pPr>
              <w:kinsoku w:val="0"/>
              <w:overflowPunct w:val="0"/>
              <w:autoSpaceDE w:val="0"/>
              <w:autoSpaceDN w:val="0"/>
              <w:adjustRightInd w:val="0"/>
              <w:spacing w:after="0"/>
              <w:ind w:left="117" w:right="92"/>
              <w:jc w:val="center"/>
              <w:rPr>
                <w:rFonts w:ascii="Calibri" w:hAnsi="Calibri" w:cs="Calibri"/>
                <w:sz w:val="11"/>
                <w:szCs w:val="11"/>
              </w:rPr>
            </w:pPr>
            <w:r w:rsidRPr="00B21FAC">
              <w:rPr>
                <w:rFonts w:ascii="Calibri" w:hAnsi="Calibri" w:cs="Calibri"/>
                <w:sz w:val="11"/>
                <w:szCs w:val="11"/>
              </w:rPr>
              <w:t>overdracht</w:t>
            </w:r>
            <w:r w:rsidRPr="00B21FAC">
              <w:rPr>
                <w:rFonts w:ascii="Calibri" w:hAnsi="Calibri" w:cs="Calibri"/>
                <w:spacing w:val="-3"/>
                <w:sz w:val="11"/>
                <w:szCs w:val="11"/>
              </w:rPr>
              <w:t xml:space="preserve"> </w:t>
            </w:r>
            <w:r w:rsidRPr="00B21FAC">
              <w:rPr>
                <w:rFonts w:ascii="Calibri" w:hAnsi="Calibri" w:cs="Calibri"/>
                <w:sz w:val="11"/>
                <w:szCs w:val="11"/>
              </w:rPr>
              <w:t>en</w:t>
            </w:r>
            <w:r w:rsidRPr="00B21FAC">
              <w:rPr>
                <w:rFonts w:ascii="Calibri" w:hAnsi="Calibri" w:cs="Calibri"/>
                <w:spacing w:val="-3"/>
                <w:sz w:val="11"/>
                <w:szCs w:val="11"/>
              </w:rPr>
              <w:t xml:space="preserve"> </w:t>
            </w:r>
            <w:r w:rsidRPr="00B21FAC">
              <w:rPr>
                <w:rFonts w:ascii="Calibri" w:hAnsi="Calibri" w:cs="Calibri"/>
                <w:sz w:val="11"/>
                <w:szCs w:val="11"/>
              </w:rPr>
              <w:t>vestiging</w:t>
            </w:r>
            <w:r w:rsidRPr="00B21FAC">
              <w:rPr>
                <w:rFonts w:ascii="Calibri" w:hAnsi="Calibri" w:cs="Calibri"/>
                <w:spacing w:val="-3"/>
                <w:sz w:val="11"/>
                <w:szCs w:val="11"/>
              </w:rPr>
              <w:t xml:space="preserve"> </w:t>
            </w:r>
            <w:r w:rsidRPr="00B21FAC">
              <w:rPr>
                <w:rFonts w:ascii="Calibri" w:hAnsi="Calibri" w:cs="Calibri"/>
                <w:sz w:val="11"/>
                <w:szCs w:val="11"/>
              </w:rPr>
              <w:t>erfpacht</w:t>
            </w:r>
            <w:r w:rsidRPr="00B21FAC">
              <w:rPr>
                <w:rFonts w:ascii="Calibri" w:hAnsi="Calibri" w:cs="Calibri"/>
                <w:spacing w:val="-3"/>
                <w:sz w:val="11"/>
                <w:szCs w:val="11"/>
              </w:rPr>
              <w:t xml:space="preserve"> </w:t>
            </w:r>
            <w:r w:rsidRPr="00B21FAC">
              <w:rPr>
                <w:rFonts w:ascii="Calibri" w:hAnsi="Calibri" w:cs="Calibri"/>
                <w:sz w:val="11"/>
                <w:szCs w:val="11"/>
              </w:rPr>
              <w:t>/</w:t>
            </w:r>
            <w:r w:rsidRPr="00B21FAC">
              <w:rPr>
                <w:rFonts w:ascii="Calibri" w:hAnsi="Calibri" w:cs="Calibri"/>
                <w:spacing w:val="-3"/>
                <w:sz w:val="11"/>
                <w:szCs w:val="11"/>
              </w:rPr>
              <w:t xml:space="preserve"> </w:t>
            </w:r>
            <w:r w:rsidRPr="00B21FAC">
              <w:rPr>
                <w:rFonts w:ascii="Calibri" w:hAnsi="Calibri" w:cs="Calibri"/>
                <w:sz w:val="11"/>
                <w:szCs w:val="11"/>
              </w:rPr>
              <w:t>opstal</w:t>
            </w:r>
          </w:p>
        </w:tc>
        <w:tc>
          <w:tcPr>
            <w:tcW w:w="933" w:type="dxa"/>
            <w:tcBorders>
              <w:top w:val="single" w:sz="8" w:space="0" w:color="000000"/>
              <w:left w:val="single" w:sz="8" w:space="0" w:color="000000"/>
              <w:bottom w:val="single" w:sz="8" w:space="0" w:color="000000"/>
              <w:right w:val="none" w:sz="6" w:space="0" w:color="auto"/>
            </w:tcBorders>
          </w:tcPr>
          <w:p w14:paraId="69D21C25" w14:textId="77777777" w:rsidR="00C2572E" w:rsidRPr="00B21FAC" w:rsidRDefault="00C2572E" w:rsidP="00BA7E3E">
            <w:pPr>
              <w:kinsoku w:val="0"/>
              <w:overflowPunct w:val="0"/>
              <w:autoSpaceDE w:val="0"/>
              <w:autoSpaceDN w:val="0"/>
              <w:adjustRightInd w:val="0"/>
              <w:spacing w:after="0"/>
              <w:rPr>
                <w:rFonts w:ascii="Times New Roman" w:hAnsi="Times New Roman" w:cs="Times New Roman"/>
                <w:sz w:val="6"/>
                <w:szCs w:val="6"/>
              </w:rPr>
            </w:pPr>
          </w:p>
        </w:tc>
        <w:tc>
          <w:tcPr>
            <w:tcW w:w="1099" w:type="dxa"/>
            <w:tcBorders>
              <w:top w:val="single" w:sz="8" w:space="0" w:color="000000"/>
              <w:left w:val="none" w:sz="6" w:space="0" w:color="auto"/>
              <w:bottom w:val="single" w:sz="8" w:space="0" w:color="000000"/>
              <w:right w:val="single" w:sz="8" w:space="0" w:color="000000"/>
            </w:tcBorders>
            <w:shd w:val="clear" w:color="auto" w:fill="FF0000"/>
          </w:tcPr>
          <w:p w14:paraId="3C8EA357" w14:textId="77777777" w:rsidR="00C2572E" w:rsidRPr="00B21FAC" w:rsidRDefault="00C2572E" w:rsidP="00BA7E3E">
            <w:pPr>
              <w:kinsoku w:val="0"/>
              <w:overflowPunct w:val="0"/>
              <w:autoSpaceDE w:val="0"/>
              <w:autoSpaceDN w:val="0"/>
              <w:adjustRightInd w:val="0"/>
              <w:spacing w:after="0"/>
              <w:ind w:left="24"/>
              <w:rPr>
                <w:rFonts w:ascii="Calibri" w:hAnsi="Calibri" w:cs="Calibri"/>
                <w:sz w:val="11"/>
                <w:szCs w:val="11"/>
              </w:rPr>
            </w:pPr>
            <w:r w:rsidRPr="00B21FAC">
              <w:rPr>
                <w:rFonts w:ascii="Calibri" w:hAnsi="Calibri" w:cs="Calibri"/>
                <w:sz w:val="11"/>
                <w:szCs w:val="11"/>
              </w:rPr>
              <w:t>pensioenen</w:t>
            </w:r>
          </w:p>
        </w:tc>
        <w:tc>
          <w:tcPr>
            <w:tcW w:w="2078" w:type="dxa"/>
            <w:tcBorders>
              <w:top w:val="single" w:sz="8" w:space="0" w:color="000000"/>
              <w:left w:val="single" w:sz="8" w:space="0" w:color="000000"/>
              <w:bottom w:val="single" w:sz="8" w:space="0" w:color="000000"/>
              <w:right w:val="single" w:sz="8" w:space="0" w:color="000000"/>
            </w:tcBorders>
            <w:shd w:val="clear" w:color="auto" w:fill="00AF50"/>
          </w:tcPr>
          <w:p w14:paraId="471D09A9" w14:textId="77777777" w:rsidR="00C2572E" w:rsidRPr="00B21FAC" w:rsidRDefault="00C2572E" w:rsidP="00BA7E3E">
            <w:pPr>
              <w:kinsoku w:val="0"/>
              <w:overflowPunct w:val="0"/>
              <w:autoSpaceDE w:val="0"/>
              <w:autoSpaceDN w:val="0"/>
              <w:adjustRightInd w:val="0"/>
              <w:spacing w:after="0"/>
              <w:ind w:left="217" w:right="177"/>
              <w:jc w:val="center"/>
              <w:rPr>
                <w:rFonts w:ascii="Calibri" w:hAnsi="Calibri" w:cs="Calibri"/>
                <w:sz w:val="11"/>
                <w:szCs w:val="11"/>
              </w:rPr>
            </w:pPr>
            <w:r w:rsidRPr="00B21FAC">
              <w:rPr>
                <w:rFonts w:ascii="Calibri" w:hAnsi="Calibri" w:cs="Calibri"/>
                <w:sz w:val="11"/>
                <w:szCs w:val="11"/>
              </w:rPr>
              <w:t>lijfrenten</w:t>
            </w:r>
          </w:p>
        </w:tc>
        <w:tc>
          <w:tcPr>
            <w:tcW w:w="2421" w:type="dxa"/>
            <w:tcBorders>
              <w:top w:val="single" w:sz="8" w:space="0" w:color="000000"/>
              <w:left w:val="single" w:sz="8" w:space="0" w:color="000000"/>
              <w:bottom w:val="single" w:sz="8" w:space="0" w:color="000000"/>
              <w:right w:val="single" w:sz="8" w:space="0" w:color="000000"/>
            </w:tcBorders>
            <w:shd w:val="clear" w:color="auto" w:fill="00AFEF"/>
          </w:tcPr>
          <w:p w14:paraId="4008760E" w14:textId="77777777" w:rsidR="00C2572E" w:rsidRPr="00B21FAC" w:rsidRDefault="00C2572E" w:rsidP="00BA7E3E">
            <w:pPr>
              <w:kinsoku w:val="0"/>
              <w:overflowPunct w:val="0"/>
              <w:autoSpaceDE w:val="0"/>
              <w:autoSpaceDN w:val="0"/>
              <w:adjustRightInd w:val="0"/>
              <w:spacing w:after="0"/>
              <w:ind w:left="290" w:right="252"/>
              <w:jc w:val="center"/>
              <w:rPr>
                <w:rFonts w:ascii="Calibri" w:hAnsi="Calibri" w:cs="Calibri"/>
                <w:sz w:val="11"/>
                <w:szCs w:val="11"/>
              </w:rPr>
            </w:pPr>
            <w:r w:rsidRPr="00B21FAC">
              <w:rPr>
                <w:rFonts w:ascii="Calibri" w:hAnsi="Calibri" w:cs="Calibri"/>
                <w:sz w:val="11"/>
                <w:szCs w:val="11"/>
              </w:rPr>
              <w:t>onderhoudsuitkeringen</w:t>
            </w:r>
          </w:p>
        </w:tc>
      </w:tr>
      <w:tr w:rsidR="00C2572E" w:rsidRPr="00B21FAC" w14:paraId="77C537FB" w14:textId="77777777" w:rsidTr="00FB3500">
        <w:trPr>
          <w:trHeight w:val="128"/>
        </w:trPr>
        <w:tc>
          <w:tcPr>
            <w:tcW w:w="2186" w:type="dxa"/>
            <w:vMerge w:val="restart"/>
            <w:tcBorders>
              <w:top w:val="single" w:sz="8" w:space="0" w:color="000000"/>
              <w:left w:val="single" w:sz="8" w:space="0" w:color="000000"/>
              <w:bottom w:val="single" w:sz="8" w:space="0" w:color="000000"/>
              <w:right w:val="single" w:sz="8" w:space="0" w:color="000000"/>
            </w:tcBorders>
          </w:tcPr>
          <w:p w14:paraId="3797A268" w14:textId="77777777" w:rsidR="00C2572E" w:rsidRPr="00B21FAC" w:rsidRDefault="00C2572E" w:rsidP="00BA7E3E">
            <w:pPr>
              <w:kinsoku w:val="0"/>
              <w:overflowPunct w:val="0"/>
              <w:autoSpaceDE w:val="0"/>
              <w:autoSpaceDN w:val="0"/>
              <w:adjustRightInd w:val="0"/>
              <w:spacing w:after="0"/>
              <w:rPr>
                <w:rFonts w:ascii="Times New Roman" w:hAnsi="Times New Roman" w:cs="Times New Roman"/>
                <w:sz w:val="10"/>
                <w:szCs w:val="10"/>
              </w:rPr>
            </w:pPr>
          </w:p>
        </w:tc>
        <w:tc>
          <w:tcPr>
            <w:tcW w:w="2032" w:type="dxa"/>
            <w:gridSpan w:val="2"/>
            <w:vMerge w:val="restart"/>
            <w:tcBorders>
              <w:top w:val="single" w:sz="8" w:space="0" w:color="000000"/>
              <w:left w:val="single" w:sz="8" w:space="0" w:color="000000"/>
              <w:bottom w:val="single" w:sz="8" w:space="0" w:color="000000"/>
              <w:right w:val="single" w:sz="8" w:space="0" w:color="000000"/>
            </w:tcBorders>
          </w:tcPr>
          <w:p w14:paraId="4F3E511D" w14:textId="77777777" w:rsidR="00C2572E" w:rsidRPr="00B21FAC" w:rsidRDefault="00C2572E" w:rsidP="00BA7E3E">
            <w:pPr>
              <w:kinsoku w:val="0"/>
              <w:overflowPunct w:val="0"/>
              <w:autoSpaceDE w:val="0"/>
              <w:autoSpaceDN w:val="0"/>
              <w:adjustRightInd w:val="0"/>
              <w:spacing w:after="0"/>
              <w:rPr>
                <w:rFonts w:ascii="Times New Roman" w:hAnsi="Times New Roman" w:cs="Times New Roman"/>
                <w:sz w:val="10"/>
                <w:szCs w:val="10"/>
              </w:rPr>
            </w:pPr>
          </w:p>
        </w:tc>
        <w:tc>
          <w:tcPr>
            <w:tcW w:w="2078" w:type="dxa"/>
            <w:tcBorders>
              <w:top w:val="single" w:sz="8" w:space="0" w:color="000000"/>
              <w:left w:val="single" w:sz="8" w:space="0" w:color="000000"/>
              <w:bottom w:val="single" w:sz="8" w:space="0" w:color="000000"/>
              <w:right w:val="single" w:sz="8" w:space="0" w:color="000000"/>
            </w:tcBorders>
            <w:shd w:val="clear" w:color="auto" w:fill="FFBF00"/>
          </w:tcPr>
          <w:p w14:paraId="24BA9D81" w14:textId="77777777" w:rsidR="00C2572E" w:rsidRPr="00B21FAC" w:rsidRDefault="00C2572E" w:rsidP="00BA7E3E">
            <w:pPr>
              <w:kinsoku w:val="0"/>
              <w:overflowPunct w:val="0"/>
              <w:autoSpaceDE w:val="0"/>
              <w:autoSpaceDN w:val="0"/>
              <w:adjustRightInd w:val="0"/>
              <w:spacing w:after="0"/>
              <w:ind w:left="217" w:right="179"/>
              <w:jc w:val="center"/>
              <w:rPr>
                <w:rFonts w:ascii="Calibri" w:hAnsi="Calibri" w:cs="Calibri"/>
                <w:sz w:val="11"/>
                <w:szCs w:val="11"/>
              </w:rPr>
            </w:pPr>
            <w:r w:rsidRPr="00B21FAC">
              <w:rPr>
                <w:rFonts w:ascii="Calibri" w:hAnsi="Calibri" w:cs="Calibri"/>
                <w:sz w:val="11"/>
                <w:szCs w:val="11"/>
              </w:rPr>
              <w:t>auteursrechten</w:t>
            </w:r>
          </w:p>
        </w:tc>
        <w:tc>
          <w:tcPr>
            <w:tcW w:w="2421" w:type="dxa"/>
            <w:tcBorders>
              <w:top w:val="single" w:sz="8" w:space="0" w:color="000000"/>
              <w:left w:val="single" w:sz="8" w:space="0" w:color="000000"/>
              <w:bottom w:val="single" w:sz="8" w:space="0" w:color="000000"/>
              <w:right w:val="single" w:sz="8" w:space="0" w:color="000000"/>
            </w:tcBorders>
            <w:shd w:val="clear" w:color="auto" w:fill="00AF50"/>
          </w:tcPr>
          <w:p w14:paraId="26391AC8" w14:textId="77777777" w:rsidR="00C2572E" w:rsidRPr="00B21FAC" w:rsidRDefault="00C2572E" w:rsidP="00BA7E3E">
            <w:pPr>
              <w:kinsoku w:val="0"/>
              <w:overflowPunct w:val="0"/>
              <w:autoSpaceDE w:val="0"/>
              <w:autoSpaceDN w:val="0"/>
              <w:adjustRightInd w:val="0"/>
              <w:spacing w:after="0"/>
              <w:ind w:left="291" w:right="252"/>
              <w:jc w:val="center"/>
              <w:rPr>
                <w:rFonts w:ascii="Calibri" w:hAnsi="Calibri" w:cs="Calibri"/>
                <w:sz w:val="11"/>
                <w:szCs w:val="11"/>
              </w:rPr>
            </w:pPr>
            <w:r w:rsidRPr="00B21FAC">
              <w:rPr>
                <w:rFonts w:ascii="Calibri" w:hAnsi="Calibri" w:cs="Calibri"/>
                <w:sz w:val="11"/>
                <w:szCs w:val="11"/>
              </w:rPr>
              <w:t>onderverhuur</w:t>
            </w:r>
          </w:p>
        </w:tc>
      </w:tr>
      <w:tr w:rsidR="00C2572E" w:rsidRPr="00B21FAC" w14:paraId="33324D68" w14:textId="77777777" w:rsidTr="00FB3500">
        <w:trPr>
          <w:trHeight w:val="128"/>
        </w:trPr>
        <w:tc>
          <w:tcPr>
            <w:tcW w:w="2186" w:type="dxa"/>
            <w:vMerge/>
            <w:tcBorders>
              <w:top w:val="nil"/>
              <w:left w:val="single" w:sz="8" w:space="0" w:color="000000"/>
              <w:bottom w:val="single" w:sz="8" w:space="0" w:color="000000"/>
              <w:right w:val="single" w:sz="8" w:space="0" w:color="000000"/>
            </w:tcBorders>
          </w:tcPr>
          <w:p w14:paraId="64018367" w14:textId="77777777" w:rsidR="00C2572E" w:rsidRPr="00B21FAC" w:rsidRDefault="00C2572E" w:rsidP="00BA7E3E">
            <w:pPr>
              <w:autoSpaceDE w:val="0"/>
              <w:autoSpaceDN w:val="0"/>
              <w:adjustRightInd w:val="0"/>
              <w:spacing w:after="0"/>
              <w:rPr>
                <w:rFonts w:ascii="Times New Roman" w:hAnsi="Times New Roman" w:cs="Times New Roman"/>
                <w:sz w:val="2"/>
                <w:szCs w:val="2"/>
              </w:rPr>
            </w:pPr>
          </w:p>
        </w:tc>
        <w:tc>
          <w:tcPr>
            <w:tcW w:w="2032" w:type="dxa"/>
            <w:gridSpan w:val="2"/>
            <w:vMerge/>
            <w:tcBorders>
              <w:top w:val="nil"/>
              <w:left w:val="single" w:sz="8" w:space="0" w:color="000000"/>
              <w:bottom w:val="single" w:sz="8" w:space="0" w:color="000000"/>
              <w:right w:val="single" w:sz="8" w:space="0" w:color="000000"/>
            </w:tcBorders>
          </w:tcPr>
          <w:p w14:paraId="291B03ED" w14:textId="77777777" w:rsidR="00C2572E" w:rsidRPr="00B21FAC" w:rsidRDefault="00C2572E" w:rsidP="00BA7E3E">
            <w:pPr>
              <w:autoSpaceDE w:val="0"/>
              <w:autoSpaceDN w:val="0"/>
              <w:adjustRightInd w:val="0"/>
              <w:spacing w:after="0"/>
              <w:rPr>
                <w:rFonts w:ascii="Times New Roman" w:hAnsi="Times New Roman" w:cs="Times New Roman"/>
                <w:sz w:val="2"/>
                <w:szCs w:val="2"/>
              </w:rPr>
            </w:pPr>
          </w:p>
        </w:tc>
        <w:tc>
          <w:tcPr>
            <w:tcW w:w="2078" w:type="dxa"/>
            <w:vMerge w:val="restart"/>
            <w:tcBorders>
              <w:top w:val="single" w:sz="8" w:space="0" w:color="000000"/>
              <w:left w:val="single" w:sz="8" w:space="0" w:color="000000"/>
              <w:bottom w:val="single" w:sz="8" w:space="0" w:color="000000"/>
              <w:right w:val="single" w:sz="8" w:space="0" w:color="000000"/>
            </w:tcBorders>
          </w:tcPr>
          <w:p w14:paraId="0C725818" w14:textId="77777777" w:rsidR="00C2572E" w:rsidRPr="00B21FAC" w:rsidRDefault="00C2572E" w:rsidP="00BA7E3E">
            <w:pPr>
              <w:kinsoku w:val="0"/>
              <w:overflowPunct w:val="0"/>
              <w:autoSpaceDE w:val="0"/>
              <w:autoSpaceDN w:val="0"/>
              <w:adjustRightInd w:val="0"/>
              <w:spacing w:after="0"/>
              <w:rPr>
                <w:rFonts w:ascii="Times New Roman" w:hAnsi="Times New Roman" w:cs="Times New Roman"/>
                <w:sz w:val="10"/>
                <w:szCs w:val="10"/>
              </w:rPr>
            </w:pPr>
          </w:p>
        </w:tc>
        <w:tc>
          <w:tcPr>
            <w:tcW w:w="2421" w:type="dxa"/>
            <w:tcBorders>
              <w:top w:val="single" w:sz="8" w:space="0" w:color="000000"/>
              <w:left w:val="single" w:sz="8" w:space="0" w:color="000000"/>
              <w:bottom w:val="single" w:sz="8" w:space="0" w:color="000000"/>
              <w:right w:val="single" w:sz="8" w:space="0" w:color="000000"/>
            </w:tcBorders>
            <w:shd w:val="clear" w:color="auto" w:fill="00AF50"/>
          </w:tcPr>
          <w:p w14:paraId="19AA3EA7" w14:textId="77777777" w:rsidR="00C2572E" w:rsidRPr="00B21FAC" w:rsidRDefault="00C2572E" w:rsidP="00BA7E3E">
            <w:pPr>
              <w:kinsoku w:val="0"/>
              <w:overflowPunct w:val="0"/>
              <w:autoSpaceDE w:val="0"/>
              <w:autoSpaceDN w:val="0"/>
              <w:adjustRightInd w:val="0"/>
              <w:spacing w:after="0"/>
              <w:ind w:left="293" w:right="252"/>
              <w:jc w:val="center"/>
              <w:rPr>
                <w:rFonts w:ascii="Calibri" w:hAnsi="Calibri" w:cs="Calibri"/>
                <w:sz w:val="11"/>
                <w:szCs w:val="11"/>
              </w:rPr>
            </w:pPr>
            <w:r w:rsidRPr="00B21FAC">
              <w:rPr>
                <w:rFonts w:ascii="Calibri" w:hAnsi="Calibri" w:cs="Calibri"/>
                <w:sz w:val="11"/>
                <w:szCs w:val="11"/>
              </w:rPr>
              <w:t>jacht-,</w:t>
            </w:r>
            <w:r w:rsidRPr="00B21FAC">
              <w:rPr>
                <w:rFonts w:ascii="Calibri" w:hAnsi="Calibri" w:cs="Calibri"/>
                <w:spacing w:val="-3"/>
                <w:sz w:val="11"/>
                <w:szCs w:val="11"/>
              </w:rPr>
              <w:t xml:space="preserve"> </w:t>
            </w:r>
            <w:r w:rsidRPr="00B21FAC">
              <w:rPr>
                <w:rFonts w:ascii="Calibri" w:hAnsi="Calibri" w:cs="Calibri"/>
                <w:sz w:val="11"/>
                <w:szCs w:val="11"/>
              </w:rPr>
              <w:t>vis-</w:t>
            </w:r>
            <w:r w:rsidRPr="00B21FAC">
              <w:rPr>
                <w:rFonts w:ascii="Calibri" w:hAnsi="Calibri" w:cs="Calibri"/>
                <w:spacing w:val="-3"/>
                <w:sz w:val="11"/>
                <w:szCs w:val="11"/>
              </w:rPr>
              <w:t xml:space="preserve"> </w:t>
            </w:r>
            <w:r w:rsidRPr="00B21FAC">
              <w:rPr>
                <w:rFonts w:ascii="Calibri" w:hAnsi="Calibri" w:cs="Calibri"/>
                <w:sz w:val="11"/>
                <w:szCs w:val="11"/>
              </w:rPr>
              <w:t>en</w:t>
            </w:r>
            <w:r w:rsidRPr="00B21FAC">
              <w:rPr>
                <w:rFonts w:ascii="Calibri" w:hAnsi="Calibri" w:cs="Calibri"/>
                <w:spacing w:val="-1"/>
                <w:sz w:val="11"/>
                <w:szCs w:val="11"/>
              </w:rPr>
              <w:t xml:space="preserve"> </w:t>
            </w:r>
            <w:r w:rsidRPr="00B21FAC">
              <w:rPr>
                <w:rFonts w:ascii="Calibri" w:hAnsi="Calibri" w:cs="Calibri"/>
                <w:sz w:val="11"/>
                <w:szCs w:val="11"/>
              </w:rPr>
              <w:t>vogelvangstrechten</w:t>
            </w:r>
          </w:p>
        </w:tc>
      </w:tr>
      <w:tr w:rsidR="00C2572E" w:rsidRPr="00B21FAC" w14:paraId="36D9A5A5" w14:textId="77777777" w:rsidTr="00FB3500">
        <w:trPr>
          <w:trHeight w:val="128"/>
        </w:trPr>
        <w:tc>
          <w:tcPr>
            <w:tcW w:w="2186" w:type="dxa"/>
            <w:vMerge/>
            <w:tcBorders>
              <w:top w:val="nil"/>
              <w:left w:val="single" w:sz="8" w:space="0" w:color="000000"/>
              <w:bottom w:val="single" w:sz="8" w:space="0" w:color="000000"/>
              <w:right w:val="single" w:sz="8" w:space="0" w:color="000000"/>
            </w:tcBorders>
          </w:tcPr>
          <w:p w14:paraId="2BD06639" w14:textId="77777777" w:rsidR="00C2572E" w:rsidRPr="00B21FAC" w:rsidRDefault="00C2572E" w:rsidP="00BA7E3E">
            <w:pPr>
              <w:autoSpaceDE w:val="0"/>
              <w:autoSpaceDN w:val="0"/>
              <w:adjustRightInd w:val="0"/>
              <w:spacing w:after="0"/>
              <w:rPr>
                <w:rFonts w:ascii="Times New Roman" w:hAnsi="Times New Roman" w:cs="Times New Roman"/>
                <w:sz w:val="2"/>
                <w:szCs w:val="2"/>
              </w:rPr>
            </w:pPr>
          </w:p>
        </w:tc>
        <w:tc>
          <w:tcPr>
            <w:tcW w:w="2032" w:type="dxa"/>
            <w:gridSpan w:val="2"/>
            <w:vMerge/>
            <w:tcBorders>
              <w:top w:val="nil"/>
              <w:left w:val="single" w:sz="8" w:space="0" w:color="000000"/>
              <w:bottom w:val="single" w:sz="8" w:space="0" w:color="000000"/>
              <w:right w:val="single" w:sz="8" w:space="0" w:color="000000"/>
            </w:tcBorders>
          </w:tcPr>
          <w:p w14:paraId="74EE7192" w14:textId="77777777" w:rsidR="00C2572E" w:rsidRPr="00B21FAC" w:rsidRDefault="00C2572E" w:rsidP="00BA7E3E">
            <w:pPr>
              <w:autoSpaceDE w:val="0"/>
              <w:autoSpaceDN w:val="0"/>
              <w:adjustRightInd w:val="0"/>
              <w:spacing w:after="0"/>
              <w:rPr>
                <w:rFonts w:ascii="Times New Roman" w:hAnsi="Times New Roman" w:cs="Times New Roman"/>
                <w:sz w:val="2"/>
                <w:szCs w:val="2"/>
              </w:rPr>
            </w:pPr>
          </w:p>
        </w:tc>
        <w:tc>
          <w:tcPr>
            <w:tcW w:w="2078" w:type="dxa"/>
            <w:vMerge/>
            <w:tcBorders>
              <w:top w:val="nil"/>
              <w:left w:val="single" w:sz="8" w:space="0" w:color="000000"/>
              <w:bottom w:val="single" w:sz="8" w:space="0" w:color="000000"/>
              <w:right w:val="single" w:sz="8" w:space="0" w:color="000000"/>
            </w:tcBorders>
          </w:tcPr>
          <w:p w14:paraId="7A87D836" w14:textId="77777777" w:rsidR="00C2572E" w:rsidRPr="00B21FAC" w:rsidRDefault="00C2572E" w:rsidP="00BA7E3E">
            <w:pPr>
              <w:autoSpaceDE w:val="0"/>
              <w:autoSpaceDN w:val="0"/>
              <w:adjustRightInd w:val="0"/>
              <w:spacing w:after="0"/>
              <w:rPr>
                <w:rFonts w:ascii="Times New Roman" w:hAnsi="Times New Roman" w:cs="Times New Roman"/>
                <w:sz w:val="2"/>
                <w:szCs w:val="2"/>
              </w:rPr>
            </w:pPr>
          </w:p>
        </w:tc>
        <w:tc>
          <w:tcPr>
            <w:tcW w:w="2421" w:type="dxa"/>
            <w:tcBorders>
              <w:top w:val="single" w:sz="8" w:space="0" w:color="000000"/>
              <w:left w:val="single" w:sz="8" w:space="0" w:color="000000"/>
              <w:bottom w:val="single" w:sz="8" w:space="0" w:color="000000"/>
              <w:right w:val="single" w:sz="8" w:space="0" w:color="000000"/>
            </w:tcBorders>
            <w:shd w:val="clear" w:color="auto" w:fill="00AF50"/>
          </w:tcPr>
          <w:p w14:paraId="487E784B" w14:textId="77777777" w:rsidR="00C2572E" w:rsidRPr="00B21FAC" w:rsidRDefault="00C2572E" w:rsidP="00BA7E3E">
            <w:pPr>
              <w:kinsoku w:val="0"/>
              <w:overflowPunct w:val="0"/>
              <w:autoSpaceDE w:val="0"/>
              <w:autoSpaceDN w:val="0"/>
              <w:adjustRightInd w:val="0"/>
              <w:spacing w:after="0"/>
              <w:ind w:left="292" w:right="252"/>
              <w:jc w:val="center"/>
              <w:rPr>
                <w:rFonts w:ascii="Calibri" w:hAnsi="Calibri" w:cs="Calibri"/>
                <w:sz w:val="11"/>
                <w:szCs w:val="11"/>
              </w:rPr>
            </w:pPr>
            <w:r w:rsidRPr="00B21FAC">
              <w:rPr>
                <w:rFonts w:ascii="Calibri" w:hAnsi="Calibri" w:cs="Calibri"/>
                <w:sz w:val="11"/>
                <w:szCs w:val="11"/>
              </w:rPr>
              <w:t>meerwaarden</w:t>
            </w:r>
            <w:r w:rsidRPr="00B21FAC">
              <w:rPr>
                <w:rFonts w:ascii="Calibri" w:hAnsi="Calibri" w:cs="Calibri"/>
                <w:spacing w:val="-3"/>
                <w:sz w:val="11"/>
                <w:szCs w:val="11"/>
              </w:rPr>
              <w:t xml:space="preserve"> </w:t>
            </w:r>
            <w:r w:rsidRPr="00B21FAC">
              <w:rPr>
                <w:rFonts w:ascii="Calibri" w:hAnsi="Calibri" w:cs="Calibri"/>
                <w:sz w:val="11"/>
                <w:szCs w:val="11"/>
              </w:rPr>
              <w:t>op</w:t>
            </w:r>
            <w:r w:rsidRPr="00B21FAC">
              <w:rPr>
                <w:rFonts w:ascii="Calibri" w:hAnsi="Calibri" w:cs="Calibri"/>
                <w:spacing w:val="-2"/>
                <w:sz w:val="11"/>
                <w:szCs w:val="11"/>
              </w:rPr>
              <w:t xml:space="preserve"> </w:t>
            </w:r>
            <w:r w:rsidRPr="00B21FAC">
              <w:rPr>
                <w:rFonts w:ascii="Calibri" w:hAnsi="Calibri" w:cs="Calibri"/>
                <w:sz w:val="11"/>
                <w:szCs w:val="11"/>
              </w:rPr>
              <w:t>onroerende</w:t>
            </w:r>
            <w:r w:rsidRPr="00B21FAC">
              <w:rPr>
                <w:rFonts w:ascii="Calibri" w:hAnsi="Calibri" w:cs="Calibri"/>
                <w:spacing w:val="-3"/>
                <w:sz w:val="11"/>
                <w:szCs w:val="11"/>
              </w:rPr>
              <w:t xml:space="preserve"> </w:t>
            </w:r>
            <w:r w:rsidRPr="00B21FAC">
              <w:rPr>
                <w:rFonts w:ascii="Calibri" w:hAnsi="Calibri" w:cs="Calibri"/>
                <w:sz w:val="11"/>
                <w:szCs w:val="11"/>
              </w:rPr>
              <w:t>goederen</w:t>
            </w:r>
          </w:p>
        </w:tc>
      </w:tr>
      <w:tr w:rsidR="00C2572E" w:rsidRPr="00B21FAC" w14:paraId="76164628" w14:textId="77777777" w:rsidTr="00FB3500">
        <w:trPr>
          <w:trHeight w:val="128"/>
        </w:trPr>
        <w:tc>
          <w:tcPr>
            <w:tcW w:w="2186" w:type="dxa"/>
            <w:vMerge/>
            <w:tcBorders>
              <w:top w:val="nil"/>
              <w:left w:val="single" w:sz="8" w:space="0" w:color="000000"/>
              <w:bottom w:val="single" w:sz="8" w:space="0" w:color="000000"/>
              <w:right w:val="single" w:sz="8" w:space="0" w:color="000000"/>
            </w:tcBorders>
          </w:tcPr>
          <w:p w14:paraId="56B480F5" w14:textId="77777777" w:rsidR="00C2572E" w:rsidRPr="00B21FAC" w:rsidRDefault="00C2572E" w:rsidP="00BA7E3E">
            <w:pPr>
              <w:autoSpaceDE w:val="0"/>
              <w:autoSpaceDN w:val="0"/>
              <w:adjustRightInd w:val="0"/>
              <w:spacing w:after="0"/>
              <w:rPr>
                <w:rFonts w:ascii="Times New Roman" w:hAnsi="Times New Roman" w:cs="Times New Roman"/>
                <w:sz w:val="2"/>
                <w:szCs w:val="2"/>
              </w:rPr>
            </w:pPr>
          </w:p>
        </w:tc>
        <w:tc>
          <w:tcPr>
            <w:tcW w:w="2032" w:type="dxa"/>
            <w:gridSpan w:val="2"/>
            <w:vMerge/>
            <w:tcBorders>
              <w:top w:val="nil"/>
              <w:left w:val="single" w:sz="8" w:space="0" w:color="000000"/>
              <w:bottom w:val="single" w:sz="8" w:space="0" w:color="000000"/>
              <w:right w:val="single" w:sz="8" w:space="0" w:color="000000"/>
            </w:tcBorders>
          </w:tcPr>
          <w:p w14:paraId="65C424EC" w14:textId="77777777" w:rsidR="00C2572E" w:rsidRPr="00B21FAC" w:rsidRDefault="00C2572E" w:rsidP="00BA7E3E">
            <w:pPr>
              <w:autoSpaceDE w:val="0"/>
              <w:autoSpaceDN w:val="0"/>
              <w:adjustRightInd w:val="0"/>
              <w:spacing w:after="0"/>
              <w:rPr>
                <w:rFonts w:ascii="Times New Roman" w:hAnsi="Times New Roman" w:cs="Times New Roman"/>
                <w:sz w:val="2"/>
                <w:szCs w:val="2"/>
              </w:rPr>
            </w:pPr>
          </w:p>
        </w:tc>
        <w:tc>
          <w:tcPr>
            <w:tcW w:w="2078" w:type="dxa"/>
            <w:vMerge/>
            <w:tcBorders>
              <w:top w:val="nil"/>
              <w:left w:val="single" w:sz="8" w:space="0" w:color="000000"/>
              <w:bottom w:val="single" w:sz="8" w:space="0" w:color="000000"/>
              <w:right w:val="single" w:sz="8" w:space="0" w:color="000000"/>
            </w:tcBorders>
          </w:tcPr>
          <w:p w14:paraId="30C95D7C" w14:textId="77777777" w:rsidR="00C2572E" w:rsidRPr="00B21FAC" w:rsidRDefault="00C2572E" w:rsidP="00BA7E3E">
            <w:pPr>
              <w:autoSpaceDE w:val="0"/>
              <w:autoSpaceDN w:val="0"/>
              <w:adjustRightInd w:val="0"/>
              <w:spacing w:after="0"/>
              <w:rPr>
                <w:rFonts w:ascii="Times New Roman" w:hAnsi="Times New Roman" w:cs="Times New Roman"/>
                <w:sz w:val="2"/>
                <w:szCs w:val="2"/>
              </w:rPr>
            </w:pPr>
          </w:p>
        </w:tc>
        <w:tc>
          <w:tcPr>
            <w:tcW w:w="2421" w:type="dxa"/>
            <w:tcBorders>
              <w:top w:val="single" w:sz="8" w:space="0" w:color="000000"/>
              <w:left w:val="single" w:sz="8" w:space="0" w:color="000000"/>
              <w:bottom w:val="single" w:sz="8" w:space="0" w:color="000000"/>
              <w:right w:val="single" w:sz="8" w:space="0" w:color="000000"/>
            </w:tcBorders>
            <w:shd w:val="clear" w:color="auto" w:fill="00AF50"/>
          </w:tcPr>
          <w:p w14:paraId="3814192B" w14:textId="77777777" w:rsidR="00C2572E" w:rsidRPr="00B21FAC" w:rsidRDefault="00C2572E" w:rsidP="00BA7E3E">
            <w:pPr>
              <w:kinsoku w:val="0"/>
              <w:overflowPunct w:val="0"/>
              <w:autoSpaceDE w:val="0"/>
              <w:autoSpaceDN w:val="0"/>
              <w:adjustRightInd w:val="0"/>
              <w:spacing w:after="0"/>
              <w:ind w:left="290" w:right="252"/>
              <w:jc w:val="center"/>
              <w:rPr>
                <w:rFonts w:ascii="Calibri" w:hAnsi="Calibri" w:cs="Calibri"/>
                <w:sz w:val="11"/>
                <w:szCs w:val="11"/>
              </w:rPr>
            </w:pPr>
            <w:r w:rsidRPr="00B21FAC">
              <w:rPr>
                <w:rFonts w:ascii="Calibri" w:hAnsi="Calibri" w:cs="Calibri"/>
                <w:sz w:val="11"/>
                <w:szCs w:val="11"/>
              </w:rPr>
              <w:t>meerwaarden</w:t>
            </w:r>
            <w:r w:rsidRPr="00B21FAC">
              <w:rPr>
                <w:rFonts w:ascii="Calibri" w:hAnsi="Calibri" w:cs="Calibri"/>
                <w:spacing w:val="-2"/>
                <w:sz w:val="11"/>
                <w:szCs w:val="11"/>
              </w:rPr>
              <w:t xml:space="preserve"> </w:t>
            </w:r>
            <w:r w:rsidRPr="00B21FAC">
              <w:rPr>
                <w:rFonts w:ascii="Calibri" w:hAnsi="Calibri" w:cs="Calibri"/>
                <w:sz w:val="11"/>
                <w:szCs w:val="11"/>
              </w:rPr>
              <w:t>op</w:t>
            </w:r>
            <w:r w:rsidRPr="00B21FAC">
              <w:rPr>
                <w:rFonts w:ascii="Calibri" w:hAnsi="Calibri" w:cs="Calibri"/>
                <w:spacing w:val="-1"/>
                <w:sz w:val="11"/>
                <w:szCs w:val="11"/>
              </w:rPr>
              <w:t xml:space="preserve"> </w:t>
            </w:r>
            <w:r w:rsidRPr="00B21FAC">
              <w:rPr>
                <w:rFonts w:ascii="Calibri" w:hAnsi="Calibri" w:cs="Calibri"/>
                <w:sz w:val="11"/>
                <w:szCs w:val="11"/>
              </w:rPr>
              <w:t>aandelen</w:t>
            </w:r>
          </w:p>
        </w:tc>
      </w:tr>
      <w:tr w:rsidR="00C2572E" w:rsidRPr="00B21FAC" w14:paraId="64347E49" w14:textId="77777777" w:rsidTr="00FB3500">
        <w:trPr>
          <w:trHeight w:val="121"/>
        </w:trPr>
        <w:tc>
          <w:tcPr>
            <w:tcW w:w="2186" w:type="dxa"/>
            <w:vMerge/>
            <w:tcBorders>
              <w:top w:val="nil"/>
              <w:left w:val="single" w:sz="8" w:space="0" w:color="000000"/>
              <w:bottom w:val="single" w:sz="8" w:space="0" w:color="000000"/>
              <w:right w:val="single" w:sz="8" w:space="0" w:color="000000"/>
            </w:tcBorders>
          </w:tcPr>
          <w:p w14:paraId="4F8E6DEF" w14:textId="77777777" w:rsidR="00C2572E" w:rsidRPr="00B21FAC" w:rsidRDefault="00C2572E" w:rsidP="00BA7E3E">
            <w:pPr>
              <w:autoSpaceDE w:val="0"/>
              <w:autoSpaceDN w:val="0"/>
              <w:adjustRightInd w:val="0"/>
              <w:spacing w:after="0"/>
              <w:rPr>
                <w:rFonts w:ascii="Times New Roman" w:hAnsi="Times New Roman" w:cs="Times New Roman"/>
                <w:sz w:val="2"/>
                <w:szCs w:val="2"/>
              </w:rPr>
            </w:pPr>
          </w:p>
        </w:tc>
        <w:tc>
          <w:tcPr>
            <w:tcW w:w="2032" w:type="dxa"/>
            <w:gridSpan w:val="2"/>
            <w:vMerge/>
            <w:tcBorders>
              <w:top w:val="nil"/>
              <w:left w:val="single" w:sz="8" w:space="0" w:color="000000"/>
              <w:bottom w:val="single" w:sz="8" w:space="0" w:color="000000"/>
              <w:right w:val="single" w:sz="8" w:space="0" w:color="000000"/>
            </w:tcBorders>
          </w:tcPr>
          <w:p w14:paraId="261C37FA" w14:textId="77777777" w:rsidR="00C2572E" w:rsidRPr="00B21FAC" w:rsidRDefault="00C2572E" w:rsidP="00BA7E3E">
            <w:pPr>
              <w:autoSpaceDE w:val="0"/>
              <w:autoSpaceDN w:val="0"/>
              <w:adjustRightInd w:val="0"/>
              <w:spacing w:after="0"/>
              <w:rPr>
                <w:rFonts w:ascii="Times New Roman" w:hAnsi="Times New Roman" w:cs="Times New Roman"/>
                <w:sz w:val="2"/>
                <w:szCs w:val="2"/>
              </w:rPr>
            </w:pPr>
          </w:p>
        </w:tc>
        <w:tc>
          <w:tcPr>
            <w:tcW w:w="2078" w:type="dxa"/>
            <w:vMerge/>
            <w:tcBorders>
              <w:top w:val="nil"/>
              <w:left w:val="single" w:sz="8" w:space="0" w:color="000000"/>
              <w:bottom w:val="single" w:sz="8" w:space="0" w:color="000000"/>
              <w:right w:val="single" w:sz="8" w:space="0" w:color="000000"/>
            </w:tcBorders>
          </w:tcPr>
          <w:p w14:paraId="239C369B" w14:textId="77777777" w:rsidR="00C2572E" w:rsidRPr="00B21FAC" w:rsidRDefault="00C2572E" w:rsidP="00BA7E3E">
            <w:pPr>
              <w:autoSpaceDE w:val="0"/>
              <w:autoSpaceDN w:val="0"/>
              <w:adjustRightInd w:val="0"/>
              <w:spacing w:after="0"/>
              <w:rPr>
                <w:rFonts w:ascii="Times New Roman" w:hAnsi="Times New Roman" w:cs="Times New Roman"/>
                <w:sz w:val="2"/>
                <w:szCs w:val="2"/>
              </w:rPr>
            </w:pPr>
          </w:p>
        </w:tc>
        <w:tc>
          <w:tcPr>
            <w:tcW w:w="2421" w:type="dxa"/>
            <w:tcBorders>
              <w:top w:val="single" w:sz="8" w:space="0" w:color="000000"/>
              <w:left w:val="single" w:sz="8" w:space="0" w:color="000000"/>
              <w:bottom w:val="single" w:sz="8" w:space="0" w:color="000000"/>
              <w:right w:val="single" w:sz="8" w:space="0" w:color="000000"/>
            </w:tcBorders>
          </w:tcPr>
          <w:p w14:paraId="3AE7A868" w14:textId="77777777" w:rsidR="00C2572E" w:rsidRPr="00B21FAC" w:rsidRDefault="00C2572E" w:rsidP="00BA7E3E">
            <w:pPr>
              <w:kinsoku w:val="0"/>
              <w:overflowPunct w:val="0"/>
              <w:autoSpaceDE w:val="0"/>
              <w:autoSpaceDN w:val="0"/>
              <w:adjustRightInd w:val="0"/>
              <w:spacing w:after="0"/>
              <w:rPr>
                <w:rFonts w:ascii="Times New Roman" w:hAnsi="Times New Roman" w:cs="Times New Roman"/>
                <w:sz w:val="6"/>
                <w:szCs w:val="6"/>
              </w:rPr>
            </w:pPr>
          </w:p>
        </w:tc>
      </w:tr>
      <w:tr w:rsidR="00C2572E" w:rsidRPr="00B21FAC" w14:paraId="026999D4" w14:textId="77777777" w:rsidTr="00FB3500">
        <w:trPr>
          <w:trHeight w:val="121"/>
        </w:trPr>
        <w:tc>
          <w:tcPr>
            <w:tcW w:w="2186" w:type="dxa"/>
            <w:tcBorders>
              <w:top w:val="single" w:sz="8" w:space="0" w:color="000000"/>
              <w:left w:val="single" w:sz="8" w:space="0" w:color="000000"/>
              <w:bottom w:val="single" w:sz="8" w:space="0" w:color="000000"/>
              <w:right w:val="single" w:sz="8" w:space="0" w:color="000000"/>
            </w:tcBorders>
          </w:tcPr>
          <w:p w14:paraId="4CDDB4EC" w14:textId="77777777" w:rsidR="00C2572E" w:rsidRPr="00B21FAC" w:rsidRDefault="00C2572E" w:rsidP="00BA7E3E">
            <w:pPr>
              <w:kinsoku w:val="0"/>
              <w:overflowPunct w:val="0"/>
              <w:autoSpaceDE w:val="0"/>
              <w:autoSpaceDN w:val="0"/>
              <w:adjustRightInd w:val="0"/>
              <w:spacing w:after="0"/>
              <w:ind w:left="116" w:right="93"/>
              <w:jc w:val="center"/>
              <w:rPr>
                <w:rFonts w:ascii="Calibri" w:hAnsi="Calibri" w:cs="Calibri"/>
                <w:sz w:val="11"/>
                <w:szCs w:val="11"/>
              </w:rPr>
            </w:pPr>
            <w:r w:rsidRPr="00B21FAC">
              <w:rPr>
                <w:rFonts w:ascii="Calibri" w:hAnsi="Calibri" w:cs="Calibri"/>
                <w:sz w:val="11"/>
                <w:szCs w:val="11"/>
              </w:rPr>
              <w:t>Diverse</w:t>
            </w:r>
            <w:r w:rsidRPr="00B21FAC">
              <w:rPr>
                <w:rFonts w:ascii="Calibri" w:hAnsi="Calibri" w:cs="Calibri"/>
                <w:spacing w:val="-5"/>
                <w:sz w:val="11"/>
                <w:szCs w:val="11"/>
              </w:rPr>
              <w:t xml:space="preserve"> </w:t>
            </w:r>
            <w:r w:rsidRPr="00B21FAC">
              <w:rPr>
                <w:rFonts w:ascii="Calibri" w:hAnsi="Calibri" w:cs="Calibri"/>
                <w:sz w:val="11"/>
                <w:szCs w:val="11"/>
              </w:rPr>
              <w:t>vrijstellingen</w:t>
            </w:r>
            <w:r w:rsidRPr="00B21FAC">
              <w:rPr>
                <w:rFonts w:ascii="Calibri" w:hAnsi="Calibri" w:cs="Calibri"/>
                <w:spacing w:val="-3"/>
                <w:sz w:val="11"/>
                <w:szCs w:val="11"/>
              </w:rPr>
              <w:t xml:space="preserve"> </w:t>
            </w:r>
            <w:r w:rsidRPr="00B21FAC">
              <w:rPr>
                <w:rFonts w:ascii="Calibri" w:hAnsi="Calibri" w:cs="Calibri"/>
                <w:sz w:val="11"/>
                <w:szCs w:val="11"/>
              </w:rPr>
              <w:t>(incl.</w:t>
            </w:r>
            <w:r w:rsidRPr="00B21FAC">
              <w:rPr>
                <w:rFonts w:ascii="Calibri" w:hAnsi="Calibri" w:cs="Calibri"/>
                <w:spacing w:val="-5"/>
                <w:sz w:val="11"/>
                <w:szCs w:val="11"/>
              </w:rPr>
              <w:t xml:space="preserve"> </w:t>
            </w:r>
            <w:r w:rsidRPr="00B21FAC">
              <w:rPr>
                <w:rFonts w:ascii="Calibri" w:hAnsi="Calibri" w:cs="Calibri"/>
                <w:sz w:val="11"/>
                <w:szCs w:val="11"/>
              </w:rPr>
              <w:t>eigen</w:t>
            </w:r>
            <w:r w:rsidRPr="00B21FAC">
              <w:rPr>
                <w:rFonts w:ascii="Calibri" w:hAnsi="Calibri" w:cs="Calibri"/>
                <w:spacing w:val="-4"/>
                <w:sz w:val="11"/>
                <w:szCs w:val="11"/>
              </w:rPr>
              <w:t xml:space="preserve"> </w:t>
            </w:r>
            <w:r w:rsidRPr="00B21FAC">
              <w:rPr>
                <w:rFonts w:ascii="Calibri" w:hAnsi="Calibri" w:cs="Calibri"/>
                <w:sz w:val="11"/>
                <w:szCs w:val="11"/>
              </w:rPr>
              <w:t>woning)</w:t>
            </w:r>
          </w:p>
        </w:tc>
        <w:tc>
          <w:tcPr>
            <w:tcW w:w="2032" w:type="dxa"/>
            <w:gridSpan w:val="2"/>
            <w:tcBorders>
              <w:top w:val="single" w:sz="8" w:space="0" w:color="000000"/>
              <w:left w:val="single" w:sz="8" w:space="0" w:color="000000"/>
              <w:bottom w:val="single" w:sz="8" w:space="0" w:color="000000"/>
              <w:right w:val="single" w:sz="8" w:space="0" w:color="000000"/>
            </w:tcBorders>
          </w:tcPr>
          <w:p w14:paraId="7072ABFB" w14:textId="77777777" w:rsidR="00C2572E" w:rsidRPr="00B21FAC" w:rsidRDefault="00C2572E" w:rsidP="00BA7E3E">
            <w:pPr>
              <w:kinsoku w:val="0"/>
              <w:overflowPunct w:val="0"/>
              <w:autoSpaceDE w:val="0"/>
              <w:autoSpaceDN w:val="0"/>
              <w:adjustRightInd w:val="0"/>
              <w:spacing w:after="0"/>
              <w:ind w:left="225"/>
              <w:rPr>
                <w:rFonts w:ascii="Calibri" w:hAnsi="Calibri" w:cs="Calibri"/>
                <w:sz w:val="11"/>
                <w:szCs w:val="11"/>
              </w:rPr>
            </w:pPr>
            <w:r w:rsidRPr="00B21FAC">
              <w:rPr>
                <w:rFonts w:ascii="Calibri" w:hAnsi="Calibri" w:cs="Calibri"/>
                <w:sz w:val="11"/>
                <w:szCs w:val="11"/>
              </w:rPr>
              <w:t>Vrijstellingen</w:t>
            </w:r>
            <w:r w:rsidRPr="00B21FAC">
              <w:rPr>
                <w:rFonts w:ascii="Calibri" w:hAnsi="Calibri" w:cs="Calibri"/>
                <w:spacing w:val="-5"/>
                <w:sz w:val="11"/>
                <w:szCs w:val="11"/>
              </w:rPr>
              <w:t xml:space="preserve"> </w:t>
            </w:r>
            <w:r w:rsidRPr="00B21FAC">
              <w:rPr>
                <w:rFonts w:ascii="Calibri" w:hAnsi="Calibri" w:cs="Calibri"/>
                <w:sz w:val="11"/>
                <w:szCs w:val="11"/>
              </w:rPr>
              <w:t>en</w:t>
            </w:r>
            <w:r w:rsidRPr="00B21FAC">
              <w:rPr>
                <w:rFonts w:ascii="Calibri" w:hAnsi="Calibri" w:cs="Calibri"/>
                <w:spacing w:val="-4"/>
                <w:sz w:val="11"/>
                <w:szCs w:val="11"/>
              </w:rPr>
              <w:t xml:space="preserve"> </w:t>
            </w:r>
            <w:r w:rsidRPr="00B21FAC">
              <w:rPr>
                <w:rFonts w:ascii="Calibri" w:hAnsi="Calibri" w:cs="Calibri"/>
                <w:sz w:val="11"/>
                <w:szCs w:val="11"/>
              </w:rPr>
              <w:t>afwijkende</w:t>
            </w:r>
            <w:r w:rsidRPr="00B21FAC">
              <w:rPr>
                <w:rFonts w:ascii="Calibri" w:hAnsi="Calibri" w:cs="Calibri"/>
                <w:spacing w:val="-5"/>
                <w:sz w:val="11"/>
                <w:szCs w:val="11"/>
              </w:rPr>
              <w:t xml:space="preserve"> </w:t>
            </w:r>
            <w:r w:rsidRPr="00B21FAC">
              <w:rPr>
                <w:rFonts w:ascii="Calibri" w:hAnsi="Calibri" w:cs="Calibri"/>
                <w:sz w:val="11"/>
                <w:szCs w:val="11"/>
              </w:rPr>
              <w:t>regimes</w:t>
            </w:r>
          </w:p>
        </w:tc>
        <w:tc>
          <w:tcPr>
            <w:tcW w:w="2078" w:type="dxa"/>
            <w:tcBorders>
              <w:top w:val="single" w:sz="8" w:space="0" w:color="000000"/>
              <w:left w:val="single" w:sz="8" w:space="0" w:color="000000"/>
              <w:bottom w:val="single" w:sz="8" w:space="0" w:color="000000"/>
              <w:right w:val="single" w:sz="8" w:space="0" w:color="000000"/>
            </w:tcBorders>
          </w:tcPr>
          <w:p w14:paraId="7A3CABC0" w14:textId="77777777" w:rsidR="00C2572E" w:rsidRPr="00B21FAC" w:rsidRDefault="00C2572E" w:rsidP="00BA7E3E">
            <w:pPr>
              <w:kinsoku w:val="0"/>
              <w:overflowPunct w:val="0"/>
              <w:autoSpaceDE w:val="0"/>
              <w:autoSpaceDN w:val="0"/>
              <w:adjustRightInd w:val="0"/>
              <w:spacing w:after="0"/>
              <w:ind w:left="217" w:right="189"/>
              <w:jc w:val="center"/>
              <w:rPr>
                <w:rFonts w:ascii="Calibri" w:hAnsi="Calibri" w:cs="Calibri"/>
                <w:sz w:val="11"/>
                <w:szCs w:val="11"/>
              </w:rPr>
            </w:pPr>
            <w:r w:rsidRPr="00B21FAC">
              <w:rPr>
                <w:rFonts w:ascii="Calibri" w:hAnsi="Calibri" w:cs="Calibri"/>
                <w:sz w:val="11"/>
                <w:szCs w:val="11"/>
              </w:rPr>
              <w:t>Vrijstellingen</w:t>
            </w:r>
            <w:r w:rsidRPr="00B21FAC">
              <w:rPr>
                <w:rFonts w:ascii="Calibri" w:hAnsi="Calibri" w:cs="Calibri"/>
                <w:spacing w:val="-3"/>
                <w:sz w:val="11"/>
                <w:szCs w:val="11"/>
              </w:rPr>
              <w:t xml:space="preserve"> </w:t>
            </w:r>
            <w:r w:rsidRPr="00B21FAC">
              <w:rPr>
                <w:rFonts w:ascii="Calibri" w:hAnsi="Calibri" w:cs="Calibri"/>
                <w:sz w:val="11"/>
                <w:szCs w:val="11"/>
              </w:rPr>
              <w:t>en</w:t>
            </w:r>
            <w:r w:rsidRPr="00B21FAC">
              <w:rPr>
                <w:rFonts w:ascii="Calibri" w:hAnsi="Calibri" w:cs="Calibri"/>
                <w:spacing w:val="-2"/>
                <w:sz w:val="11"/>
                <w:szCs w:val="11"/>
              </w:rPr>
              <w:t xml:space="preserve"> </w:t>
            </w:r>
            <w:r w:rsidRPr="00B21FAC">
              <w:rPr>
                <w:rFonts w:ascii="Calibri" w:hAnsi="Calibri" w:cs="Calibri"/>
                <w:sz w:val="11"/>
                <w:szCs w:val="11"/>
              </w:rPr>
              <w:t>afwijkende</w:t>
            </w:r>
            <w:r w:rsidRPr="00B21FAC">
              <w:rPr>
                <w:rFonts w:ascii="Calibri" w:hAnsi="Calibri" w:cs="Calibri"/>
                <w:spacing w:val="-4"/>
                <w:sz w:val="11"/>
                <w:szCs w:val="11"/>
              </w:rPr>
              <w:t xml:space="preserve"> </w:t>
            </w:r>
            <w:r w:rsidRPr="00B21FAC">
              <w:rPr>
                <w:rFonts w:ascii="Calibri" w:hAnsi="Calibri" w:cs="Calibri"/>
                <w:sz w:val="11"/>
                <w:szCs w:val="11"/>
              </w:rPr>
              <w:t>regimes</w:t>
            </w:r>
          </w:p>
        </w:tc>
        <w:tc>
          <w:tcPr>
            <w:tcW w:w="2421" w:type="dxa"/>
            <w:tcBorders>
              <w:top w:val="single" w:sz="8" w:space="0" w:color="000000"/>
              <w:left w:val="single" w:sz="8" w:space="0" w:color="000000"/>
              <w:bottom w:val="single" w:sz="8" w:space="0" w:color="000000"/>
              <w:right w:val="single" w:sz="8" w:space="0" w:color="000000"/>
            </w:tcBorders>
          </w:tcPr>
          <w:p w14:paraId="0495D06D" w14:textId="77777777" w:rsidR="00C2572E" w:rsidRPr="00B21FAC" w:rsidRDefault="00C2572E" w:rsidP="00BA7E3E">
            <w:pPr>
              <w:kinsoku w:val="0"/>
              <w:overflowPunct w:val="0"/>
              <w:autoSpaceDE w:val="0"/>
              <w:autoSpaceDN w:val="0"/>
              <w:adjustRightInd w:val="0"/>
              <w:spacing w:after="0"/>
              <w:ind w:left="293" w:right="252"/>
              <w:jc w:val="center"/>
              <w:rPr>
                <w:rFonts w:ascii="Calibri" w:hAnsi="Calibri" w:cs="Calibri"/>
                <w:sz w:val="11"/>
                <w:szCs w:val="11"/>
              </w:rPr>
            </w:pPr>
            <w:r w:rsidRPr="00B21FAC">
              <w:rPr>
                <w:rFonts w:ascii="Calibri" w:hAnsi="Calibri" w:cs="Calibri"/>
                <w:sz w:val="11"/>
                <w:szCs w:val="11"/>
              </w:rPr>
              <w:t>Diverse</w:t>
            </w:r>
            <w:r w:rsidRPr="00B21FAC">
              <w:rPr>
                <w:rFonts w:ascii="Calibri" w:hAnsi="Calibri" w:cs="Calibri"/>
                <w:spacing w:val="-4"/>
                <w:sz w:val="11"/>
                <w:szCs w:val="11"/>
              </w:rPr>
              <w:t xml:space="preserve"> </w:t>
            </w:r>
            <w:r w:rsidRPr="00B21FAC">
              <w:rPr>
                <w:rFonts w:ascii="Calibri" w:hAnsi="Calibri" w:cs="Calibri"/>
                <w:sz w:val="11"/>
                <w:szCs w:val="11"/>
              </w:rPr>
              <w:t>vrijstellingen</w:t>
            </w:r>
            <w:r w:rsidRPr="00B21FAC">
              <w:rPr>
                <w:rFonts w:ascii="Calibri" w:hAnsi="Calibri" w:cs="Calibri"/>
                <w:spacing w:val="-2"/>
                <w:sz w:val="11"/>
                <w:szCs w:val="11"/>
              </w:rPr>
              <w:t xml:space="preserve"> </w:t>
            </w:r>
            <w:r w:rsidRPr="00B21FAC">
              <w:rPr>
                <w:rFonts w:ascii="Calibri" w:hAnsi="Calibri" w:cs="Calibri"/>
                <w:sz w:val="11"/>
                <w:szCs w:val="11"/>
              </w:rPr>
              <w:t>(incl.</w:t>
            </w:r>
            <w:r w:rsidRPr="00B21FAC">
              <w:rPr>
                <w:rFonts w:ascii="Calibri" w:hAnsi="Calibri" w:cs="Calibri"/>
                <w:spacing w:val="-5"/>
                <w:sz w:val="11"/>
                <w:szCs w:val="11"/>
              </w:rPr>
              <w:t xml:space="preserve"> </w:t>
            </w:r>
            <w:r w:rsidRPr="00B21FAC">
              <w:rPr>
                <w:rFonts w:ascii="Calibri" w:hAnsi="Calibri" w:cs="Calibri"/>
                <w:sz w:val="11"/>
                <w:szCs w:val="11"/>
              </w:rPr>
              <w:t>eigen</w:t>
            </w:r>
            <w:r w:rsidRPr="00B21FAC">
              <w:rPr>
                <w:rFonts w:ascii="Calibri" w:hAnsi="Calibri" w:cs="Calibri"/>
                <w:spacing w:val="-2"/>
                <w:sz w:val="11"/>
                <w:szCs w:val="11"/>
              </w:rPr>
              <w:t xml:space="preserve"> </w:t>
            </w:r>
            <w:r w:rsidRPr="00B21FAC">
              <w:rPr>
                <w:rFonts w:ascii="Calibri" w:hAnsi="Calibri" w:cs="Calibri"/>
                <w:sz w:val="11"/>
                <w:szCs w:val="11"/>
              </w:rPr>
              <w:t>woning)</w:t>
            </w:r>
          </w:p>
        </w:tc>
      </w:tr>
      <w:tr w:rsidR="00C2572E" w:rsidRPr="00B21FAC" w14:paraId="15E23918" w14:textId="77777777" w:rsidTr="00FB3500">
        <w:trPr>
          <w:trHeight w:val="128"/>
        </w:trPr>
        <w:tc>
          <w:tcPr>
            <w:tcW w:w="2186" w:type="dxa"/>
            <w:tcBorders>
              <w:top w:val="single" w:sz="8" w:space="0" w:color="000000"/>
              <w:left w:val="single" w:sz="8" w:space="0" w:color="000000"/>
              <w:bottom w:val="single" w:sz="8" w:space="0" w:color="000000"/>
              <w:right w:val="single" w:sz="8" w:space="0" w:color="000000"/>
            </w:tcBorders>
          </w:tcPr>
          <w:p w14:paraId="283EFE48" w14:textId="77777777" w:rsidR="00C2572E" w:rsidRPr="00B21FAC" w:rsidRDefault="00C2572E" w:rsidP="00BA7E3E">
            <w:pPr>
              <w:kinsoku w:val="0"/>
              <w:overflowPunct w:val="0"/>
              <w:autoSpaceDE w:val="0"/>
              <w:autoSpaceDN w:val="0"/>
              <w:adjustRightInd w:val="0"/>
              <w:spacing w:after="0"/>
              <w:rPr>
                <w:rFonts w:ascii="Times New Roman" w:hAnsi="Times New Roman" w:cs="Times New Roman"/>
                <w:sz w:val="6"/>
                <w:szCs w:val="6"/>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00AFEF"/>
          </w:tcPr>
          <w:p w14:paraId="13ADE6B4" w14:textId="77777777" w:rsidR="00C2572E" w:rsidRPr="00B21FAC" w:rsidRDefault="00C2572E" w:rsidP="00BA7E3E">
            <w:pPr>
              <w:kinsoku w:val="0"/>
              <w:overflowPunct w:val="0"/>
              <w:autoSpaceDE w:val="0"/>
              <w:autoSpaceDN w:val="0"/>
              <w:adjustRightInd w:val="0"/>
              <w:spacing w:after="0"/>
              <w:ind w:left="619"/>
              <w:rPr>
                <w:rFonts w:ascii="Calibri" w:hAnsi="Calibri" w:cs="Calibri"/>
                <w:sz w:val="11"/>
                <w:szCs w:val="11"/>
              </w:rPr>
            </w:pPr>
            <w:r w:rsidRPr="00B21FAC">
              <w:rPr>
                <w:rFonts w:ascii="Calibri" w:hAnsi="Calibri" w:cs="Calibri"/>
                <w:sz w:val="11"/>
                <w:szCs w:val="11"/>
              </w:rPr>
              <w:t>Huwelijksquotiënt</w:t>
            </w:r>
          </w:p>
        </w:tc>
        <w:tc>
          <w:tcPr>
            <w:tcW w:w="2078" w:type="dxa"/>
            <w:tcBorders>
              <w:top w:val="single" w:sz="8" w:space="0" w:color="000000"/>
              <w:left w:val="single" w:sz="8" w:space="0" w:color="000000"/>
              <w:bottom w:val="single" w:sz="8" w:space="0" w:color="000000"/>
              <w:right w:val="single" w:sz="8" w:space="0" w:color="000000"/>
            </w:tcBorders>
          </w:tcPr>
          <w:p w14:paraId="11784A01" w14:textId="77777777" w:rsidR="00C2572E" w:rsidRPr="00B21FAC" w:rsidRDefault="00C2572E" w:rsidP="00BA7E3E">
            <w:pPr>
              <w:kinsoku w:val="0"/>
              <w:overflowPunct w:val="0"/>
              <w:autoSpaceDE w:val="0"/>
              <w:autoSpaceDN w:val="0"/>
              <w:adjustRightInd w:val="0"/>
              <w:spacing w:after="0"/>
              <w:rPr>
                <w:rFonts w:ascii="Times New Roman" w:hAnsi="Times New Roman" w:cs="Times New Roman"/>
                <w:sz w:val="6"/>
                <w:szCs w:val="6"/>
              </w:rPr>
            </w:pPr>
          </w:p>
        </w:tc>
        <w:tc>
          <w:tcPr>
            <w:tcW w:w="2421" w:type="dxa"/>
            <w:tcBorders>
              <w:top w:val="single" w:sz="8" w:space="0" w:color="000000"/>
              <w:left w:val="single" w:sz="8" w:space="0" w:color="000000"/>
              <w:bottom w:val="single" w:sz="8" w:space="0" w:color="000000"/>
              <w:right w:val="single" w:sz="8" w:space="0" w:color="000000"/>
            </w:tcBorders>
          </w:tcPr>
          <w:p w14:paraId="4EBBCE32" w14:textId="77777777" w:rsidR="00C2572E" w:rsidRPr="00B21FAC" w:rsidRDefault="00C2572E" w:rsidP="00BA7E3E">
            <w:pPr>
              <w:kinsoku w:val="0"/>
              <w:overflowPunct w:val="0"/>
              <w:autoSpaceDE w:val="0"/>
              <w:autoSpaceDN w:val="0"/>
              <w:adjustRightInd w:val="0"/>
              <w:spacing w:after="0"/>
              <w:rPr>
                <w:rFonts w:ascii="Times New Roman" w:hAnsi="Times New Roman" w:cs="Times New Roman"/>
                <w:sz w:val="6"/>
                <w:szCs w:val="6"/>
              </w:rPr>
            </w:pPr>
          </w:p>
        </w:tc>
      </w:tr>
      <w:tr w:rsidR="00C2572E" w:rsidRPr="00B21FAC" w14:paraId="6ECE6D33" w14:textId="77777777" w:rsidTr="00FB3500">
        <w:trPr>
          <w:trHeight w:val="447"/>
        </w:trPr>
        <w:tc>
          <w:tcPr>
            <w:tcW w:w="2186" w:type="dxa"/>
            <w:tcBorders>
              <w:top w:val="single" w:sz="8" w:space="0" w:color="000000"/>
              <w:left w:val="single" w:sz="8" w:space="0" w:color="000000"/>
              <w:bottom w:val="single" w:sz="8" w:space="0" w:color="000000"/>
              <w:right w:val="single" w:sz="8" w:space="0" w:color="000000"/>
            </w:tcBorders>
          </w:tcPr>
          <w:p w14:paraId="22B51AE6" w14:textId="77777777" w:rsidR="00C2572E" w:rsidRPr="00B21FAC" w:rsidRDefault="00C2572E" w:rsidP="00BA7E3E">
            <w:pPr>
              <w:kinsoku w:val="0"/>
              <w:overflowPunct w:val="0"/>
              <w:autoSpaceDE w:val="0"/>
              <w:autoSpaceDN w:val="0"/>
              <w:adjustRightInd w:val="0"/>
              <w:spacing w:before="2" w:after="0"/>
              <w:rPr>
                <w:rFonts w:ascii="Times New Roman" w:hAnsi="Times New Roman" w:cs="Times New Roman"/>
                <w:sz w:val="13"/>
                <w:szCs w:val="13"/>
              </w:rPr>
            </w:pPr>
          </w:p>
          <w:p w14:paraId="18D5A07B" w14:textId="211A06DB" w:rsidR="00C2572E" w:rsidRPr="00B21FAC" w:rsidRDefault="00C2572E" w:rsidP="00BA7E3E">
            <w:pPr>
              <w:kinsoku w:val="0"/>
              <w:overflowPunct w:val="0"/>
              <w:autoSpaceDE w:val="0"/>
              <w:autoSpaceDN w:val="0"/>
              <w:adjustRightInd w:val="0"/>
              <w:spacing w:after="0"/>
              <w:ind w:left="117" w:right="92"/>
              <w:jc w:val="center"/>
              <w:rPr>
                <w:rFonts w:ascii="Calibri" w:hAnsi="Calibri" w:cs="Calibri"/>
                <w:sz w:val="11"/>
                <w:szCs w:val="11"/>
              </w:rPr>
            </w:pPr>
            <w:r w:rsidRPr="00B21FAC">
              <w:rPr>
                <w:rFonts w:ascii="Calibri" w:hAnsi="Calibri" w:cs="Calibri"/>
                <w:sz w:val="11"/>
                <w:szCs w:val="11"/>
              </w:rPr>
              <w:t>Uitsluitend</w:t>
            </w:r>
            <w:r w:rsidRPr="00B21FAC">
              <w:rPr>
                <w:rFonts w:ascii="Calibri" w:hAnsi="Calibri" w:cs="Calibri"/>
                <w:spacing w:val="-2"/>
                <w:sz w:val="11"/>
                <w:szCs w:val="11"/>
              </w:rPr>
              <w:t xml:space="preserve"> </w:t>
            </w:r>
            <w:r w:rsidRPr="00B21FAC">
              <w:rPr>
                <w:rFonts w:ascii="Calibri" w:hAnsi="Calibri" w:cs="Calibri"/>
                <w:sz w:val="11"/>
                <w:szCs w:val="11"/>
              </w:rPr>
              <w:t>progressieve</w:t>
            </w:r>
            <w:r w:rsidRPr="00B21FAC">
              <w:rPr>
                <w:rFonts w:ascii="Calibri" w:hAnsi="Calibri" w:cs="Calibri"/>
                <w:spacing w:val="-3"/>
                <w:sz w:val="11"/>
                <w:szCs w:val="11"/>
              </w:rPr>
              <w:t xml:space="preserve"> </w:t>
            </w:r>
            <w:r w:rsidR="00B46C75">
              <w:rPr>
                <w:rFonts w:ascii="Calibri" w:hAnsi="Calibri" w:cs="Calibri"/>
                <w:sz w:val="11"/>
                <w:szCs w:val="11"/>
              </w:rPr>
              <w:t>belastingheffing</w:t>
            </w:r>
          </w:p>
        </w:tc>
        <w:tc>
          <w:tcPr>
            <w:tcW w:w="2032" w:type="dxa"/>
            <w:gridSpan w:val="2"/>
            <w:tcBorders>
              <w:top w:val="single" w:sz="8" w:space="0" w:color="000000"/>
              <w:left w:val="single" w:sz="8" w:space="0" w:color="000000"/>
              <w:bottom w:val="single" w:sz="8" w:space="0" w:color="000000"/>
              <w:right w:val="single" w:sz="8" w:space="0" w:color="000000"/>
            </w:tcBorders>
          </w:tcPr>
          <w:p w14:paraId="567A47A1" w14:textId="7E85D07A" w:rsidR="00C2572E" w:rsidRPr="00B21FAC" w:rsidRDefault="00C2572E" w:rsidP="00BA7E3E">
            <w:pPr>
              <w:kinsoku w:val="0"/>
              <w:overflowPunct w:val="0"/>
              <w:autoSpaceDE w:val="0"/>
              <w:autoSpaceDN w:val="0"/>
              <w:adjustRightInd w:val="0"/>
              <w:spacing w:before="4" w:after="0"/>
              <w:ind w:left="208" w:right="179"/>
              <w:jc w:val="center"/>
              <w:rPr>
                <w:rFonts w:ascii="Calibri" w:hAnsi="Calibri" w:cs="Calibri"/>
                <w:sz w:val="11"/>
                <w:szCs w:val="11"/>
              </w:rPr>
            </w:pPr>
            <w:r w:rsidRPr="00B21FAC">
              <w:rPr>
                <w:rFonts w:ascii="Calibri" w:hAnsi="Calibri" w:cs="Calibri"/>
                <w:spacing w:val="-1"/>
                <w:sz w:val="11"/>
                <w:szCs w:val="11"/>
              </w:rPr>
              <w:t>In</w:t>
            </w:r>
            <w:r w:rsidRPr="00B21FAC">
              <w:rPr>
                <w:rFonts w:ascii="Calibri" w:hAnsi="Calibri" w:cs="Calibri"/>
                <w:spacing w:val="-4"/>
                <w:sz w:val="11"/>
                <w:szCs w:val="11"/>
              </w:rPr>
              <w:t xml:space="preserve"> </w:t>
            </w:r>
            <w:r w:rsidRPr="00B21FAC">
              <w:rPr>
                <w:rFonts w:ascii="Calibri" w:hAnsi="Calibri" w:cs="Calibri"/>
                <w:spacing w:val="-1"/>
                <w:sz w:val="11"/>
                <w:szCs w:val="11"/>
              </w:rPr>
              <w:t>de</w:t>
            </w:r>
            <w:r w:rsidRPr="00B21FAC">
              <w:rPr>
                <w:rFonts w:ascii="Calibri" w:hAnsi="Calibri" w:cs="Calibri"/>
                <w:spacing w:val="-5"/>
                <w:sz w:val="11"/>
                <w:szCs w:val="11"/>
              </w:rPr>
              <w:t xml:space="preserve"> </w:t>
            </w:r>
            <w:r w:rsidRPr="00B21FAC">
              <w:rPr>
                <w:rFonts w:ascii="Calibri" w:hAnsi="Calibri" w:cs="Calibri"/>
                <w:spacing w:val="-1"/>
                <w:sz w:val="11"/>
                <w:szCs w:val="11"/>
              </w:rPr>
              <w:t>regel</w:t>
            </w:r>
            <w:r w:rsidRPr="00B21FAC">
              <w:rPr>
                <w:rFonts w:ascii="Calibri" w:hAnsi="Calibri" w:cs="Calibri"/>
                <w:spacing w:val="-4"/>
                <w:sz w:val="11"/>
                <w:szCs w:val="11"/>
              </w:rPr>
              <w:t xml:space="preserve"> </w:t>
            </w:r>
            <w:r w:rsidRPr="00B21FAC">
              <w:rPr>
                <w:rFonts w:ascii="Calibri" w:hAnsi="Calibri" w:cs="Calibri"/>
                <w:spacing w:val="-1"/>
                <w:sz w:val="11"/>
                <w:szCs w:val="11"/>
              </w:rPr>
              <w:t>progressieve</w:t>
            </w:r>
            <w:r w:rsidRPr="00B21FAC">
              <w:rPr>
                <w:rFonts w:ascii="Calibri" w:hAnsi="Calibri" w:cs="Calibri"/>
                <w:spacing w:val="-5"/>
                <w:sz w:val="11"/>
                <w:szCs w:val="11"/>
              </w:rPr>
              <w:t xml:space="preserve"> </w:t>
            </w:r>
            <w:r w:rsidR="00B46C75">
              <w:rPr>
                <w:rFonts w:ascii="Calibri" w:hAnsi="Calibri" w:cs="Calibri"/>
                <w:sz w:val="11"/>
                <w:szCs w:val="11"/>
              </w:rPr>
              <w:t>belastingheffing</w:t>
            </w:r>
            <w:r w:rsidRPr="00B21FAC">
              <w:rPr>
                <w:rFonts w:ascii="Calibri" w:hAnsi="Calibri" w:cs="Calibri"/>
                <w:spacing w:val="-5"/>
                <w:sz w:val="11"/>
                <w:szCs w:val="11"/>
              </w:rPr>
              <w:t xml:space="preserve"> </w:t>
            </w:r>
            <w:r w:rsidRPr="00B21FAC">
              <w:rPr>
                <w:rFonts w:ascii="Calibri" w:hAnsi="Calibri" w:cs="Calibri"/>
                <w:sz w:val="11"/>
                <w:szCs w:val="11"/>
              </w:rPr>
              <w:t>maar</w:t>
            </w:r>
            <w:r w:rsidRPr="00B21FAC">
              <w:rPr>
                <w:rFonts w:ascii="Calibri" w:hAnsi="Calibri" w:cs="Calibri"/>
                <w:spacing w:val="-22"/>
                <w:sz w:val="11"/>
                <w:szCs w:val="11"/>
              </w:rPr>
              <w:t xml:space="preserve"> </w:t>
            </w:r>
            <w:r w:rsidRPr="00B21FAC">
              <w:rPr>
                <w:rFonts w:ascii="Calibri" w:hAnsi="Calibri" w:cs="Calibri"/>
                <w:spacing w:val="-1"/>
                <w:sz w:val="11"/>
                <w:szCs w:val="11"/>
              </w:rPr>
              <w:t xml:space="preserve">belangrijke uitzonderingen i.f.v. </w:t>
            </w:r>
            <w:r w:rsidRPr="00B21FAC">
              <w:rPr>
                <w:rFonts w:ascii="Calibri" w:hAnsi="Calibri" w:cs="Calibri"/>
                <w:sz w:val="11"/>
                <w:szCs w:val="11"/>
              </w:rPr>
              <w:t>type</w:t>
            </w:r>
            <w:r w:rsidRPr="00B21FAC">
              <w:rPr>
                <w:rFonts w:ascii="Calibri" w:hAnsi="Calibri" w:cs="Calibri"/>
                <w:spacing w:val="-22"/>
                <w:sz w:val="11"/>
                <w:szCs w:val="11"/>
              </w:rPr>
              <w:t xml:space="preserve"> </w:t>
            </w:r>
            <w:r w:rsidRPr="00B21FAC">
              <w:rPr>
                <w:rFonts w:ascii="Calibri" w:hAnsi="Calibri" w:cs="Calibri"/>
                <w:sz w:val="11"/>
                <w:szCs w:val="11"/>
              </w:rPr>
              <w:t>inkomen</w:t>
            </w:r>
            <w:r w:rsidRPr="00B21FAC">
              <w:rPr>
                <w:rFonts w:ascii="Calibri" w:hAnsi="Calibri" w:cs="Calibri"/>
                <w:spacing w:val="-1"/>
                <w:sz w:val="11"/>
                <w:szCs w:val="11"/>
              </w:rPr>
              <w:t xml:space="preserve"> </w:t>
            </w:r>
            <w:r w:rsidRPr="00B21FAC">
              <w:rPr>
                <w:rFonts w:ascii="Calibri" w:hAnsi="Calibri" w:cs="Calibri"/>
                <w:sz w:val="11"/>
                <w:szCs w:val="11"/>
              </w:rPr>
              <w:t>of statuut</w:t>
            </w:r>
          </w:p>
        </w:tc>
        <w:tc>
          <w:tcPr>
            <w:tcW w:w="2078" w:type="dxa"/>
            <w:tcBorders>
              <w:top w:val="single" w:sz="8" w:space="0" w:color="000000"/>
              <w:left w:val="single" w:sz="8" w:space="0" w:color="000000"/>
              <w:bottom w:val="single" w:sz="8" w:space="0" w:color="000000"/>
              <w:right w:val="single" w:sz="8" w:space="0" w:color="000000"/>
            </w:tcBorders>
          </w:tcPr>
          <w:p w14:paraId="2C1AC721" w14:textId="6E9BDF1D" w:rsidR="00C2572E" w:rsidRPr="00B21FAC" w:rsidRDefault="00C2572E" w:rsidP="00BA7E3E">
            <w:pPr>
              <w:kinsoku w:val="0"/>
              <w:overflowPunct w:val="0"/>
              <w:autoSpaceDE w:val="0"/>
              <w:autoSpaceDN w:val="0"/>
              <w:adjustRightInd w:val="0"/>
              <w:spacing w:before="79" w:after="0"/>
              <w:ind w:left="610" w:right="7" w:hanging="567"/>
              <w:rPr>
                <w:rFonts w:ascii="Calibri" w:hAnsi="Calibri" w:cs="Calibri"/>
                <w:sz w:val="11"/>
                <w:szCs w:val="11"/>
              </w:rPr>
            </w:pPr>
            <w:r w:rsidRPr="00B21FAC">
              <w:rPr>
                <w:rFonts w:ascii="Calibri" w:hAnsi="Calibri" w:cs="Calibri"/>
                <w:spacing w:val="-1"/>
                <w:sz w:val="11"/>
                <w:szCs w:val="11"/>
              </w:rPr>
              <w:t>Principieel</w:t>
            </w:r>
            <w:r w:rsidRPr="00B21FAC">
              <w:rPr>
                <w:rFonts w:ascii="Calibri" w:hAnsi="Calibri" w:cs="Calibri"/>
                <w:spacing w:val="-5"/>
                <w:sz w:val="11"/>
                <w:szCs w:val="11"/>
              </w:rPr>
              <w:t xml:space="preserve"> </w:t>
            </w:r>
            <w:r w:rsidRPr="00B21FAC">
              <w:rPr>
                <w:rFonts w:ascii="Calibri" w:hAnsi="Calibri" w:cs="Calibri"/>
                <w:spacing w:val="-1"/>
                <w:sz w:val="11"/>
                <w:szCs w:val="11"/>
              </w:rPr>
              <w:t>evenredige</w:t>
            </w:r>
            <w:r w:rsidRPr="00B21FAC">
              <w:rPr>
                <w:rFonts w:ascii="Calibri" w:hAnsi="Calibri" w:cs="Calibri"/>
                <w:spacing w:val="-5"/>
                <w:sz w:val="11"/>
                <w:szCs w:val="11"/>
              </w:rPr>
              <w:t xml:space="preserve"> </w:t>
            </w:r>
            <w:r w:rsidR="00B46C75">
              <w:rPr>
                <w:rFonts w:ascii="Calibri" w:hAnsi="Calibri" w:cs="Calibri"/>
                <w:spacing w:val="-1"/>
                <w:sz w:val="11"/>
                <w:szCs w:val="11"/>
              </w:rPr>
              <w:t>belastingheffing</w:t>
            </w:r>
            <w:r w:rsidRPr="00B21FAC">
              <w:rPr>
                <w:rFonts w:ascii="Calibri" w:hAnsi="Calibri" w:cs="Calibri"/>
                <w:spacing w:val="-4"/>
                <w:sz w:val="11"/>
                <w:szCs w:val="11"/>
              </w:rPr>
              <w:t xml:space="preserve"> </w:t>
            </w:r>
            <w:r w:rsidRPr="00B21FAC">
              <w:rPr>
                <w:rFonts w:ascii="Calibri" w:hAnsi="Calibri" w:cs="Calibri"/>
                <w:spacing w:val="-1"/>
                <w:sz w:val="11"/>
                <w:szCs w:val="11"/>
              </w:rPr>
              <w:t>30%</w:t>
            </w:r>
            <w:r w:rsidRPr="00B21FAC">
              <w:rPr>
                <w:rFonts w:ascii="Calibri" w:hAnsi="Calibri" w:cs="Calibri"/>
                <w:spacing w:val="-4"/>
                <w:sz w:val="11"/>
                <w:szCs w:val="11"/>
              </w:rPr>
              <w:t xml:space="preserve"> </w:t>
            </w:r>
            <w:r w:rsidRPr="00B21FAC">
              <w:rPr>
                <w:rFonts w:ascii="Calibri" w:hAnsi="Calibri" w:cs="Calibri"/>
                <w:spacing w:val="-1"/>
                <w:sz w:val="11"/>
                <w:szCs w:val="11"/>
              </w:rPr>
              <w:t>maar</w:t>
            </w:r>
            <w:r w:rsidRPr="00B21FAC">
              <w:rPr>
                <w:rFonts w:ascii="Calibri" w:hAnsi="Calibri" w:cs="Calibri"/>
                <w:spacing w:val="-2"/>
                <w:sz w:val="11"/>
                <w:szCs w:val="11"/>
              </w:rPr>
              <w:t xml:space="preserve"> </w:t>
            </w:r>
            <w:r w:rsidRPr="00B21FAC">
              <w:rPr>
                <w:rFonts w:ascii="Calibri" w:hAnsi="Calibri" w:cs="Calibri"/>
                <w:sz w:val="11"/>
                <w:szCs w:val="11"/>
              </w:rPr>
              <w:t>sterk</w:t>
            </w:r>
            <w:r w:rsidR="00661268">
              <w:rPr>
                <w:rFonts w:ascii="Calibri" w:hAnsi="Calibri" w:cs="Calibri"/>
                <w:sz w:val="11"/>
                <w:szCs w:val="11"/>
              </w:rPr>
              <w:t xml:space="preserve"> </w:t>
            </w:r>
            <w:r w:rsidRPr="00B21FAC">
              <w:rPr>
                <w:rFonts w:ascii="Calibri" w:hAnsi="Calibri" w:cs="Calibri"/>
                <w:spacing w:val="-22"/>
                <w:sz w:val="11"/>
                <w:szCs w:val="11"/>
              </w:rPr>
              <w:t xml:space="preserve"> </w:t>
            </w:r>
            <w:r w:rsidRPr="00B21FAC">
              <w:rPr>
                <w:rFonts w:ascii="Calibri" w:hAnsi="Calibri" w:cs="Calibri"/>
                <w:sz w:val="11"/>
                <w:szCs w:val="11"/>
              </w:rPr>
              <w:t>afwijkende</w:t>
            </w:r>
            <w:r w:rsidRPr="00B21FAC">
              <w:rPr>
                <w:rFonts w:ascii="Calibri" w:hAnsi="Calibri" w:cs="Calibri"/>
                <w:spacing w:val="-3"/>
                <w:sz w:val="11"/>
                <w:szCs w:val="11"/>
              </w:rPr>
              <w:t xml:space="preserve"> </w:t>
            </w:r>
            <w:r w:rsidRPr="00B21FAC">
              <w:rPr>
                <w:rFonts w:ascii="Calibri" w:hAnsi="Calibri" w:cs="Calibri"/>
                <w:sz w:val="11"/>
                <w:szCs w:val="11"/>
              </w:rPr>
              <w:t>tarieven</w:t>
            </w:r>
          </w:p>
        </w:tc>
        <w:tc>
          <w:tcPr>
            <w:tcW w:w="2421" w:type="dxa"/>
            <w:tcBorders>
              <w:top w:val="single" w:sz="8" w:space="0" w:color="000000"/>
              <w:left w:val="single" w:sz="8" w:space="0" w:color="000000"/>
              <w:bottom w:val="single" w:sz="8" w:space="0" w:color="000000"/>
              <w:right w:val="single" w:sz="8" w:space="0" w:color="000000"/>
            </w:tcBorders>
          </w:tcPr>
          <w:p w14:paraId="1A55F616" w14:textId="6CCB530B" w:rsidR="00C2572E" w:rsidRPr="00B21FAC" w:rsidRDefault="00C2572E" w:rsidP="00BA7E3E">
            <w:pPr>
              <w:kinsoku w:val="0"/>
              <w:overflowPunct w:val="0"/>
              <w:autoSpaceDE w:val="0"/>
              <w:autoSpaceDN w:val="0"/>
              <w:adjustRightInd w:val="0"/>
              <w:spacing w:before="79" w:after="0"/>
              <w:ind w:left="915" w:right="42" w:hanging="836"/>
              <w:rPr>
                <w:rFonts w:ascii="Calibri" w:hAnsi="Calibri" w:cs="Calibri"/>
                <w:sz w:val="11"/>
                <w:szCs w:val="11"/>
              </w:rPr>
            </w:pPr>
            <w:r w:rsidRPr="00B21FAC">
              <w:rPr>
                <w:rFonts w:ascii="Calibri" w:hAnsi="Calibri" w:cs="Calibri"/>
                <w:spacing w:val="-1"/>
                <w:sz w:val="11"/>
                <w:szCs w:val="11"/>
              </w:rPr>
              <w:t>Grotendeels</w:t>
            </w:r>
            <w:r w:rsidRPr="00B21FAC">
              <w:rPr>
                <w:rFonts w:ascii="Calibri" w:hAnsi="Calibri" w:cs="Calibri"/>
                <w:spacing w:val="-5"/>
                <w:sz w:val="11"/>
                <w:szCs w:val="11"/>
              </w:rPr>
              <w:t xml:space="preserve"> </w:t>
            </w:r>
            <w:r w:rsidRPr="00B21FAC">
              <w:rPr>
                <w:rFonts w:ascii="Calibri" w:hAnsi="Calibri" w:cs="Calibri"/>
                <w:spacing w:val="-1"/>
                <w:sz w:val="11"/>
                <w:szCs w:val="11"/>
              </w:rPr>
              <w:t>evenredige</w:t>
            </w:r>
            <w:r w:rsidRPr="00B21FAC">
              <w:rPr>
                <w:rFonts w:ascii="Calibri" w:hAnsi="Calibri" w:cs="Calibri"/>
                <w:spacing w:val="-5"/>
                <w:sz w:val="11"/>
                <w:szCs w:val="11"/>
              </w:rPr>
              <w:t xml:space="preserve"> </w:t>
            </w:r>
            <w:r w:rsidR="00B46C75">
              <w:rPr>
                <w:rFonts w:ascii="Calibri" w:hAnsi="Calibri" w:cs="Calibri"/>
                <w:spacing w:val="-1"/>
                <w:sz w:val="11"/>
                <w:szCs w:val="11"/>
              </w:rPr>
              <w:t>belastingheffing</w:t>
            </w:r>
            <w:r w:rsidRPr="00B21FAC">
              <w:rPr>
                <w:rFonts w:ascii="Calibri" w:hAnsi="Calibri" w:cs="Calibri"/>
                <w:spacing w:val="-5"/>
                <w:sz w:val="11"/>
                <w:szCs w:val="11"/>
              </w:rPr>
              <w:t xml:space="preserve"> </w:t>
            </w:r>
            <w:r w:rsidRPr="00B21FAC">
              <w:rPr>
                <w:rFonts w:ascii="Calibri" w:hAnsi="Calibri" w:cs="Calibri"/>
                <w:sz w:val="11"/>
                <w:szCs w:val="11"/>
              </w:rPr>
              <w:t>met</w:t>
            </w:r>
            <w:r w:rsidRPr="00B21FAC">
              <w:rPr>
                <w:rFonts w:ascii="Calibri" w:hAnsi="Calibri" w:cs="Calibri"/>
                <w:spacing w:val="-5"/>
                <w:sz w:val="11"/>
                <w:szCs w:val="11"/>
              </w:rPr>
              <w:t xml:space="preserve"> </w:t>
            </w:r>
            <w:r w:rsidRPr="00B21FAC">
              <w:rPr>
                <w:rFonts w:ascii="Calibri" w:hAnsi="Calibri" w:cs="Calibri"/>
                <w:sz w:val="11"/>
                <w:szCs w:val="11"/>
              </w:rPr>
              <w:t>apart</w:t>
            </w:r>
            <w:r w:rsidRPr="00B21FAC">
              <w:rPr>
                <w:rFonts w:ascii="Calibri" w:hAnsi="Calibri" w:cs="Calibri"/>
                <w:spacing w:val="-4"/>
                <w:sz w:val="11"/>
                <w:szCs w:val="11"/>
              </w:rPr>
              <w:t xml:space="preserve"> </w:t>
            </w:r>
            <w:r w:rsidRPr="00B21FAC">
              <w:rPr>
                <w:rFonts w:ascii="Calibri" w:hAnsi="Calibri" w:cs="Calibri"/>
                <w:sz w:val="11"/>
                <w:szCs w:val="11"/>
              </w:rPr>
              <w:t>tarief</w:t>
            </w:r>
            <w:r w:rsidRPr="00B21FAC">
              <w:rPr>
                <w:rFonts w:ascii="Calibri" w:hAnsi="Calibri" w:cs="Calibri"/>
                <w:spacing w:val="-5"/>
                <w:sz w:val="11"/>
                <w:szCs w:val="11"/>
              </w:rPr>
              <w:t xml:space="preserve"> </w:t>
            </w:r>
            <w:r w:rsidRPr="00B21FAC">
              <w:rPr>
                <w:rFonts w:ascii="Calibri" w:hAnsi="Calibri" w:cs="Calibri"/>
                <w:sz w:val="11"/>
                <w:szCs w:val="11"/>
              </w:rPr>
              <w:t>per</w:t>
            </w:r>
            <w:r w:rsidR="00661268">
              <w:rPr>
                <w:rFonts w:ascii="Calibri" w:hAnsi="Calibri" w:cs="Calibri"/>
                <w:sz w:val="11"/>
                <w:szCs w:val="11"/>
              </w:rPr>
              <w:t xml:space="preserve"> </w:t>
            </w:r>
            <w:r w:rsidRPr="00B21FAC">
              <w:rPr>
                <w:rFonts w:ascii="Calibri" w:hAnsi="Calibri" w:cs="Calibri"/>
                <w:spacing w:val="-21"/>
                <w:sz w:val="11"/>
                <w:szCs w:val="11"/>
              </w:rPr>
              <w:t xml:space="preserve"> </w:t>
            </w:r>
            <w:r w:rsidRPr="00B21FAC">
              <w:rPr>
                <w:rFonts w:ascii="Calibri" w:hAnsi="Calibri" w:cs="Calibri"/>
                <w:sz w:val="11"/>
                <w:szCs w:val="11"/>
              </w:rPr>
              <w:t>type</w:t>
            </w:r>
            <w:r w:rsidRPr="00B21FAC">
              <w:rPr>
                <w:rFonts w:ascii="Calibri" w:hAnsi="Calibri" w:cs="Calibri"/>
                <w:spacing w:val="-4"/>
                <w:sz w:val="11"/>
                <w:szCs w:val="11"/>
              </w:rPr>
              <w:t xml:space="preserve"> </w:t>
            </w:r>
            <w:r w:rsidRPr="00B21FAC">
              <w:rPr>
                <w:rFonts w:ascii="Calibri" w:hAnsi="Calibri" w:cs="Calibri"/>
                <w:sz w:val="11"/>
                <w:szCs w:val="11"/>
              </w:rPr>
              <w:t>inkomen</w:t>
            </w:r>
          </w:p>
        </w:tc>
      </w:tr>
      <w:tr w:rsidR="00C2572E" w:rsidRPr="00B21FAC" w14:paraId="395A9F8B" w14:textId="77777777" w:rsidTr="00FB3500">
        <w:trPr>
          <w:trHeight w:val="121"/>
        </w:trPr>
        <w:tc>
          <w:tcPr>
            <w:tcW w:w="2186" w:type="dxa"/>
            <w:tcBorders>
              <w:top w:val="single" w:sz="8" w:space="0" w:color="000000"/>
              <w:left w:val="none" w:sz="6" w:space="0" w:color="auto"/>
              <w:bottom w:val="none" w:sz="6" w:space="0" w:color="auto"/>
              <w:right w:val="single" w:sz="8" w:space="0" w:color="000000"/>
            </w:tcBorders>
          </w:tcPr>
          <w:p w14:paraId="00403B1D" w14:textId="77777777" w:rsidR="00C2572E" w:rsidRPr="00B21FAC" w:rsidRDefault="00C2572E" w:rsidP="00BA7E3E">
            <w:pPr>
              <w:kinsoku w:val="0"/>
              <w:overflowPunct w:val="0"/>
              <w:autoSpaceDE w:val="0"/>
              <w:autoSpaceDN w:val="0"/>
              <w:adjustRightInd w:val="0"/>
              <w:spacing w:after="0"/>
              <w:rPr>
                <w:rFonts w:ascii="Times New Roman" w:hAnsi="Times New Roman" w:cs="Times New Roman"/>
                <w:sz w:val="6"/>
                <w:szCs w:val="6"/>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00"/>
          </w:tcPr>
          <w:p w14:paraId="3B286522" w14:textId="77777777" w:rsidR="00C2572E" w:rsidRPr="00B21FAC" w:rsidRDefault="00C2572E" w:rsidP="00BA7E3E">
            <w:pPr>
              <w:kinsoku w:val="0"/>
              <w:overflowPunct w:val="0"/>
              <w:autoSpaceDE w:val="0"/>
              <w:autoSpaceDN w:val="0"/>
              <w:adjustRightInd w:val="0"/>
              <w:spacing w:after="0"/>
              <w:ind w:left="52"/>
              <w:rPr>
                <w:rFonts w:ascii="Calibri" w:hAnsi="Calibri" w:cs="Calibri"/>
                <w:b/>
                <w:bCs/>
                <w:spacing w:val="-1"/>
                <w:sz w:val="11"/>
                <w:szCs w:val="11"/>
              </w:rPr>
            </w:pPr>
            <w:r w:rsidRPr="00B21FAC">
              <w:rPr>
                <w:rFonts w:ascii="Calibri" w:hAnsi="Calibri" w:cs="Calibri"/>
                <w:b/>
                <w:bCs/>
                <w:spacing w:val="-1"/>
                <w:sz w:val="11"/>
                <w:szCs w:val="11"/>
              </w:rPr>
              <w:t>BIJZONDERE</w:t>
            </w:r>
            <w:r w:rsidRPr="00B21FAC">
              <w:rPr>
                <w:rFonts w:ascii="Calibri" w:hAnsi="Calibri" w:cs="Calibri"/>
                <w:b/>
                <w:bCs/>
                <w:spacing w:val="-4"/>
                <w:sz w:val="11"/>
                <w:szCs w:val="11"/>
              </w:rPr>
              <w:t xml:space="preserve"> </w:t>
            </w:r>
            <w:r w:rsidRPr="00B21FAC">
              <w:rPr>
                <w:rFonts w:ascii="Calibri" w:hAnsi="Calibri" w:cs="Calibri"/>
                <w:b/>
                <w:bCs/>
                <w:spacing w:val="-1"/>
                <w:sz w:val="11"/>
                <w:szCs w:val="11"/>
              </w:rPr>
              <w:t>BIJDRAGE</w:t>
            </w:r>
            <w:r w:rsidRPr="00B21FAC">
              <w:rPr>
                <w:rFonts w:ascii="Calibri" w:hAnsi="Calibri" w:cs="Calibri"/>
                <w:b/>
                <w:bCs/>
                <w:spacing w:val="-5"/>
                <w:sz w:val="11"/>
                <w:szCs w:val="11"/>
              </w:rPr>
              <w:t xml:space="preserve"> </w:t>
            </w:r>
            <w:r w:rsidRPr="00B21FAC">
              <w:rPr>
                <w:rFonts w:ascii="Calibri" w:hAnsi="Calibri" w:cs="Calibri"/>
                <w:b/>
                <w:bCs/>
                <w:spacing w:val="-1"/>
                <w:sz w:val="11"/>
                <w:szCs w:val="11"/>
              </w:rPr>
              <w:t>SOCIALE</w:t>
            </w:r>
            <w:r w:rsidRPr="00B21FAC">
              <w:rPr>
                <w:rFonts w:ascii="Calibri" w:hAnsi="Calibri" w:cs="Calibri"/>
                <w:b/>
                <w:bCs/>
                <w:spacing w:val="-5"/>
                <w:sz w:val="11"/>
                <w:szCs w:val="11"/>
              </w:rPr>
              <w:t xml:space="preserve"> </w:t>
            </w:r>
            <w:r w:rsidRPr="00B21FAC">
              <w:rPr>
                <w:rFonts w:ascii="Calibri" w:hAnsi="Calibri" w:cs="Calibri"/>
                <w:b/>
                <w:bCs/>
                <w:spacing w:val="-1"/>
                <w:sz w:val="11"/>
                <w:szCs w:val="11"/>
              </w:rPr>
              <w:t>ZEKERHEID</w:t>
            </w:r>
          </w:p>
        </w:tc>
        <w:tc>
          <w:tcPr>
            <w:tcW w:w="4499" w:type="dxa"/>
            <w:gridSpan w:val="2"/>
            <w:tcBorders>
              <w:top w:val="single" w:sz="8" w:space="0" w:color="000000"/>
              <w:left w:val="single" w:sz="8" w:space="0" w:color="000000"/>
              <w:bottom w:val="none" w:sz="6" w:space="0" w:color="auto"/>
              <w:right w:val="none" w:sz="6" w:space="0" w:color="auto"/>
            </w:tcBorders>
          </w:tcPr>
          <w:p w14:paraId="17BC9987" w14:textId="77777777" w:rsidR="00C2572E" w:rsidRPr="00B21FAC" w:rsidRDefault="00C2572E" w:rsidP="00BA7E3E">
            <w:pPr>
              <w:kinsoku w:val="0"/>
              <w:overflowPunct w:val="0"/>
              <w:autoSpaceDE w:val="0"/>
              <w:autoSpaceDN w:val="0"/>
              <w:adjustRightInd w:val="0"/>
              <w:spacing w:after="0"/>
              <w:rPr>
                <w:rFonts w:ascii="Times New Roman" w:hAnsi="Times New Roman" w:cs="Times New Roman"/>
                <w:sz w:val="6"/>
                <w:szCs w:val="6"/>
              </w:rPr>
            </w:pPr>
          </w:p>
        </w:tc>
      </w:tr>
    </w:tbl>
    <w:p w14:paraId="64A7669E" w14:textId="77777777" w:rsidR="00C2572E" w:rsidRPr="00B21FAC" w:rsidRDefault="00C2572E" w:rsidP="00BA7E3E">
      <w:pPr>
        <w:kinsoku w:val="0"/>
        <w:overflowPunct w:val="0"/>
        <w:autoSpaceDE w:val="0"/>
        <w:autoSpaceDN w:val="0"/>
        <w:adjustRightInd w:val="0"/>
        <w:spacing w:before="1" w:after="0"/>
        <w:rPr>
          <w:rFonts w:ascii="Times New Roman" w:hAnsi="Times New Roman" w:cs="Times New Roman"/>
          <w:sz w:val="12"/>
          <w:szCs w:val="12"/>
        </w:rPr>
      </w:pPr>
    </w:p>
    <w:p w14:paraId="0518B469" w14:textId="77777777" w:rsidR="00C2572E" w:rsidRPr="00B21FAC" w:rsidRDefault="00C2572E" w:rsidP="00BA7E3E">
      <w:pPr>
        <w:tabs>
          <w:tab w:val="left" w:pos="5310"/>
        </w:tabs>
        <w:kinsoku w:val="0"/>
        <w:overflowPunct w:val="0"/>
        <w:autoSpaceDE w:val="0"/>
        <w:autoSpaceDN w:val="0"/>
        <w:adjustRightInd w:val="0"/>
        <w:spacing w:after="0"/>
        <w:ind w:left="108"/>
        <w:rPr>
          <w:rFonts w:ascii="Times New Roman" w:hAnsi="Times New Roman" w:cs="Times New Roman"/>
          <w:sz w:val="20"/>
          <w:szCs w:val="20"/>
        </w:rPr>
      </w:pPr>
      <w:r w:rsidRPr="00B21FAC">
        <w:rPr>
          <w:rFonts w:ascii="Times New Roman" w:hAnsi="Times New Roman" w:cs="Times New Roman"/>
          <w:noProof/>
          <w:sz w:val="20"/>
          <w:szCs w:val="20"/>
        </w:rPr>
        <mc:AlternateContent>
          <mc:Choice Requires="wps">
            <w:drawing>
              <wp:inline distT="0" distB="0" distL="0" distR="0" wp14:anchorId="46D01E86" wp14:editId="392FC3BC">
                <wp:extent cx="3009900" cy="480060"/>
                <wp:effectExtent l="0" t="0" r="0" b="0"/>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4711"/>
                            </w:tblGrid>
                            <w:tr w:rsidR="0072767F" w14:paraId="1081731F" w14:textId="77777777">
                              <w:trPr>
                                <w:trHeight w:val="121"/>
                              </w:trPr>
                              <w:tc>
                                <w:tcPr>
                                  <w:tcW w:w="4711" w:type="dxa"/>
                                  <w:tcBorders>
                                    <w:top w:val="single" w:sz="8" w:space="0" w:color="000000"/>
                                    <w:left w:val="single" w:sz="8" w:space="0" w:color="000000"/>
                                    <w:bottom w:val="single" w:sz="8" w:space="0" w:color="000000"/>
                                    <w:right w:val="single" w:sz="8" w:space="0" w:color="000000"/>
                                  </w:tcBorders>
                                  <w:shd w:val="clear" w:color="auto" w:fill="00AFEF"/>
                                </w:tcPr>
                                <w:p w14:paraId="5005FB2B" w14:textId="77777777" w:rsidR="0072767F" w:rsidRDefault="0072767F">
                                  <w:pPr>
                                    <w:pStyle w:val="TableParagraph"/>
                                    <w:kinsoku w:val="0"/>
                                    <w:overflowPunct w:val="0"/>
                                    <w:spacing w:line="102" w:lineRule="exact"/>
                                    <w:ind w:left="521" w:right="495"/>
                                    <w:rPr>
                                      <w:b/>
                                      <w:bCs/>
                                      <w:sz w:val="11"/>
                                      <w:szCs w:val="11"/>
                                    </w:rPr>
                                  </w:pPr>
                                  <w:r>
                                    <w:rPr>
                                      <w:b/>
                                      <w:bCs/>
                                      <w:sz w:val="11"/>
                                      <w:szCs w:val="11"/>
                                    </w:rPr>
                                    <w:t>Aftrek</w:t>
                                  </w:r>
                                  <w:r>
                                    <w:rPr>
                                      <w:b/>
                                      <w:bCs/>
                                      <w:spacing w:val="-3"/>
                                      <w:sz w:val="11"/>
                                      <w:szCs w:val="11"/>
                                    </w:rPr>
                                    <w:t xml:space="preserve"> </w:t>
                                  </w:r>
                                  <w:r>
                                    <w:rPr>
                                      <w:b/>
                                      <w:bCs/>
                                      <w:sz w:val="11"/>
                                      <w:szCs w:val="11"/>
                                    </w:rPr>
                                    <w:t>betaalde</w:t>
                                  </w:r>
                                  <w:r>
                                    <w:rPr>
                                      <w:b/>
                                      <w:bCs/>
                                      <w:spacing w:val="-1"/>
                                      <w:sz w:val="11"/>
                                      <w:szCs w:val="11"/>
                                    </w:rPr>
                                    <w:t xml:space="preserve"> </w:t>
                                  </w:r>
                                  <w:r>
                                    <w:rPr>
                                      <w:b/>
                                      <w:bCs/>
                                      <w:sz w:val="11"/>
                                      <w:szCs w:val="11"/>
                                    </w:rPr>
                                    <w:t>onderhoudsuitkeringen</w:t>
                                  </w:r>
                                  <w:r>
                                    <w:rPr>
                                      <w:b/>
                                      <w:bCs/>
                                      <w:spacing w:val="-4"/>
                                      <w:sz w:val="11"/>
                                      <w:szCs w:val="11"/>
                                    </w:rPr>
                                    <w:t xml:space="preserve"> </w:t>
                                  </w:r>
                                  <w:r>
                                    <w:rPr>
                                      <w:b/>
                                      <w:bCs/>
                                      <w:sz w:val="11"/>
                                      <w:szCs w:val="11"/>
                                    </w:rPr>
                                    <w:t>van</w:t>
                                  </w:r>
                                  <w:r>
                                    <w:rPr>
                                      <w:b/>
                                      <w:bCs/>
                                      <w:spacing w:val="-3"/>
                                      <w:sz w:val="11"/>
                                      <w:szCs w:val="11"/>
                                    </w:rPr>
                                    <w:t xml:space="preserve"> </w:t>
                                  </w:r>
                                  <w:r>
                                    <w:rPr>
                                      <w:b/>
                                      <w:bCs/>
                                      <w:sz w:val="11"/>
                                      <w:szCs w:val="11"/>
                                    </w:rPr>
                                    <w:t>het</w:t>
                                  </w:r>
                                  <w:r>
                                    <w:rPr>
                                      <w:b/>
                                      <w:bCs/>
                                      <w:spacing w:val="-2"/>
                                      <w:sz w:val="11"/>
                                      <w:szCs w:val="11"/>
                                    </w:rPr>
                                    <w:t xml:space="preserve"> </w:t>
                                  </w:r>
                                  <w:r>
                                    <w:rPr>
                                      <w:b/>
                                      <w:bCs/>
                                      <w:sz w:val="11"/>
                                      <w:szCs w:val="11"/>
                                    </w:rPr>
                                    <w:t>progressief</w:t>
                                  </w:r>
                                  <w:r>
                                    <w:rPr>
                                      <w:b/>
                                      <w:bCs/>
                                      <w:spacing w:val="-3"/>
                                      <w:sz w:val="11"/>
                                      <w:szCs w:val="11"/>
                                    </w:rPr>
                                    <w:t xml:space="preserve"> </w:t>
                                  </w:r>
                                  <w:r>
                                    <w:rPr>
                                      <w:b/>
                                      <w:bCs/>
                                      <w:sz w:val="11"/>
                                      <w:szCs w:val="11"/>
                                    </w:rPr>
                                    <w:t>belastbaar</w:t>
                                  </w:r>
                                  <w:r>
                                    <w:rPr>
                                      <w:b/>
                                      <w:bCs/>
                                      <w:spacing w:val="-3"/>
                                      <w:sz w:val="11"/>
                                      <w:szCs w:val="11"/>
                                    </w:rPr>
                                    <w:t xml:space="preserve"> </w:t>
                                  </w:r>
                                  <w:r>
                                    <w:rPr>
                                      <w:b/>
                                      <w:bCs/>
                                      <w:sz w:val="11"/>
                                      <w:szCs w:val="11"/>
                                    </w:rPr>
                                    <w:t>inkomen</w:t>
                                  </w:r>
                                </w:p>
                              </w:tc>
                            </w:tr>
                            <w:tr w:rsidR="0072767F" w14:paraId="57FC483C" w14:textId="77777777">
                              <w:trPr>
                                <w:trHeight w:val="128"/>
                              </w:trPr>
                              <w:tc>
                                <w:tcPr>
                                  <w:tcW w:w="4711" w:type="dxa"/>
                                  <w:tcBorders>
                                    <w:top w:val="single" w:sz="8" w:space="0" w:color="000000"/>
                                    <w:left w:val="single" w:sz="8" w:space="0" w:color="000000"/>
                                    <w:bottom w:val="single" w:sz="8" w:space="0" w:color="000000"/>
                                    <w:right w:val="single" w:sz="8" w:space="0" w:color="000000"/>
                                  </w:tcBorders>
                                </w:tcPr>
                                <w:p w14:paraId="512A1F36" w14:textId="77777777" w:rsidR="0072767F" w:rsidRDefault="0072767F">
                                  <w:pPr>
                                    <w:pStyle w:val="TableParagraph"/>
                                    <w:kinsoku w:val="0"/>
                                    <w:overflowPunct w:val="0"/>
                                    <w:ind w:left="521" w:right="485"/>
                                    <w:rPr>
                                      <w:b/>
                                      <w:bCs/>
                                      <w:sz w:val="11"/>
                                      <w:szCs w:val="11"/>
                                    </w:rPr>
                                  </w:pPr>
                                  <w:r>
                                    <w:rPr>
                                      <w:b/>
                                      <w:bCs/>
                                      <w:sz w:val="11"/>
                                      <w:szCs w:val="11"/>
                                    </w:rPr>
                                    <w:t>Basisbelasting</w:t>
                                  </w:r>
                                </w:p>
                              </w:tc>
                            </w:tr>
                            <w:tr w:rsidR="0072767F" w14:paraId="427C50DF" w14:textId="77777777">
                              <w:trPr>
                                <w:trHeight w:val="128"/>
                              </w:trPr>
                              <w:tc>
                                <w:tcPr>
                                  <w:tcW w:w="4711" w:type="dxa"/>
                                  <w:tcBorders>
                                    <w:top w:val="single" w:sz="8" w:space="0" w:color="000000"/>
                                    <w:left w:val="single" w:sz="8" w:space="0" w:color="000000"/>
                                    <w:bottom w:val="single" w:sz="8" w:space="0" w:color="000000"/>
                                    <w:right w:val="single" w:sz="8" w:space="0" w:color="000000"/>
                                  </w:tcBorders>
                                  <w:shd w:val="clear" w:color="auto" w:fill="00AFEF"/>
                                </w:tcPr>
                                <w:p w14:paraId="046C1C0A" w14:textId="77777777" w:rsidR="0072767F" w:rsidRDefault="0072767F">
                                  <w:pPr>
                                    <w:pStyle w:val="TableParagraph"/>
                                    <w:kinsoku w:val="0"/>
                                    <w:overflowPunct w:val="0"/>
                                    <w:ind w:left="521" w:right="483"/>
                                    <w:rPr>
                                      <w:b/>
                                      <w:bCs/>
                                      <w:sz w:val="11"/>
                                      <w:szCs w:val="11"/>
                                    </w:rPr>
                                  </w:pPr>
                                  <w:r>
                                    <w:rPr>
                                      <w:b/>
                                      <w:bCs/>
                                      <w:sz w:val="11"/>
                                      <w:szCs w:val="11"/>
                                    </w:rPr>
                                    <w:t>Vermindering</w:t>
                                  </w:r>
                                  <w:r>
                                    <w:rPr>
                                      <w:b/>
                                      <w:bCs/>
                                      <w:spacing w:val="-4"/>
                                      <w:sz w:val="11"/>
                                      <w:szCs w:val="11"/>
                                    </w:rPr>
                                    <w:t xml:space="preserve"> </w:t>
                                  </w:r>
                                  <w:r>
                                    <w:rPr>
                                      <w:b/>
                                      <w:bCs/>
                                      <w:sz w:val="11"/>
                                      <w:szCs w:val="11"/>
                                    </w:rPr>
                                    <w:t>ingevolge</w:t>
                                  </w:r>
                                  <w:r>
                                    <w:rPr>
                                      <w:b/>
                                      <w:bCs/>
                                      <w:spacing w:val="-2"/>
                                      <w:sz w:val="11"/>
                                      <w:szCs w:val="11"/>
                                    </w:rPr>
                                    <w:t xml:space="preserve"> </w:t>
                                  </w:r>
                                  <w:r>
                                    <w:rPr>
                                      <w:b/>
                                      <w:bCs/>
                                      <w:sz w:val="11"/>
                                      <w:szCs w:val="11"/>
                                    </w:rPr>
                                    <w:t>de</w:t>
                                  </w:r>
                                  <w:r>
                                    <w:rPr>
                                      <w:b/>
                                      <w:bCs/>
                                      <w:spacing w:val="-2"/>
                                      <w:sz w:val="11"/>
                                      <w:szCs w:val="11"/>
                                    </w:rPr>
                                    <w:t xml:space="preserve"> </w:t>
                                  </w:r>
                                  <w:r>
                                    <w:rPr>
                                      <w:b/>
                                      <w:bCs/>
                                      <w:sz w:val="11"/>
                                      <w:szCs w:val="11"/>
                                    </w:rPr>
                                    <w:t>belastingrije</w:t>
                                  </w:r>
                                  <w:r>
                                    <w:rPr>
                                      <w:b/>
                                      <w:bCs/>
                                      <w:spacing w:val="-1"/>
                                      <w:sz w:val="11"/>
                                      <w:szCs w:val="11"/>
                                    </w:rPr>
                                    <w:t xml:space="preserve"> </w:t>
                                  </w:r>
                                  <w:r>
                                    <w:rPr>
                                      <w:b/>
                                      <w:bCs/>
                                      <w:sz w:val="11"/>
                                      <w:szCs w:val="11"/>
                                    </w:rPr>
                                    <w:t>sommen</w:t>
                                  </w:r>
                                </w:p>
                              </w:tc>
                            </w:tr>
                            <w:tr w:rsidR="0072767F" w14:paraId="05544EA3" w14:textId="77777777">
                              <w:trPr>
                                <w:trHeight w:val="128"/>
                              </w:trPr>
                              <w:tc>
                                <w:tcPr>
                                  <w:tcW w:w="4711" w:type="dxa"/>
                                  <w:tcBorders>
                                    <w:top w:val="single" w:sz="8" w:space="0" w:color="000000"/>
                                    <w:left w:val="single" w:sz="8" w:space="0" w:color="000000"/>
                                    <w:bottom w:val="single" w:sz="8" w:space="0" w:color="000000"/>
                                    <w:right w:val="single" w:sz="8" w:space="0" w:color="000000"/>
                                  </w:tcBorders>
                                  <w:shd w:val="clear" w:color="auto" w:fill="FF0000"/>
                                </w:tcPr>
                                <w:p w14:paraId="36375F6B" w14:textId="77777777" w:rsidR="0072767F" w:rsidRDefault="0072767F">
                                  <w:pPr>
                                    <w:pStyle w:val="TableParagraph"/>
                                    <w:kinsoku w:val="0"/>
                                    <w:overflowPunct w:val="0"/>
                                    <w:ind w:left="521" w:right="483"/>
                                    <w:rPr>
                                      <w:b/>
                                      <w:bCs/>
                                      <w:sz w:val="11"/>
                                      <w:szCs w:val="11"/>
                                    </w:rPr>
                                  </w:pPr>
                                  <w:r>
                                    <w:rPr>
                                      <w:b/>
                                      <w:bCs/>
                                      <w:sz w:val="11"/>
                                      <w:szCs w:val="11"/>
                                    </w:rPr>
                                    <w:t>Vermindering</w:t>
                                  </w:r>
                                  <w:r>
                                    <w:rPr>
                                      <w:b/>
                                      <w:bCs/>
                                      <w:spacing w:val="-4"/>
                                      <w:sz w:val="11"/>
                                      <w:szCs w:val="11"/>
                                    </w:rPr>
                                    <w:t xml:space="preserve"> </w:t>
                                  </w:r>
                                  <w:r>
                                    <w:rPr>
                                      <w:b/>
                                      <w:bCs/>
                                      <w:sz w:val="11"/>
                                      <w:szCs w:val="11"/>
                                    </w:rPr>
                                    <w:t>voor</w:t>
                                  </w:r>
                                  <w:r>
                                    <w:rPr>
                                      <w:b/>
                                      <w:bCs/>
                                      <w:spacing w:val="-2"/>
                                      <w:sz w:val="11"/>
                                      <w:szCs w:val="11"/>
                                    </w:rPr>
                                    <w:t xml:space="preserve"> </w:t>
                                  </w:r>
                                  <w:r>
                                    <w:rPr>
                                      <w:b/>
                                      <w:bCs/>
                                      <w:sz w:val="11"/>
                                      <w:szCs w:val="11"/>
                                    </w:rPr>
                                    <w:t>pensioen</w:t>
                                  </w:r>
                                  <w:r>
                                    <w:rPr>
                                      <w:b/>
                                      <w:bCs/>
                                      <w:spacing w:val="-2"/>
                                      <w:sz w:val="11"/>
                                      <w:szCs w:val="11"/>
                                    </w:rPr>
                                    <w:t xml:space="preserve"> </w:t>
                                  </w:r>
                                  <w:r>
                                    <w:rPr>
                                      <w:b/>
                                      <w:bCs/>
                                      <w:sz w:val="11"/>
                                      <w:szCs w:val="11"/>
                                    </w:rPr>
                                    <w:t>en</w:t>
                                  </w:r>
                                  <w:r>
                                    <w:rPr>
                                      <w:b/>
                                      <w:bCs/>
                                      <w:spacing w:val="-3"/>
                                      <w:sz w:val="11"/>
                                      <w:szCs w:val="11"/>
                                    </w:rPr>
                                    <w:t xml:space="preserve"> </w:t>
                                  </w:r>
                                  <w:r>
                                    <w:rPr>
                                      <w:b/>
                                      <w:bCs/>
                                      <w:sz w:val="11"/>
                                      <w:szCs w:val="11"/>
                                    </w:rPr>
                                    <w:t>vervangingsinkomsten</w:t>
                                  </w:r>
                                </w:p>
                              </w:tc>
                            </w:tr>
                            <w:tr w:rsidR="0072767F" w14:paraId="18426073" w14:textId="77777777">
                              <w:trPr>
                                <w:trHeight w:val="128"/>
                              </w:trPr>
                              <w:tc>
                                <w:tcPr>
                                  <w:tcW w:w="4711" w:type="dxa"/>
                                  <w:tcBorders>
                                    <w:top w:val="single" w:sz="8" w:space="0" w:color="000000"/>
                                    <w:left w:val="single" w:sz="8" w:space="0" w:color="000000"/>
                                    <w:bottom w:val="single" w:sz="8" w:space="0" w:color="000000"/>
                                    <w:right w:val="single" w:sz="8" w:space="0" w:color="000000"/>
                                  </w:tcBorders>
                                </w:tcPr>
                                <w:p w14:paraId="0E5970A0" w14:textId="77777777" w:rsidR="0072767F" w:rsidRDefault="0072767F">
                                  <w:pPr>
                                    <w:pStyle w:val="TableParagraph"/>
                                    <w:kinsoku w:val="0"/>
                                    <w:overflowPunct w:val="0"/>
                                    <w:ind w:left="521" w:right="484"/>
                                    <w:rPr>
                                      <w:b/>
                                      <w:bCs/>
                                      <w:sz w:val="11"/>
                                      <w:szCs w:val="11"/>
                                    </w:rPr>
                                  </w:pPr>
                                  <w:r>
                                    <w:rPr>
                                      <w:b/>
                                      <w:bCs/>
                                      <w:sz w:val="11"/>
                                      <w:szCs w:val="11"/>
                                    </w:rPr>
                                    <w:t>Hoofdsom</w:t>
                                  </w:r>
                                </w:p>
                              </w:tc>
                            </w:tr>
                          </w:tbl>
                          <w:p w14:paraId="457AE9B4" w14:textId="77777777" w:rsidR="0072767F" w:rsidRDefault="0072767F" w:rsidP="00C2572E">
                            <w:pPr>
                              <w:pStyle w:val="Plattetekst"/>
                              <w:kinsoku w:val="0"/>
                              <w:overflowPunct w:val="0"/>
                              <w:rPr>
                                <w:rFonts w:ascii="Times New Roman" w:hAnsi="Times New Roman" w:cs="Times New Roman"/>
                                <w:b/>
                                <w:bCs/>
                                <w:sz w:val="24"/>
                                <w:szCs w:val="24"/>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oel="http://schemas.microsoft.com/office/2019/extlst">
            <w:pict>
              <v:shapetype w14:anchorId="46D01E86" id="_x0000_t202" coordsize="21600,21600" o:spt="202" path="m,l,21600r21600,l21600,xe">
                <v:stroke joinstyle="miter"/>
                <v:path gradientshapeok="t" o:connecttype="rect"/>
              </v:shapetype>
              <v:shape id="Tekstvak 27" o:spid="_x0000_s1026" type="#_x0000_t202" style="width:237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"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4711"/>
                      </w:tblGrid>
                      <w:tr w:rsidR="0072767F" w14:paraId="1081731F" w14:textId="77777777">
                        <w:trPr>
                          <w:trHeight w:val="121"/>
                        </w:trPr>
                        <w:tc>
                          <w:tcPr>
                            <w:tcW w:w="4711" w:type="dxa"/>
                            <w:tcBorders>
                              <w:top w:val="single" w:sz="8" w:space="0" w:color="000000"/>
                              <w:left w:val="single" w:sz="8" w:space="0" w:color="000000"/>
                              <w:bottom w:val="single" w:sz="8" w:space="0" w:color="000000"/>
                              <w:right w:val="single" w:sz="8" w:space="0" w:color="000000"/>
                            </w:tcBorders>
                            <w:shd w:val="clear" w:color="auto" w:fill="00AFEF"/>
                          </w:tcPr>
                          <w:p w14:paraId="5005FB2B" w14:textId="77777777" w:rsidR="0072767F" w:rsidRDefault="0072767F">
                            <w:pPr>
                              <w:pStyle w:val="TableParagraph"/>
                              <w:kinsoku w:val="0"/>
                              <w:overflowPunct w:val="0"/>
                              <w:spacing w:line="102" w:lineRule="exact"/>
                              <w:ind w:left="521" w:right="495"/>
                              <w:rPr>
                                <w:b/>
                                <w:bCs/>
                                <w:sz w:val="11"/>
                                <w:szCs w:val="11"/>
                              </w:rPr>
                            </w:pPr>
                            <w:r>
                              <w:rPr>
                                <w:b/>
                                <w:bCs/>
                                <w:sz w:val="11"/>
                                <w:szCs w:val="11"/>
                              </w:rPr>
                              <w:t>Aftrek</w:t>
                            </w:r>
                            <w:r>
                              <w:rPr>
                                <w:b/>
                                <w:bCs/>
                                <w:spacing w:val="-3"/>
                                <w:sz w:val="11"/>
                                <w:szCs w:val="11"/>
                              </w:rPr>
                              <w:t xml:space="preserve"> </w:t>
                            </w:r>
                            <w:r>
                              <w:rPr>
                                <w:b/>
                                <w:bCs/>
                                <w:sz w:val="11"/>
                                <w:szCs w:val="11"/>
                              </w:rPr>
                              <w:t>betaalde</w:t>
                            </w:r>
                            <w:r>
                              <w:rPr>
                                <w:b/>
                                <w:bCs/>
                                <w:spacing w:val="-1"/>
                                <w:sz w:val="11"/>
                                <w:szCs w:val="11"/>
                              </w:rPr>
                              <w:t xml:space="preserve"> </w:t>
                            </w:r>
                            <w:r>
                              <w:rPr>
                                <w:b/>
                                <w:bCs/>
                                <w:sz w:val="11"/>
                                <w:szCs w:val="11"/>
                              </w:rPr>
                              <w:t>onderhoudsuitkeringen</w:t>
                            </w:r>
                            <w:r>
                              <w:rPr>
                                <w:b/>
                                <w:bCs/>
                                <w:spacing w:val="-4"/>
                                <w:sz w:val="11"/>
                                <w:szCs w:val="11"/>
                              </w:rPr>
                              <w:t xml:space="preserve"> </w:t>
                            </w:r>
                            <w:r>
                              <w:rPr>
                                <w:b/>
                                <w:bCs/>
                                <w:sz w:val="11"/>
                                <w:szCs w:val="11"/>
                              </w:rPr>
                              <w:t>van</w:t>
                            </w:r>
                            <w:r>
                              <w:rPr>
                                <w:b/>
                                <w:bCs/>
                                <w:spacing w:val="-3"/>
                                <w:sz w:val="11"/>
                                <w:szCs w:val="11"/>
                              </w:rPr>
                              <w:t xml:space="preserve"> </w:t>
                            </w:r>
                            <w:r>
                              <w:rPr>
                                <w:b/>
                                <w:bCs/>
                                <w:sz w:val="11"/>
                                <w:szCs w:val="11"/>
                              </w:rPr>
                              <w:t>het</w:t>
                            </w:r>
                            <w:r>
                              <w:rPr>
                                <w:b/>
                                <w:bCs/>
                                <w:spacing w:val="-2"/>
                                <w:sz w:val="11"/>
                                <w:szCs w:val="11"/>
                              </w:rPr>
                              <w:t xml:space="preserve"> </w:t>
                            </w:r>
                            <w:r>
                              <w:rPr>
                                <w:b/>
                                <w:bCs/>
                                <w:sz w:val="11"/>
                                <w:szCs w:val="11"/>
                              </w:rPr>
                              <w:t>progressief</w:t>
                            </w:r>
                            <w:r>
                              <w:rPr>
                                <w:b/>
                                <w:bCs/>
                                <w:spacing w:val="-3"/>
                                <w:sz w:val="11"/>
                                <w:szCs w:val="11"/>
                              </w:rPr>
                              <w:t xml:space="preserve"> </w:t>
                            </w:r>
                            <w:r>
                              <w:rPr>
                                <w:b/>
                                <w:bCs/>
                                <w:sz w:val="11"/>
                                <w:szCs w:val="11"/>
                              </w:rPr>
                              <w:t>belastbaar</w:t>
                            </w:r>
                            <w:r>
                              <w:rPr>
                                <w:b/>
                                <w:bCs/>
                                <w:spacing w:val="-3"/>
                                <w:sz w:val="11"/>
                                <w:szCs w:val="11"/>
                              </w:rPr>
                              <w:t xml:space="preserve"> </w:t>
                            </w:r>
                            <w:r>
                              <w:rPr>
                                <w:b/>
                                <w:bCs/>
                                <w:sz w:val="11"/>
                                <w:szCs w:val="11"/>
                              </w:rPr>
                              <w:t>inkomen</w:t>
                            </w:r>
                          </w:p>
                        </w:tc>
                      </w:tr>
                      <w:tr w:rsidR="0072767F" w14:paraId="57FC483C" w14:textId="77777777">
                        <w:trPr>
                          <w:trHeight w:val="128"/>
                        </w:trPr>
                        <w:tc>
                          <w:tcPr>
                            <w:tcW w:w="4711" w:type="dxa"/>
                            <w:tcBorders>
                              <w:top w:val="single" w:sz="8" w:space="0" w:color="000000"/>
                              <w:left w:val="single" w:sz="8" w:space="0" w:color="000000"/>
                              <w:bottom w:val="single" w:sz="8" w:space="0" w:color="000000"/>
                              <w:right w:val="single" w:sz="8" w:space="0" w:color="000000"/>
                            </w:tcBorders>
                          </w:tcPr>
                          <w:p w14:paraId="512A1F36" w14:textId="77777777" w:rsidR="0072767F" w:rsidRDefault="0072767F">
                            <w:pPr>
                              <w:pStyle w:val="TableParagraph"/>
                              <w:kinsoku w:val="0"/>
                              <w:overflowPunct w:val="0"/>
                              <w:ind w:left="521" w:right="485"/>
                              <w:rPr>
                                <w:b/>
                                <w:bCs/>
                                <w:sz w:val="11"/>
                                <w:szCs w:val="11"/>
                              </w:rPr>
                            </w:pPr>
                            <w:r>
                              <w:rPr>
                                <w:b/>
                                <w:bCs/>
                                <w:sz w:val="11"/>
                                <w:szCs w:val="11"/>
                              </w:rPr>
                              <w:t>Basisbelasting</w:t>
                            </w:r>
                          </w:p>
                        </w:tc>
                      </w:tr>
                      <w:tr w:rsidR="0072767F" w14:paraId="427C50DF" w14:textId="77777777">
                        <w:trPr>
                          <w:trHeight w:val="128"/>
                        </w:trPr>
                        <w:tc>
                          <w:tcPr>
                            <w:tcW w:w="4711" w:type="dxa"/>
                            <w:tcBorders>
                              <w:top w:val="single" w:sz="8" w:space="0" w:color="000000"/>
                              <w:left w:val="single" w:sz="8" w:space="0" w:color="000000"/>
                              <w:bottom w:val="single" w:sz="8" w:space="0" w:color="000000"/>
                              <w:right w:val="single" w:sz="8" w:space="0" w:color="000000"/>
                            </w:tcBorders>
                            <w:shd w:val="clear" w:color="auto" w:fill="00AFEF"/>
                          </w:tcPr>
                          <w:p w14:paraId="046C1C0A" w14:textId="77777777" w:rsidR="0072767F" w:rsidRDefault="0072767F">
                            <w:pPr>
                              <w:pStyle w:val="TableParagraph"/>
                              <w:kinsoku w:val="0"/>
                              <w:overflowPunct w:val="0"/>
                              <w:ind w:left="521" w:right="483"/>
                              <w:rPr>
                                <w:b/>
                                <w:bCs/>
                                <w:sz w:val="11"/>
                                <w:szCs w:val="11"/>
                              </w:rPr>
                            </w:pPr>
                            <w:r>
                              <w:rPr>
                                <w:b/>
                                <w:bCs/>
                                <w:sz w:val="11"/>
                                <w:szCs w:val="11"/>
                              </w:rPr>
                              <w:t>Vermindering</w:t>
                            </w:r>
                            <w:r>
                              <w:rPr>
                                <w:b/>
                                <w:bCs/>
                                <w:spacing w:val="-4"/>
                                <w:sz w:val="11"/>
                                <w:szCs w:val="11"/>
                              </w:rPr>
                              <w:t xml:space="preserve"> </w:t>
                            </w:r>
                            <w:r>
                              <w:rPr>
                                <w:b/>
                                <w:bCs/>
                                <w:sz w:val="11"/>
                                <w:szCs w:val="11"/>
                              </w:rPr>
                              <w:t>ingevolge</w:t>
                            </w:r>
                            <w:r>
                              <w:rPr>
                                <w:b/>
                                <w:bCs/>
                                <w:spacing w:val="-2"/>
                                <w:sz w:val="11"/>
                                <w:szCs w:val="11"/>
                              </w:rPr>
                              <w:t xml:space="preserve"> </w:t>
                            </w:r>
                            <w:r>
                              <w:rPr>
                                <w:b/>
                                <w:bCs/>
                                <w:sz w:val="11"/>
                                <w:szCs w:val="11"/>
                              </w:rPr>
                              <w:t>de</w:t>
                            </w:r>
                            <w:r>
                              <w:rPr>
                                <w:b/>
                                <w:bCs/>
                                <w:spacing w:val="-2"/>
                                <w:sz w:val="11"/>
                                <w:szCs w:val="11"/>
                              </w:rPr>
                              <w:t xml:space="preserve"> </w:t>
                            </w:r>
                            <w:r>
                              <w:rPr>
                                <w:b/>
                                <w:bCs/>
                                <w:sz w:val="11"/>
                                <w:szCs w:val="11"/>
                              </w:rPr>
                              <w:t>belastingrije</w:t>
                            </w:r>
                            <w:r>
                              <w:rPr>
                                <w:b/>
                                <w:bCs/>
                                <w:spacing w:val="-1"/>
                                <w:sz w:val="11"/>
                                <w:szCs w:val="11"/>
                              </w:rPr>
                              <w:t xml:space="preserve"> </w:t>
                            </w:r>
                            <w:r>
                              <w:rPr>
                                <w:b/>
                                <w:bCs/>
                                <w:sz w:val="11"/>
                                <w:szCs w:val="11"/>
                              </w:rPr>
                              <w:t>sommen</w:t>
                            </w:r>
                          </w:p>
                        </w:tc>
                      </w:tr>
                      <w:tr w:rsidR="0072767F" w14:paraId="05544EA3" w14:textId="77777777">
                        <w:trPr>
                          <w:trHeight w:val="128"/>
                        </w:trPr>
                        <w:tc>
                          <w:tcPr>
                            <w:tcW w:w="4711" w:type="dxa"/>
                            <w:tcBorders>
                              <w:top w:val="single" w:sz="8" w:space="0" w:color="000000"/>
                              <w:left w:val="single" w:sz="8" w:space="0" w:color="000000"/>
                              <w:bottom w:val="single" w:sz="8" w:space="0" w:color="000000"/>
                              <w:right w:val="single" w:sz="8" w:space="0" w:color="000000"/>
                            </w:tcBorders>
                            <w:shd w:val="clear" w:color="auto" w:fill="FF0000"/>
                          </w:tcPr>
                          <w:p w14:paraId="36375F6B" w14:textId="77777777" w:rsidR="0072767F" w:rsidRDefault="0072767F">
                            <w:pPr>
                              <w:pStyle w:val="TableParagraph"/>
                              <w:kinsoku w:val="0"/>
                              <w:overflowPunct w:val="0"/>
                              <w:ind w:left="521" w:right="483"/>
                              <w:rPr>
                                <w:b/>
                                <w:bCs/>
                                <w:sz w:val="11"/>
                                <w:szCs w:val="11"/>
                              </w:rPr>
                            </w:pPr>
                            <w:r>
                              <w:rPr>
                                <w:b/>
                                <w:bCs/>
                                <w:sz w:val="11"/>
                                <w:szCs w:val="11"/>
                              </w:rPr>
                              <w:t>Vermindering</w:t>
                            </w:r>
                            <w:r>
                              <w:rPr>
                                <w:b/>
                                <w:bCs/>
                                <w:spacing w:val="-4"/>
                                <w:sz w:val="11"/>
                                <w:szCs w:val="11"/>
                              </w:rPr>
                              <w:t xml:space="preserve"> </w:t>
                            </w:r>
                            <w:r>
                              <w:rPr>
                                <w:b/>
                                <w:bCs/>
                                <w:sz w:val="11"/>
                                <w:szCs w:val="11"/>
                              </w:rPr>
                              <w:t>voor</w:t>
                            </w:r>
                            <w:r>
                              <w:rPr>
                                <w:b/>
                                <w:bCs/>
                                <w:spacing w:val="-2"/>
                                <w:sz w:val="11"/>
                                <w:szCs w:val="11"/>
                              </w:rPr>
                              <w:t xml:space="preserve"> </w:t>
                            </w:r>
                            <w:r>
                              <w:rPr>
                                <w:b/>
                                <w:bCs/>
                                <w:sz w:val="11"/>
                                <w:szCs w:val="11"/>
                              </w:rPr>
                              <w:t>pensioen</w:t>
                            </w:r>
                            <w:r>
                              <w:rPr>
                                <w:b/>
                                <w:bCs/>
                                <w:spacing w:val="-2"/>
                                <w:sz w:val="11"/>
                                <w:szCs w:val="11"/>
                              </w:rPr>
                              <w:t xml:space="preserve"> </w:t>
                            </w:r>
                            <w:r>
                              <w:rPr>
                                <w:b/>
                                <w:bCs/>
                                <w:sz w:val="11"/>
                                <w:szCs w:val="11"/>
                              </w:rPr>
                              <w:t>en</w:t>
                            </w:r>
                            <w:r>
                              <w:rPr>
                                <w:b/>
                                <w:bCs/>
                                <w:spacing w:val="-3"/>
                                <w:sz w:val="11"/>
                                <w:szCs w:val="11"/>
                              </w:rPr>
                              <w:t xml:space="preserve"> </w:t>
                            </w:r>
                            <w:r>
                              <w:rPr>
                                <w:b/>
                                <w:bCs/>
                                <w:sz w:val="11"/>
                                <w:szCs w:val="11"/>
                              </w:rPr>
                              <w:t>vervangingsinkomsten</w:t>
                            </w:r>
                          </w:p>
                        </w:tc>
                      </w:tr>
                      <w:tr w:rsidR="0072767F" w14:paraId="18426073" w14:textId="77777777">
                        <w:trPr>
                          <w:trHeight w:val="128"/>
                        </w:trPr>
                        <w:tc>
                          <w:tcPr>
                            <w:tcW w:w="4711" w:type="dxa"/>
                            <w:tcBorders>
                              <w:top w:val="single" w:sz="8" w:space="0" w:color="000000"/>
                              <w:left w:val="single" w:sz="8" w:space="0" w:color="000000"/>
                              <w:bottom w:val="single" w:sz="8" w:space="0" w:color="000000"/>
                              <w:right w:val="single" w:sz="8" w:space="0" w:color="000000"/>
                            </w:tcBorders>
                          </w:tcPr>
                          <w:p w14:paraId="0E5970A0" w14:textId="77777777" w:rsidR="0072767F" w:rsidRDefault="0072767F">
                            <w:pPr>
                              <w:pStyle w:val="TableParagraph"/>
                              <w:kinsoku w:val="0"/>
                              <w:overflowPunct w:val="0"/>
                              <w:ind w:left="521" w:right="484"/>
                              <w:rPr>
                                <w:b/>
                                <w:bCs/>
                                <w:sz w:val="11"/>
                                <w:szCs w:val="11"/>
                              </w:rPr>
                            </w:pPr>
                            <w:r>
                              <w:rPr>
                                <w:b/>
                                <w:bCs/>
                                <w:sz w:val="11"/>
                                <w:szCs w:val="11"/>
                              </w:rPr>
                              <w:t>Hoofdsom</w:t>
                            </w:r>
                          </w:p>
                        </w:tc>
                      </w:tr>
                    </w:tbl>
                    <w:p w14:paraId="457AE9B4" w14:textId="77777777" w:rsidR="0072767F" w:rsidRDefault="0072767F" w:rsidP="00C2572E">
                      <w:pPr>
                        <w:pStyle w:val="Plattetekst"/>
                        <w:kinsoku w:val="0"/>
                        <w:overflowPunct w:val="0"/>
                        <w:rPr>
                          <w:rFonts w:ascii="Times New Roman" w:hAnsi="Times New Roman" w:cs="Times New Roman"/>
                          <w:b/>
                          <w:bCs/>
                          <w:sz w:val="24"/>
                          <w:szCs w:val="24"/>
                        </w:rPr>
                      </w:pPr>
                    </w:p>
                  </w:txbxContent>
                </v:textbox>
                <w10:anchorlock/>
              </v:shape>
            </w:pict>
          </mc:Fallback>
        </mc:AlternateContent>
      </w:r>
      <w:r w:rsidRPr="00B21FAC">
        <w:rPr>
          <w:rFonts w:ascii="Times New Roman" w:hAnsi="Times New Roman" w:cs="Times New Roman"/>
          <w:sz w:val="20"/>
          <w:szCs w:val="20"/>
        </w:rPr>
        <w:t xml:space="preserve"> </w:t>
      </w:r>
      <w:r w:rsidRPr="00B21FAC">
        <w:rPr>
          <w:rFonts w:ascii="Times New Roman" w:hAnsi="Times New Roman" w:cs="Times New Roman"/>
          <w:sz w:val="20"/>
          <w:szCs w:val="20"/>
        </w:rPr>
        <w:tab/>
      </w:r>
      <w:r w:rsidRPr="00B21FAC">
        <w:rPr>
          <w:rFonts w:ascii="Times New Roman" w:hAnsi="Times New Roman" w:cs="Times New Roman"/>
          <w:noProof/>
          <w:sz w:val="20"/>
          <w:szCs w:val="20"/>
        </w:rPr>
        <mc:AlternateContent>
          <mc:Choice Requires="wps">
            <w:drawing>
              <wp:inline distT="0" distB="0" distL="0" distR="0" wp14:anchorId="7874E0F4" wp14:editId="36E6F2CB">
                <wp:extent cx="2233930" cy="467995"/>
                <wp:effectExtent l="0" t="0" r="13970" b="27305"/>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467995"/>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DB4751" w14:textId="77777777" w:rsidR="0072767F" w:rsidRDefault="0072767F" w:rsidP="00C2572E">
                            <w:pPr>
                              <w:pStyle w:val="Plattetekst"/>
                              <w:kinsoku w:val="0"/>
                              <w:overflowPunct w:val="0"/>
                              <w:rPr>
                                <w:rFonts w:ascii="Times New Roman" w:hAnsi="Times New Roman" w:cs="Times New Roman"/>
                                <w:b/>
                                <w:bCs/>
                                <w:sz w:val="10"/>
                                <w:szCs w:val="10"/>
                              </w:rPr>
                            </w:pPr>
                          </w:p>
                          <w:p w14:paraId="0E4BA773" w14:textId="77777777" w:rsidR="0072767F" w:rsidRPr="004A5508" w:rsidRDefault="0072767F" w:rsidP="00C2572E">
                            <w:pPr>
                              <w:pStyle w:val="Plattetekst"/>
                              <w:kinsoku w:val="0"/>
                              <w:overflowPunct w:val="0"/>
                              <w:ind w:left="705"/>
                              <w:jc w:val="center"/>
                              <w:rPr>
                                <w:sz w:val="11"/>
                                <w:szCs w:val="11"/>
                              </w:rPr>
                            </w:pPr>
                            <w:r w:rsidRPr="004A5508">
                              <w:rPr>
                                <w:sz w:val="11"/>
                                <w:szCs w:val="11"/>
                              </w:rPr>
                              <w:t>Belasting</w:t>
                            </w:r>
                            <w:r w:rsidRPr="004A5508">
                              <w:rPr>
                                <w:spacing w:val="-4"/>
                                <w:sz w:val="11"/>
                                <w:szCs w:val="11"/>
                              </w:rPr>
                              <w:t xml:space="preserve"> </w:t>
                            </w:r>
                            <w:r w:rsidRPr="004A5508">
                              <w:rPr>
                                <w:sz w:val="11"/>
                                <w:szCs w:val="11"/>
                              </w:rPr>
                              <w:t>op</w:t>
                            </w:r>
                            <w:r w:rsidRPr="004A5508">
                              <w:rPr>
                                <w:spacing w:val="-3"/>
                                <w:sz w:val="11"/>
                                <w:szCs w:val="11"/>
                              </w:rPr>
                              <w:t xml:space="preserve"> </w:t>
                            </w:r>
                            <w:r w:rsidRPr="004A5508">
                              <w:rPr>
                                <w:sz w:val="11"/>
                                <w:szCs w:val="11"/>
                              </w:rPr>
                              <w:t>de</w:t>
                            </w:r>
                            <w:r w:rsidRPr="004A5508">
                              <w:rPr>
                                <w:spacing w:val="-2"/>
                                <w:sz w:val="11"/>
                                <w:szCs w:val="11"/>
                              </w:rPr>
                              <w:t xml:space="preserve"> </w:t>
                            </w:r>
                            <w:r w:rsidRPr="004A5508">
                              <w:rPr>
                                <w:sz w:val="11"/>
                                <w:szCs w:val="11"/>
                              </w:rPr>
                              <w:t>afzonderlijk</w:t>
                            </w:r>
                            <w:r w:rsidRPr="004A5508">
                              <w:rPr>
                                <w:spacing w:val="-2"/>
                                <w:sz w:val="11"/>
                                <w:szCs w:val="11"/>
                              </w:rPr>
                              <w:t xml:space="preserve"> </w:t>
                            </w:r>
                            <w:r w:rsidRPr="004A5508">
                              <w:rPr>
                                <w:sz w:val="11"/>
                                <w:szCs w:val="11"/>
                              </w:rPr>
                              <w:t>belaste</w:t>
                            </w:r>
                            <w:r w:rsidRPr="004A5508">
                              <w:rPr>
                                <w:spacing w:val="-2"/>
                                <w:sz w:val="11"/>
                                <w:szCs w:val="11"/>
                              </w:rPr>
                              <w:t xml:space="preserve"> </w:t>
                            </w:r>
                            <w:r w:rsidRPr="004A5508">
                              <w:rPr>
                                <w:sz w:val="11"/>
                                <w:szCs w:val="11"/>
                              </w:rPr>
                              <w:t>inkomsten</w:t>
                            </w:r>
                          </w:p>
                        </w:txbxContent>
                      </wps:txbx>
                      <wps:bodyPr rot="0" vert="horz" wrap="square" lIns="0" tIns="0" rIns="0" bIns="0" anchor="t" anchorCtr="0" upright="1">
                        <a:noAutofit/>
                      </wps:bodyPr>
                    </wps:wsp>
                  </a:graphicData>
                </a:graphic>
              </wp:inline>
            </w:drawing>
          </mc:Choice>
          <mc:Fallback xmlns:w16sdtdh="http://schemas.microsoft.com/office/word/2020/wordml/sdtdatahash" xmlns:oel="http://schemas.microsoft.com/office/2019/extlst">
            <w:pict>
              <v:shape w14:anchorId="7874E0F4" id="Tekstvak 26" o:spid="_x0000_s1027" type="#_x0000_t202" style="width:175.9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" filled="f" strokeweight=".96pt">
                <v:textbox inset="0,0,0,0">
                  <w:txbxContent>
                    <w:p w14:paraId="03DB4751" w14:textId="77777777" w:rsidR="0072767F" w:rsidRDefault="0072767F" w:rsidP="00C2572E">
                      <w:pPr>
                        <w:pStyle w:val="Plattetekst"/>
                        <w:kinsoku w:val="0"/>
                        <w:overflowPunct w:val="0"/>
                        <w:rPr>
                          <w:rFonts w:ascii="Times New Roman" w:hAnsi="Times New Roman" w:cs="Times New Roman"/>
                          <w:b/>
                          <w:bCs/>
                          <w:sz w:val="10"/>
                          <w:szCs w:val="10"/>
                        </w:rPr>
                      </w:pPr>
                    </w:p>
                    <w:p w14:paraId="0E4BA773" w14:textId="77777777" w:rsidR="0072767F" w:rsidRPr="004A5508" w:rsidRDefault="0072767F" w:rsidP="00C2572E">
                      <w:pPr>
                        <w:pStyle w:val="Plattetekst"/>
                        <w:kinsoku w:val="0"/>
                        <w:overflowPunct w:val="0"/>
                        <w:ind w:left="705"/>
                        <w:jc w:val="center"/>
                        <w:rPr>
                          <w:sz w:val="11"/>
                          <w:szCs w:val="11"/>
                        </w:rPr>
                      </w:pPr>
                      <w:r w:rsidRPr="004A5508">
                        <w:rPr>
                          <w:sz w:val="11"/>
                          <w:szCs w:val="11"/>
                        </w:rPr>
                        <w:t>Belasting</w:t>
                      </w:r>
                      <w:r w:rsidRPr="004A5508">
                        <w:rPr>
                          <w:spacing w:val="-4"/>
                          <w:sz w:val="11"/>
                          <w:szCs w:val="11"/>
                        </w:rPr>
                        <w:t xml:space="preserve"> </w:t>
                      </w:r>
                      <w:r w:rsidRPr="004A5508">
                        <w:rPr>
                          <w:sz w:val="11"/>
                          <w:szCs w:val="11"/>
                        </w:rPr>
                        <w:t>op</w:t>
                      </w:r>
                      <w:r w:rsidRPr="004A5508">
                        <w:rPr>
                          <w:spacing w:val="-3"/>
                          <w:sz w:val="11"/>
                          <w:szCs w:val="11"/>
                        </w:rPr>
                        <w:t xml:space="preserve"> </w:t>
                      </w:r>
                      <w:r w:rsidRPr="004A5508">
                        <w:rPr>
                          <w:sz w:val="11"/>
                          <w:szCs w:val="11"/>
                        </w:rPr>
                        <w:t>de</w:t>
                      </w:r>
                      <w:r w:rsidRPr="004A5508">
                        <w:rPr>
                          <w:spacing w:val="-2"/>
                          <w:sz w:val="11"/>
                          <w:szCs w:val="11"/>
                        </w:rPr>
                        <w:t xml:space="preserve"> </w:t>
                      </w:r>
                      <w:r w:rsidRPr="004A5508">
                        <w:rPr>
                          <w:sz w:val="11"/>
                          <w:szCs w:val="11"/>
                        </w:rPr>
                        <w:t>afzonderlijk</w:t>
                      </w:r>
                      <w:r w:rsidRPr="004A5508">
                        <w:rPr>
                          <w:spacing w:val="-2"/>
                          <w:sz w:val="11"/>
                          <w:szCs w:val="11"/>
                        </w:rPr>
                        <w:t xml:space="preserve"> </w:t>
                      </w:r>
                      <w:r w:rsidRPr="004A5508">
                        <w:rPr>
                          <w:sz w:val="11"/>
                          <w:szCs w:val="11"/>
                        </w:rPr>
                        <w:t>belaste</w:t>
                      </w:r>
                      <w:r w:rsidRPr="004A5508">
                        <w:rPr>
                          <w:spacing w:val="-2"/>
                          <w:sz w:val="11"/>
                          <w:szCs w:val="11"/>
                        </w:rPr>
                        <w:t xml:space="preserve"> </w:t>
                      </w:r>
                      <w:r w:rsidRPr="004A5508">
                        <w:rPr>
                          <w:sz w:val="11"/>
                          <w:szCs w:val="11"/>
                        </w:rPr>
                        <w:t>inkomsten</w:t>
                      </w:r>
                    </w:p>
                  </w:txbxContent>
                </v:textbox>
                <w10:anchorlock/>
              </v:shape>
            </w:pict>
          </mc:Fallback>
        </mc:AlternateContent>
      </w:r>
    </w:p>
    <w:p w14:paraId="1FCDE109" w14:textId="77777777" w:rsidR="00C2572E" w:rsidRPr="00B21FAC" w:rsidRDefault="00C2572E" w:rsidP="00BA7E3E">
      <w:pPr>
        <w:kinsoku w:val="0"/>
        <w:overflowPunct w:val="0"/>
        <w:autoSpaceDE w:val="0"/>
        <w:autoSpaceDN w:val="0"/>
        <w:adjustRightInd w:val="0"/>
        <w:spacing w:before="1" w:after="0"/>
        <w:rPr>
          <w:rFonts w:ascii="Times New Roman" w:hAnsi="Times New Roman" w:cs="Times New Roman"/>
          <w:sz w:val="9"/>
          <w:szCs w:val="9"/>
        </w:rPr>
      </w:pPr>
    </w:p>
    <w:p w14:paraId="383ED549" w14:textId="77777777" w:rsidR="00C2572E" w:rsidRPr="00B21FAC" w:rsidRDefault="00C2572E" w:rsidP="00BA7E3E">
      <w:pPr>
        <w:kinsoku w:val="0"/>
        <w:overflowPunct w:val="0"/>
        <w:autoSpaceDE w:val="0"/>
        <w:autoSpaceDN w:val="0"/>
        <w:adjustRightInd w:val="0"/>
        <w:spacing w:after="0"/>
        <w:ind w:left="107"/>
        <w:rPr>
          <w:rFonts w:ascii="Times New Roman" w:hAnsi="Times New Roman" w:cs="Times New Roman"/>
          <w:position w:val="-3"/>
          <w:sz w:val="16"/>
          <w:szCs w:val="16"/>
        </w:rPr>
      </w:pPr>
      <w:r w:rsidRPr="00B21FAC">
        <w:rPr>
          <w:rFonts w:ascii="Times New Roman" w:hAnsi="Times New Roman" w:cs="Times New Roman"/>
          <w:noProof/>
          <w:position w:val="-3"/>
          <w:sz w:val="16"/>
          <w:szCs w:val="16"/>
        </w:rPr>
        <mc:AlternateContent>
          <mc:Choice Requires="wps">
            <w:drawing>
              <wp:inline distT="0" distB="0" distL="0" distR="0" wp14:anchorId="54FD1CDA" wp14:editId="0D48BF80">
                <wp:extent cx="5537200" cy="158115"/>
                <wp:effectExtent l="0" t="0" r="25400" b="13335"/>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158115"/>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71D228" w14:textId="77777777" w:rsidR="0072767F" w:rsidRPr="004A5508" w:rsidRDefault="0072767F" w:rsidP="00C2572E">
                            <w:pPr>
                              <w:pStyle w:val="Plattetekst"/>
                              <w:kinsoku w:val="0"/>
                              <w:overflowPunct w:val="0"/>
                              <w:spacing w:line="121" w:lineRule="exact"/>
                              <w:ind w:left="2533" w:right="2517"/>
                              <w:jc w:val="center"/>
                              <w:rPr>
                                <w:sz w:val="11"/>
                                <w:szCs w:val="11"/>
                              </w:rPr>
                            </w:pPr>
                            <w:r w:rsidRPr="004A5508">
                              <w:rPr>
                                <w:sz w:val="11"/>
                                <w:szCs w:val="11"/>
                              </w:rPr>
                              <w:t>Totale</w:t>
                            </w:r>
                            <w:r w:rsidRPr="004A5508">
                              <w:rPr>
                                <w:spacing w:val="-2"/>
                                <w:sz w:val="11"/>
                                <w:szCs w:val="11"/>
                              </w:rPr>
                              <w:t xml:space="preserve"> </w:t>
                            </w:r>
                            <w:r w:rsidRPr="004A5508">
                              <w:rPr>
                                <w:sz w:val="11"/>
                                <w:szCs w:val="11"/>
                              </w:rPr>
                              <w:t>hoofdsom</w:t>
                            </w:r>
                            <w:r w:rsidRPr="004A5508">
                              <w:rPr>
                                <w:spacing w:val="-1"/>
                                <w:sz w:val="11"/>
                                <w:szCs w:val="11"/>
                              </w:rPr>
                              <w:t xml:space="preserve"> </w:t>
                            </w:r>
                            <w:r w:rsidRPr="004A5508">
                              <w:rPr>
                                <w:sz w:val="11"/>
                                <w:szCs w:val="11"/>
                              </w:rPr>
                              <w:t>(hoofdsom</w:t>
                            </w:r>
                            <w:r w:rsidRPr="004A5508">
                              <w:rPr>
                                <w:spacing w:val="-2"/>
                                <w:sz w:val="11"/>
                                <w:szCs w:val="11"/>
                              </w:rPr>
                              <w:t xml:space="preserve"> </w:t>
                            </w:r>
                            <w:r w:rsidRPr="004A5508">
                              <w:rPr>
                                <w:sz w:val="11"/>
                                <w:szCs w:val="11"/>
                              </w:rPr>
                              <w:t>+</w:t>
                            </w:r>
                            <w:r w:rsidRPr="004A5508">
                              <w:rPr>
                                <w:spacing w:val="-2"/>
                                <w:sz w:val="11"/>
                                <w:szCs w:val="11"/>
                              </w:rPr>
                              <w:t xml:space="preserve"> </w:t>
                            </w:r>
                            <w:r w:rsidRPr="004A5508">
                              <w:rPr>
                                <w:sz w:val="11"/>
                                <w:szCs w:val="11"/>
                              </w:rPr>
                              <w:t>belasting</w:t>
                            </w:r>
                            <w:r w:rsidRPr="004A5508">
                              <w:rPr>
                                <w:spacing w:val="-2"/>
                                <w:sz w:val="11"/>
                                <w:szCs w:val="11"/>
                              </w:rPr>
                              <w:t xml:space="preserve"> </w:t>
                            </w:r>
                            <w:r w:rsidRPr="004A5508">
                              <w:rPr>
                                <w:sz w:val="11"/>
                                <w:szCs w:val="11"/>
                              </w:rPr>
                              <w:t>op</w:t>
                            </w:r>
                            <w:r w:rsidRPr="004A5508">
                              <w:rPr>
                                <w:spacing w:val="-2"/>
                                <w:sz w:val="11"/>
                                <w:szCs w:val="11"/>
                              </w:rPr>
                              <w:t xml:space="preserve"> </w:t>
                            </w:r>
                            <w:r w:rsidRPr="004A5508">
                              <w:rPr>
                                <w:sz w:val="11"/>
                                <w:szCs w:val="11"/>
                              </w:rPr>
                              <w:t>de</w:t>
                            </w:r>
                            <w:r w:rsidRPr="004A5508">
                              <w:rPr>
                                <w:spacing w:val="-1"/>
                                <w:sz w:val="11"/>
                                <w:szCs w:val="11"/>
                              </w:rPr>
                              <w:t xml:space="preserve"> </w:t>
                            </w:r>
                            <w:r w:rsidRPr="004A5508">
                              <w:rPr>
                                <w:sz w:val="11"/>
                                <w:szCs w:val="11"/>
                              </w:rPr>
                              <w:t>afzonderlijke belaste</w:t>
                            </w:r>
                            <w:r w:rsidRPr="004A5508">
                              <w:rPr>
                                <w:spacing w:val="-1"/>
                                <w:sz w:val="11"/>
                                <w:szCs w:val="11"/>
                              </w:rPr>
                              <w:t xml:space="preserve"> </w:t>
                            </w:r>
                            <w:r w:rsidRPr="004A5508">
                              <w:rPr>
                                <w:sz w:val="11"/>
                                <w:szCs w:val="11"/>
                              </w:rPr>
                              <w:t>inkomsten)</w:t>
                            </w:r>
                          </w:p>
                        </w:txbxContent>
                      </wps:txbx>
                      <wps:bodyPr rot="0" vert="horz" wrap="square" lIns="0" tIns="0" rIns="0" bIns="0" anchor="t" anchorCtr="0" upright="1">
                        <a:noAutofit/>
                      </wps:bodyPr>
                    </wps:wsp>
                  </a:graphicData>
                </a:graphic>
              </wp:inline>
            </w:drawing>
          </mc:Choice>
          <mc:Fallback xmlns:w16sdtdh="http://schemas.microsoft.com/office/word/2020/wordml/sdtdatahash" xmlns:oel="http://schemas.microsoft.com/office/2019/extlst">
            <w:pict>
              <v:shape w14:anchorId="54FD1CDA" id="Tekstvak 25" o:spid="_x0000_s1028" type="#_x0000_t202" style="width:436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" filled="f" strokeweight=".96pt">
                <v:textbox inset="0,0,0,0">
                  <w:txbxContent>
                    <w:p w14:paraId="1471D228" w14:textId="77777777" w:rsidR="0072767F" w:rsidRPr="004A5508" w:rsidRDefault="0072767F" w:rsidP="00C2572E">
                      <w:pPr>
                        <w:pStyle w:val="Plattetekst"/>
                        <w:kinsoku w:val="0"/>
                        <w:overflowPunct w:val="0"/>
                        <w:spacing w:line="121" w:lineRule="exact"/>
                        <w:ind w:left="2533" w:right="2517"/>
                        <w:jc w:val="center"/>
                        <w:rPr>
                          <w:sz w:val="11"/>
                          <w:szCs w:val="11"/>
                        </w:rPr>
                      </w:pPr>
                      <w:r w:rsidRPr="004A5508">
                        <w:rPr>
                          <w:sz w:val="11"/>
                          <w:szCs w:val="11"/>
                        </w:rPr>
                        <w:t>Totale</w:t>
                      </w:r>
                      <w:r w:rsidRPr="004A5508">
                        <w:rPr>
                          <w:spacing w:val="-2"/>
                          <w:sz w:val="11"/>
                          <w:szCs w:val="11"/>
                        </w:rPr>
                        <w:t xml:space="preserve"> </w:t>
                      </w:r>
                      <w:r w:rsidRPr="004A5508">
                        <w:rPr>
                          <w:sz w:val="11"/>
                          <w:szCs w:val="11"/>
                        </w:rPr>
                        <w:t>hoofdsom</w:t>
                      </w:r>
                      <w:r w:rsidRPr="004A5508">
                        <w:rPr>
                          <w:spacing w:val="-1"/>
                          <w:sz w:val="11"/>
                          <w:szCs w:val="11"/>
                        </w:rPr>
                        <w:t xml:space="preserve"> </w:t>
                      </w:r>
                      <w:r w:rsidRPr="004A5508">
                        <w:rPr>
                          <w:sz w:val="11"/>
                          <w:szCs w:val="11"/>
                        </w:rPr>
                        <w:t>(hoofdsom</w:t>
                      </w:r>
                      <w:r w:rsidRPr="004A5508">
                        <w:rPr>
                          <w:spacing w:val="-2"/>
                          <w:sz w:val="11"/>
                          <w:szCs w:val="11"/>
                        </w:rPr>
                        <w:t xml:space="preserve"> </w:t>
                      </w:r>
                      <w:r w:rsidRPr="004A5508">
                        <w:rPr>
                          <w:sz w:val="11"/>
                          <w:szCs w:val="11"/>
                        </w:rPr>
                        <w:t>+</w:t>
                      </w:r>
                      <w:r w:rsidRPr="004A5508">
                        <w:rPr>
                          <w:spacing w:val="-2"/>
                          <w:sz w:val="11"/>
                          <w:szCs w:val="11"/>
                        </w:rPr>
                        <w:t xml:space="preserve"> </w:t>
                      </w:r>
                      <w:r w:rsidRPr="004A5508">
                        <w:rPr>
                          <w:sz w:val="11"/>
                          <w:szCs w:val="11"/>
                        </w:rPr>
                        <w:t>belasting</w:t>
                      </w:r>
                      <w:r w:rsidRPr="004A5508">
                        <w:rPr>
                          <w:spacing w:val="-2"/>
                          <w:sz w:val="11"/>
                          <w:szCs w:val="11"/>
                        </w:rPr>
                        <w:t xml:space="preserve"> </w:t>
                      </w:r>
                      <w:r w:rsidRPr="004A5508">
                        <w:rPr>
                          <w:sz w:val="11"/>
                          <w:szCs w:val="11"/>
                        </w:rPr>
                        <w:t>op</w:t>
                      </w:r>
                      <w:r w:rsidRPr="004A5508">
                        <w:rPr>
                          <w:spacing w:val="-2"/>
                          <w:sz w:val="11"/>
                          <w:szCs w:val="11"/>
                        </w:rPr>
                        <w:t xml:space="preserve"> </w:t>
                      </w:r>
                      <w:r w:rsidRPr="004A5508">
                        <w:rPr>
                          <w:sz w:val="11"/>
                          <w:szCs w:val="11"/>
                        </w:rPr>
                        <w:t>de</w:t>
                      </w:r>
                      <w:r w:rsidRPr="004A5508">
                        <w:rPr>
                          <w:spacing w:val="-1"/>
                          <w:sz w:val="11"/>
                          <w:szCs w:val="11"/>
                        </w:rPr>
                        <w:t xml:space="preserve"> </w:t>
                      </w:r>
                      <w:r w:rsidRPr="004A5508">
                        <w:rPr>
                          <w:sz w:val="11"/>
                          <w:szCs w:val="11"/>
                        </w:rPr>
                        <w:t>afzonderlijke belaste</w:t>
                      </w:r>
                      <w:r w:rsidRPr="004A5508">
                        <w:rPr>
                          <w:spacing w:val="-1"/>
                          <w:sz w:val="11"/>
                          <w:szCs w:val="11"/>
                        </w:rPr>
                        <w:t xml:space="preserve"> </w:t>
                      </w:r>
                      <w:r w:rsidRPr="004A5508">
                        <w:rPr>
                          <w:sz w:val="11"/>
                          <w:szCs w:val="11"/>
                        </w:rPr>
                        <w:t>inkomsten)</w:t>
                      </w:r>
                    </w:p>
                  </w:txbxContent>
                </v:textbox>
                <w10:anchorlock/>
              </v:shape>
            </w:pict>
          </mc:Fallback>
        </mc:AlternateContent>
      </w:r>
    </w:p>
    <w:p w14:paraId="5D892224" w14:textId="77777777" w:rsidR="00C2572E" w:rsidRPr="00B21FAC" w:rsidRDefault="00C2572E" w:rsidP="00BA7E3E">
      <w:pPr>
        <w:kinsoku w:val="0"/>
        <w:overflowPunct w:val="0"/>
        <w:autoSpaceDE w:val="0"/>
        <w:autoSpaceDN w:val="0"/>
        <w:adjustRightInd w:val="0"/>
        <w:spacing w:after="0"/>
        <w:ind w:left="107"/>
        <w:rPr>
          <w:rFonts w:ascii="Times New Roman" w:hAnsi="Times New Roman" w:cs="Times New Roman"/>
          <w:position w:val="-3"/>
          <w:sz w:val="16"/>
          <w:szCs w:val="16"/>
        </w:rPr>
      </w:pPr>
    </w:p>
    <w:tbl>
      <w:tblPr>
        <w:tblpPr w:leftFromText="141" w:rightFromText="141" w:vertAnchor="text" w:horzAnchor="margin" w:tblpXSpec="right" w:tblpY="1"/>
        <w:tblW w:w="2809" w:type="dxa"/>
        <w:tblCellMar>
          <w:left w:w="70" w:type="dxa"/>
          <w:right w:w="70" w:type="dxa"/>
        </w:tblCellMar>
        <w:tblLook w:val="04A0" w:firstRow="1" w:lastRow="0" w:firstColumn="1" w:lastColumn="0" w:noHBand="0" w:noVBand="1"/>
      </w:tblPr>
      <w:tblGrid>
        <w:gridCol w:w="995"/>
        <w:gridCol w:w="762"/>
        <w:gridCol w:w="446"/>
        <w:gridCol w:w="349"/>
        <w:gridCol w:w="97"/>
        <w:gridCol w:w="160"/>
      </w:tblGrid>
      <w:tr w:rsidR="00C2572E" w:rsidRPr="00B21FAC" w14:paraId="7BDF51A2" w14:textId="77777777" w:rsidTr="00FB3500">
        <w:trPr>
          <w:trHeight w:val="44"/>
        </w:trPr>
        <w:tc>
          <w:tcPr>
            <w:tcW w:w="995" w:type="dxa"/>
            <w:tcBorders>
              <w:top w:val="nil"/>
              <w:left w:val="nil"/>
              <w:bottom w:val="nil"/>
              <w:right w:val="nil"/>
            </w:tcBorders>
            <w:shd w:val="clear" w:color="auto" w:fill="auto"/>
            <w:noWrap/>
            <w:vAlign w:val="bottom"/>
            <w:hideMark/>
          </w:tcPr>
          <w:p w14:paraId="70EFAA00" w14:textId="77777777" w:rsidR="00C2572E" w:rsidRPr="00B21FAC" w:rsidRDefault="00C2572E" w:rsidP="00BA7E3E">
            <w:pPr>
              <w:spacing w:after="0"/>
              <w:rPr>
                <w:rFonts w:ascii="Times New Roman" w:eastAsia="Times New Roman" w:hAnsi="Times New Roman" w:cs="Times New Roman"/>
                <w:sz w:val="24"/>
                <w:szCs w:val="24"/>
                <w:lang w:eastAsia="nl-BE"/>
              </w:rPr>
            </w:pPr>
          </w:p>
        </w:tc>
        <w:tc>
          <w:tcPr>
            <w:tcW w:w="762" w:type="dxa"/>
            <w:tcBorders>
              <w:top w:val="nil"/>
              <w:left w:val="nil"/>
              <w:bottom w:val="nil"/>
              <w:right w:val="nil"/>
            </w:tcBorders>
            <w:shd w:val="clear" w:color="auto" w:fill="auto"/>
            <w:noWrap/>
            <w:vAlign w:val="bottom"/>
            <w:hideMark/>
          </w:tcPr>
          <w:p w14:paraId="3559A38F" w14:textId="77777777" w:rsidR="00C2572E" w:rsidRPr="00B21FAC" w:rsidRDefault="00C2572E" w:rsidP="00BA7E3E">
            <w:pPr>
              <w:spacing w:after="0"/>
              <w:rPr>
                <w:rFonts w:ascii="Times New Roman" w:eastAsia="Times New Roman" w:hAnsi="Times New Roman" w:cs="Times New Roman"/>
                <w:sz w:val="20"/>
                <w:szCs w:val="20"/>
                <w:lang w:eastAsia="nl-BE"/>
              </w:rPr>
            </w:pPr>
          </w:p>
        </w:tc>
        <w:tc>
          <w:tcPr>
            <w:tcW w:w="446" w:type="dxa"/>
            <w:tcBorders>
              <w:top w:val="nil"/>
              <w:left w:val="nil"/>
              <w:bottom w:val="nil"/>
              <w:right w:val="nil"/>
            </w:tcBorders>
            <w:shd w:val="clear" w:color="auto" w:fill="auto"/>
            <w:noWrap/>
            <w:vAlign w:val="bottom"/>
            <w:hideMark/>
          </w:tcPr>
          <w:p w14:paraId="4AE46B9B" w14:textId="77777777" w:rsidR="00C2572E" w:rsidRPr="00B21FAC" w:rsidRDefault="00C2572E" w:rsidP="00BA7E3E">
            <w:pPr>
              <w:spacing w:after="0"/>
              <w:rPr>
                <w:rFonts w:ascii="Times New Roman" w:eastAsia="Times New Roman" w:hAnsi="Times New Roman" w:cs="Times New Roman"/>
                <w:sz w:val="20"/>
                <w:szCs w:val="20"/>
                <w:lang w:eastAsia="nl-BE"/>
              </w:rPr>
            </w:pPr>
          </w:p>
        </w:tc>
        <w:tc>
          <w:tcPr>
            <w:tcW w:w="446" w:type="dxa"/>
            <w:gridSpan w:val="2"/>
            <w:tcBorders>
              <w:top w:val="nil"/>
              <w:left w:val="nil"/>
              <w:bottom w:val="nil"/>
              <w:right w:val="nil"/>
            </w:tcBorders>
            <w:shd w:val="clear" w:color="auto" w:fill="auto"/>
            <w:noWrap/>
            <w:vAlign w:val="bottom"/>
            <w:hideMark/>
          </w:tcPr>
          <w:p w14:paraId="3800FE2A" w14:textId="77777777" w:rsidR="00C2572E" w:rsidRPr="00B21FAC" w:rsidRDefault="00C2572E" w:rsidP="00BA7E3E">
            <w:pPr>
              <w:spacing w:after="0"/>
              <w:rPr>
                <w:rFonts w:ascii="Times New Roman" w:eastAsia="Times New Roman" w:hAnsi="Times New Roman" w:cs="Times New Roman"/>
                <w:sz w:val="20"/>
                <w:szCs w:val="20"/>
                <w:lang w:eastAsia="nl-BE"/>
              </w:rPr>
            </w:pPr>
          </w:p>
        </w:tc>
        <w:tc>
          <w:tcPr>
            <w:tcW w:w="160" w:type="dxa"/>
            <w:tcBorders>
              <w:top w:val="nil"/>
              <w:left w:val="nil"/>
              <w:bottom w:val="nil"/>
              <w:right w:val="nil"/>
            </w:tcBorders>
            <w:shd w:val="clear" w:color="auto" w:fill="auto"/>
            <w:noWrap/>
            <w:vAlign w:val="bottom"/>
            <w:hideMark/>
          </w:tcPr>
          <w:p w14:paraId="19235778" w14:textId="77777777" w:rsidR="00C2572E" w:rsidRPr="00B21FAC" w:rsidRDefault="00C2572E" w:rsidP="00BA7E3E">
            <w:pPr>
              <w:spacing w:after="0"/>
              <w:rPr>
                <w:rFonts w:ascii="Times New Roman" w:eastAsia="Times New Roman" w:hAnsi="Times New Roman" w:cs="Times New Roman"/>
                <w:sz w:val="20"/>
                <w:szCs w:val="20"/>
                <w:lang w:eastAsia="nl-BE"/>
              </w:rPr>
            </w:pPr>
          </w:p>
        </w:tc>
      </w:tr>
      <w:tr w:rsidR="00C2572E" w:rsidRPr="00B21FAC" w14:paraId="110AC60B" w14:textId="77777777" w:rsidTr="00FB3500">
        <w:trPr>
          <w:gridAfter w:val="2"/>
          <w:wAfter w:w="257" w:type="dxa"/>
          <w:trHeight w:val="44"/>
        </w:trPr>
        <w:tc>
          <w:tcPr>
            <w:tcW w:w="2552" w:type="dxa"/>
            <w:gridSpan w:val="4"/>
            <w:tcBorders>
              <w:top w:val="nil"/>
              <w:left w:val="single" w:sz="8" w:space="0" w:color="auto"/>
              <w:bottom w:val="nil"/>
              <w:right w:val="nil"/>
            </w:tcBorders>
            <w:shd w:val="clear" w:color="000000" w:fill="806000"/>
            <w:noWrap/>
            <w:vAlign w:val="bottom"/>
            <w:hideMark/>
          </w:tcPr>
          <w:p w14:paraId="414BB926"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r w:rsidRPr="00B21FAC">
              <w:rPr>
                <w:rFonts w:asciiTheme="majorHAnsi" w:eastAsia="Times New Roman" w:hAnsiTheme="majorHAnsi" w:cstheme="majorHAnsi"/>
                <w:b/>
                <w:bCs/>
                <w:color w:val="000000"/>
                <w:sz w:val="11"/>
                <w:szCs w:val="11"/>
                <w:lang w:eastAsia="nl-BE"/>
              </w:rPr>
              <w:t>BTW</w:t>
            </w:r>
          </w:p>
        </w:tc>
      </w:tr>
      <w:tr w:rsidR="00C2572E" w:rsidRPr="00B21FAC" w14:paraId="41F4F37B" w14:textId="77777777" w:rsidTr="00FB3500">
        <w:trPr>
          <w:trHeight w:val="60"/>
        </w:trPr>
        <w:tc>
          <w:tcPr>
            <w:tcW w:w="995" w:type="dxa"/>
            <w:tcBorders>
              <w:top w:val="nil"/>
              <w:left w:val="nil"/>
              <w:bottom w:val="nil"/>
              <w:right w:val="nil"/>
            </w:tcBorders>
            <w:shd w:val="clear" w:color="auto" w:fill="auto"/>
            <w:noWrap/>
            <w:vAlign w:val="bottom"/>
            <w:hideMark/>
          </w:tcPr>
          <w:p w14:paraId="655C424D"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1F68678E"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0359756D"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19FA8AFA"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3BB24B06" w14:textId="77777777" w:rsidR="00C2572E" w:rsidRPr="00B21FAC" w:rsidRDefault="00C2572E" w:rsidP="00BA7E3E">
            <w:pPr>
              <w:spacing w:after="0"/>
              <w:rPr>
                <w:rFonts w:asciiTheme="majorHAnsi" w:eastAsia="Times New Roman" w:hAnsiTheme="majorHAnsi" w:cstheme="majorHAnsi"/>
                <w:sz w:val="11"/>
                <w:szCs w:val="11"/>
                <w:lang w:eastAsia="nl-BE"/>
              </w:rPr>
            </w:pPr>
          </w:p>
        </w:tc>
      </w:tr>
      <w:tr w:rsidR="00C2572E" w:rsidRPr="00B21FAC" w14:paraId="06D6C5A4" w14:textId="77777777" w:rsidTr="00FB3500">
        <w:trPr>
          <w:gridAfter w:val="2"/>
          <w:wAfter w:w="257" w:type="dxa"/>
          <w:trHeight w:val="44"/>
        </w:trPr>
        <w:tc>
          <w:tcPr>
            <w:tcW w:w="2552" w:type="dxa"/>
            <w:gridSpan w:val="4"/>
            <w:tcBorders>
              <w:top w:val="nil"/>
              <w:left w:val="nil"/>
              <w:bottom w:val="nil"/>
              <w:right w:val="nil"/>
            </w:tcBorders>
            <w:shd w:val="clear" w:color="000000" w:fill="806000"/>
            <w:noWrap/>
            <w:vAlign w:val="bottom"/>
            <w:hideMark/>
          </w:tcPr>
          <w:p w14:paraId="6D2D8867"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r w:rsidRPr="00B21FAC">
              <w:rPr>
                <w:rFonts w:asciiTheme="majorHAnsi" w:eastAsia="Times New Roman" w:hAnsiTheme="majorHAnsi" w:cstheme="majorHAnsi"/>
                <w:b/>
                <w:bCs/>
                <w:color w:val="000000"/>
                <w:sz w:val="11"/>
                <w:szCs w:val="11"/>
                <w:lang w:eastAsia="nl-BE"/>
              </w:rPr>
              <w:t>ACIJNZEN</w:t>
            </w:r>
          </w:p>
        </w:tc>
      </w:tr>
      <w:tr w:rsidR="00C2572E" w:rsidRPr="00B21FAC" w14:paraId="0B250505" w14:textId="77777777" w:rsidTr="00FB3500">
        <w:trPr>
          <w:trHeight w:val="44"/>
        </w:trPr>
        <w:tc>
          <w:tcPr>
            <w:tcW w:w="995" w:type="dxa"/>
            <w:tcBorders>
              <w:top w:val="nil"/>
              <w:left w:val="nil"/>
              <w:bottom w:val="nil"/>
              <w:right w:val="nil"/>
            </w:tcBorders>
            <w:shd w:val="clear" w:color="auto" w:fill="auto"/>
            <w:noWrap/>
            <w:vAlign w:val="bottom"/>
            <w:hideMark/>
          </w:tcPr>
          <w:p w14:paraId="7868DF8B"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6A54D5D3"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539BE315"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1E6377E5"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68FB48CE" w14:textId="77777777" w:rsidR="00C2572E" w:rsidRPr="00B21FAC" w:rsidRDefault="00C2572E" w:rsidP="00BA7E3E">
            <w:pPr>
              <w:spacing w:after="0"/>
              <w:rPr>
                <w:rFonts w:asciiTheme="majorHAnsi" w:eastAsia="Times New Roman" w:hAnsiTheme="majorHAnsi" w:cstheme="majorHAnsi"/>
                <w:sz w:val="11"/>
                <w:szCs w:val="11"/>
                <w:lang w:eastAsia="nl-BE"/>
              </w:rPr>
            </w:pPr>
          </w:p>
        </w:tc>
      </w:tr>
      <w:tr w:rsidR="00C2572E" w:rsidRPr="00B21FAC" w14:paraId="3D224AAE" w14:textId="77777777" w:rsidTr="00FB3500">
        <w:trPr>
          <w:gridAfter w:val="2"/>
          <w:wAfter w:w="257" w:type="dxa"/>
          <w:trHeight w:val="44"/>
        </w:trPr>
        <w:tc>
          <w:tcPr>
            <w:tcW w:w="2552" w:type="dxa"/>
            <w:gridSpan w:val="4"/>
            <w:tcBorders>
              <w:top w:val="nil"/>
              <w:left w:val="single" w:sz="8" w:space="0" w:color="auto"/>
              <w:bottom w:val="nil"/>
              <w:right w:val="nil"/>
            </w:tcBorders>
            <w:shd w:val="clear" w:color="000000" w:fill="806000"/>
            <w:noWrap/>
            <w:vAlign w:val="bottom"/>
            <w:hideMark/>
          </w:tcPr>
          <w:p w14:paraId="263E3FCC"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r w:rsidRPr="00B21FAC">
              <w:rPr>
                <w:rFonts w:asciiTheme="majorHAnsi" w:eastAsia="Times New Roman" w:hAnsiTheme="majorHAnsi" w:cstheme="majorHAnsi"/>
                <w:b/>
                <w:bCs/>
                <w:color w:val="000000"/>
                <w:sz w:val="11"/>
                <w:szCs w:val="11"/>
                <w:lang w:eastAsia="nl-BE"/>
              </w:rPr>
              <w:t>MILIEUHEFFINGEN</w:t>
            </w:r>
          </w:p>
        </w:tc>
      </w:tr>
      <w:tr w:rsidR="00C2572E" w:rsidRPr="00B21FAC" w14:paraId="44F2653F" w14:textId="77777777" w:rsidTr="00FB3500">
        <w:trPr>
          <w:trHeight w:val="44"/>
        </w:trPr>
        <w:tc>
          <w:tcPr>
            <w:tcW w:w="995" w:type="dxa"/>
            <w:tcBorders>
              <w:top w:val="nil"/>
              <w:left w:val="nil"/>
              <w:bottom w:val="nil"/>
              <w:right w:val="nil"/>
            </w:tcBorders>
            <w:shd w:val="clear" w:color="auto" w:fill="auto"/>
            <w:noWrap/>
            <w:vAlign w:val="bottom"/>
            <w:hideMark/>
          </w:tcPr>
          <w:p w14:paraId="6797B952"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42AD5CE6"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0FD1C2CB"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7D2A940C"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657E9A4D" w14:textId="77777777" w:rsidR="00C2572E" w:rsidRPr="00B21FAC" w:rsidRDefault="00C2572E" w:rsidP="00BA7E3E">
            <w:pPr>
              <w:spacing w:after="0"/>
              <w:rPr>
                <w:rFonts w:asciiTheme="majorHAnsi" w:eastAsia="Times New Roman" w:hAnsiTheme="majorHAnsi" w:cstheme="majorHAnsi"/>
                <w:sz w:val="11"/>
                <w:szCs w:val="11"/>
                <w:lang w:eastAsia="nl-BE"/>
              </w:rPr>
            </w:pPr>
          </w:p>
        </w:tc>
      </w:tr>
      <w:tr w:rsidR="00C2572E" w:rsidRPr="00B21FAC" w14:paraId="344DB2AA" w14:textId="77777777" w:rsidTr="00FB3500">
        <w:trPr>
          <w:gridAfter w:val="2"/>
          <w:wAfter w:w="257" w:type="dxa"/>
          <w:trHeight w:val="31"/>
        </w:trPr>
        <w:tc>
          <w:tcPr>
            <w:tcW w:w="2552" w:type="dxa"/>
            <w:gridSpan w:val="4"/>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22230398"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r w:rsidRPr="00B21FAC">
              <w:rPr>
                <w:rFonts w:asciiTheme="majorHAnsi" w:eastAsia="Times New Roman" w:hAnsiTheme="majorHAnsi" w:cstheme="majorHAnsi"/>
                <w:b/>
                <w:bCs/>
                <w:color w:val="000000"/>
                <w:sz w:val="11"/>
                <w:szCs w:val="11"/>
                <w:lang w:eastAsia="nl-BE"/>
              </w:rPr>
              <w:t>BELASTING OP DE WERKNEMERSPARTICIPATIE</w:t>
            </w:r>
          </w:p>
        </w:tc>
      </w:tr>
      <w:tr w:rsidR="00C2572E" w:rsidRPr="00B21FAC" w14:paraId="62EB2696" w14:textId="77777777" w:rsidTr="00FB3500">
        <w:trPr>
          <w:trHeight w:val="31"/>
        </w:trPr>
        <w:tc>
          <w:tcPr>
            <w:tcW w:w="995" w:type="dxa"/>
            <w:tcBorders>
              <w:top w:val="nil"/>
              <w:left w:val="nil"/>
              <w:bottom w:val="nil"/>
              <w:right w:val="nil"/>
            </w:tcBorders>
            <w:shd w:val="clear" w:color="auto" w:fill="auto"/>
            <w:noWrap/>
            <w:vAlign w:val="bottom"/>
            <w:hideMark/>
          </w:tcPr>
          <w:p w14:paraId="23CBF26F"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62205B86"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0E63FD4C"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2CF90961"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68E98DA0" w14:textId="77777777" w:rsidR="00C2572E" w:rsidRPr="00B21FAC" w:rsidRDefault="00C2572E" w:rsidP="00BA7E3E">
            <w:pPr>
              <w:spacing w:after="0"/>
              <w:rPr>
                <w:rFonts w:asciiTheme="majorHAnsi" w:eastAsia="Times New Roman" w:hAnsiTheme="majorHAnsi" w:cstheme="majorHAnsi"/>
                <w:sz w:val="11"/>
                <w:szCs w:val="11"/>
                <w:lang w:eastAsia="nl-BE"/>
              </w:rPr>
            </w:pPr>
          </w:p>
        </w:tc>
      </w:tr>
      <w:tr w:rsidR="00C2572E" w:rsidRPr="00B21FAC" w14:paraId="5A4E8C6A" w14:textId="77777777" w:rsidTr="00FB3500">
        <w:trPr>
          <w:gridAfter w:val="2"/>
          <w:wAfter w:w="257" w:type="dxa"/>
          <w:trHeight w:val="24"/>
        </w:trPr>
        <w:tc>
          <w:tcPr>
            <w:tcW w:w="2552" w:type="dxa"/>
            <w:gridSpan w:val="4"/>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7234452C"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r w:rsidRPr="00B21FAC">
              <w:rPr>
                <w:rFonts w:asciiTheme="majorHAnsi" w:eastAsia="Times New Roman" w:hAnsiTheme="majorHAnsi" w:cstheme="majorHAnsi"/>
                <w:b/>
                <w:bCs/>
                <w:color w:val="000000"/>
                <w:sz w:val="11"/>
                <w:szCs w:val="11"/>
                <w:lang w:eastAsia="nl-BE"/>
              </w:rPr>
              <w:t>BELASTING OP AANDELENOPTIES</w:t>
            </w:r>
          </w:p>
        </w:tc>
      </w:tr>
      <w:tr w:rsidR="00C2572E" w:rsidRPr="00B21FAC" w14:paraId="362E9587" w14:textId="77777777" w:rsidTr="00FB3500">
        <w:trPr>
          <w:trHeight w:val="81"/>
        </w:trPr>
        <w:tc>
          <w:tcPr>
            <w:tcW w:w="995" w:type="dxa"/>
            <w:tcBorders>
              <w:top w:val="nil"/>
              <w:left w:val="nil"/>
              <w:bottom w:val="nil"/>
              <w:right w:val="nil"/>
            </w:tcBorders>
            <w:shd w:val="clear" w:color="auto" w:fill="auto"/>
            <w:noWrap/>
            <w:vAlign w:val="bottom"/>
            <w:hideMark/>
          </w:tcPr>
          <w:p w14:paraId="126D99D9"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11B3DD6C"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3C422591"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50A80165"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584A51BD" w14:textId="77777777" w:rsidR="00C2572E" w:rsidRPr="00B21FAC" w:rsidRDefault="00C2572E" w:rsidP="00BA7E3E">
            <w:pPr>
              <w:spacing w:after="0"/>
              <w:rPr>
                <w:rFonts w:asciiTheme="majorHAnsi" w:eastAsia="Times New Roman" w:hAnsiTheme="majorHAnsi" w:cstheme="majorHAnsi"/>
                <w:sz w:val="11"/>
                <w:szCs w:val="11"/>
                <w:lang w:eastAsia="nl-BE"/>
              </w:rPr>
            </w:pPr>
          </w:p>
        </w:tc>
      </w:tr>
      <w:tr w:rsidR="00C2572E" w:rsidRPr="00B21FAC" w14:paraId="79AAA62A" w14:textId="77777777" w:rsidTr="00FB3500">
        <w:trPr>
          <w:gridAfter w:val="2"/>
          <w:wAfter w:w="257" w:type="dxa"/>
          <w:trHeight w:val="124"/>
        </w:trPr>
        <w:tc>
          <w:tcPr>
            <w:tcW w:w="2552" w:type="dxa"/>
            <w:gridSpan w:val="4"/>
            <w:tcBorders>
              <w:top w:val="single" w:sz="8" w:space="0" w:color="auto"/>
              <w:left w:val="single" w:sz="8" w:space="0" w:color="auto"/>
              <w:bottom w:val="single" w:sz="8" w:space="0" w:color="auto"/>
              <w:right w:val="single" w:sz="8" w:space="0" w:color="000000"/>
            </w:tcBorders>
            <w:shd w:val="clear" w:color="000000" w:fill="FF0000"/>
            <w:noWrap/>
            <w:vAlign w:val="bottom"/>
            <w:hideMark/>
          </w:tcPr>
          <w:p w14:paraId="342B3C07"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r w:rsidRPr="00B21FAC">
              <w:rPr>
                <w:rFonts w:asciiTheme="majorHAnsi" w:eastAsia="Times New Roman" w:hAnsiTheme="majorHAnsi" w:cstheme="majorHAnsi"/>
                <w:b/>
                <w:bCs/>
                <w:color w:val="000000"/>
                <w:sz w:val="11"/>
                <w:szCs w:val="11"/>
                <w:lang w:eastAsia="nl-BE"/>
              </w:rPr>
              <w:t>TAKS OP HET LANGETERMIJNSPAREN</w:t>
            </w:r>
          </w:p>
        </w:tc>
      </w:tr>
      <w:tr w:rsidR="00C2572E" w:rsidRPr="00B21FAC" w14:paraId="2BC29203" w14:textId="77777777" w:rsidTr="00FB3500">
        <w:trPr>
          <w:trHeight w:val="24"/>
        </w:trPr>
        <w:tc>
          <w:tcPr>
            <w:tcW w:w="995" w:type="dxa"/>
            <w:tcBorders>
              <w:top w:val="nil"/>
              <w:left w:val="nil"/>
              <w:bottom w:val="nil"/>
              <w:right w:val="nil"/>
            </w:tcBorders>
            <w:shd w:val="clear" w:color="auto" w:fill="auto"/>
            <w:noWrap/>
            <w:vAlign w:val="bottom"/>
            <w:hideMark/>
          </w:tcPr>
          <w:p w14:paraId="22B5A05B"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2CD589B8"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17111656"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0592A774"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662EC82F" w14:textId="77777777" w:rsidR="00C2572E" w:rsidRPr="00B21FAC" w:rsidRDefault="00C2572E" w:rsidP="00BA7E3E">
            <w:pPr>
              <w:spacing w:after="0"/>
              <w:rPr>
                <w:rFonts w:asciiTheme="majorHAnsi" w:eastAsia="Times New Roman" w:hAnsiTheme="majorHAnsi" w:cstheme="majorHAnsi"/>
                <w:sz w:val="11"/>
                <w:szCs w:val="11"/>
                <w:lang w:eastAsia="nl-BE"/>
              </w:rPr>
            </w:pPr>
          </w:p>
        </w:tc>
      </w:tr>
      <w:tr w:rsidR="00C2572E" w:rsidRPr="00B21FAC" w14:paraId="52E8132A" w14:textId="77777777" w:rsidTr="00FB3500">
        <w:trPr>
          <w:gridAfter w:val="2"/>
          <w:wAfter w:w="257" w:type="dxa"/>
          <w:trHeight w:val="101"/>
        </w:trPr>
        <w:tc>
          <w:tcPr>
            <w:tcW w:w="2552" w:type="dxa"/>
            <w:gridSpan w:val="4"/>
            <w:tcBorders>
              <w:top w:val="single" w:sz="8" w:space="0" w:color="auto"/>
              <w:left w:val="single" w:sz="8" w:space="0" w:color="auto"/>
              <w:bottom w:val="single" w:sz="8" w:space="0" w:color="auto"/>
              <w:right w:val="single" w:sz="8" w:space="0" w:color="000000"/>
            </w:tcBorders>
            <w:shd w:val="clear" w:color="000000" w:fill="00B050"/>
            <w:noWrap/>
            <w:vAlign w:val="bottom"/>
            <w:hideMark/>
          </w:tcPr>
          <w:p w14:paraId="626835E2"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r w:rsidRPr="00B21FAC">
              <w:rPr>
                <w:rFonts w:asciiTheme="majorHAnsi" w:eastAsia="Times New Roman" w:hAnsiTheme="majorHAnsi" w:cstheme="majorHAnsi"/>
                <w:b/>
                <w:bCs/>
                <w:color w:val="000000"/>
                <w:sz w:val="11"/>
                <w:szCs w:val="11"/>
                <w:lang w:eastAsia="nl-BE"/>
              </w:rPr>
              <w:t>TAKS OP DE BEURSVERRICHTINGEN</w:t>
            </w:r>
          </w:p>
        </w:tc>
      </w:tr>
      <w:tr w:rsidR="00C2572E" w:rsidRPr="00B21FAC" w14:paraId="6651DDD7" w14:textId="77777777" w:rsidTr="00FB3500">
        <w:trPr>
          <w:trHeight w:val="53"/>
        </w:trPr>
        <w:tc>
          <w:tcPr>
            <w:tcW w:w="995" w:type="dxa"/>
            <w:tcBorders>
              <w:top w:val="nil"/>
              <w:left w:val="nil"/>
              <w:bottom w:val="nil"/>
              <w:right w:val="nil"/>
            </w:tcBorders>
            <w:shd w:val="clear" w:color="auto" w:fill="auto"/>
            <w:noWrap/>
            <w:vAlign w:val="bottom"/>
            <w:hideMark/>
          </w:tcPr>
          <w:p w14:paraId="2C3419F6"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65D4B4D4"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2C2A0747"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6365F599"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598BE15F" w14:textId="77777777" w:rsidR="00C2572E" w:rsidRPr="00B21FAC" w:rsidRDefault="00C2572E" w:rsidP="00BA7E3E">
            <w:pPr>
              <w:spacing w:after="0"/>
              <w:rPr>
                <w:rFonts w:asciiTheme="majorHAnsi" w:eastAsia="Times New Roman" w:hAnsiTheme="majorHAnsi" w:cstheme="majorHAnsi"/>
                <w:sz w:val="11"/>
                <w:szCs w:val="11"/>
                <w:lang w:eastAsia="nl-BE"/>
              </w:rPr>
            </w:pPr>
          </w:p>
        </w:tc>
      </w:tr>
      <w:tr w:rsidR="00C2572E" w:rsidRPr="00B21FAC" w14:paraId="55C4D93B" w14:textId="77777777" w:rsidTr="00FB3500">
        <w:trPr>
          <w:gridAfter w:val="2"/>
          <w:wAfter w:w="257" w:type="dxa"/>
          <w:trHeight w:val="76"/>
        </w:trPr>
        <w:tc>
          <w:tcPr>
            <w:tcW w:w="2552" w:type="dxa"/>
            <w:gridSpan w:val="4"/>
            <w:tcBorders>
              <w:top w:val="single" w:sz="8" w:space="0" w:color="auto"/>
              <w:left w:val="single" w:sz="8" w:space="0" w:color="auto"/>
              <w:bottom w:val="single" w:sz="8" w:space="0" w:color="auto"/>
              <w:right w:val="single" w:sz="8" w:space="0" w:color="000000"/>
            </w:tcBorders>
            <w:shd w:val="clear" w:color="000000" w:fill="00B050"/>
            <w:noWrap/>
            <w:vAlign w:val="bottom"/>
            <w:hideMark/>
          </w:tcPr>
          <w:p w14:paraId="6DB86342"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r w:rsidRPr="00B21FAC">
              <w:rPr>
                <w:rFonts w:asciiTheme="majorHAnsi" w:eastAsia="Times New Roman" w:hAnsiTheme="majorHAnsi" w:cstheme="majorHAnsi"/>
                <w:b/>
                <w:bCs/>
                <w:color w:val="000000"/>
                <w:sz w:val="11"/>
                <w:szCs w:val="11"/>
                <w:lang w:eastAsia="nl-BE"/>
              </w:rPr>
              <w:t>TAKS OP DE EFFECTENREKENINGEN</w:t>
            </w:r>
          </w:p>
        </w:tc>
      </w:tr>
      <w:tr w:rsidR="00C2572E" w:rsidRPr="00B21FAC" w14:paraId="4D528EB4" w14:textId="77777777" w:rsidTr="00FB3500">
        <w:trPr>
          <w:trHeight w:val="116"/>
        </w:trPr>
        <w:tc>
          <w:tcPr>
            <w:tcW w:w="995" w:type="dxa"/>
            <w:tcBorders>
              <w:top w:val="nil"/>
              <w:left w:val="nil"/>
              <w:bottom w:val="nil"/>
              <w:right w:val="nil"/>
            </w:tcBorders>
            <w:shd w:val="clear" w:color="auto" w:fill="auto"/>
            <w:noWrap/>
            <w:vAlign w:val="bottom"/>
            <w:hideMark/>
          </w:tcPr>
          <w:p w14:paraId="7BCE88D1"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3D63B8B4"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35B1B81E"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7DF131DC"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2912B265" w14:textId="77777777" w:rsidR="00C2572E" w:rsidRPr="00B21FAC" w:rsidRDefault="00C2572E" w:rsidP="00BA7E3E">
            <w:pPr>
              <w:spacing w:after="0"/>
              <w:rPr>
                <w:rFonts w:asciiTheme="majorHAnsi" w:eastAsia="Times New Roman" w:hAnsiTheme="majorHAnsi" w:cstheme="majorHAnsi"/>
                <w:sz w:val="11"/>
                <w:szCs w:val="11"/>
                <w:lang w:eastAsia="nl-BE"/>
              </w:rPr>
            </w:pPr>
          </w:p>
        </w:tc>
      </w:tr>
      <w:tr w:rsidR="00C2572E" w:rsidRPr="00B21FAC" w14:paraId="7CAC2C6C" w14:textId="77777777" w:rsidTr="00FB3500">
        <w:trPr>
          <w:gridAfter w:val="2"/>
          <w:wAfter w:w="257" w:type="dxa"/>
          <w:trHeight w:val="53"/>
        </w:trPr>
        <w:tc>
          <w:tcPr>
            <w:tcW w:w="2552" w:type="dxa"/>
            <w:gridSpan w:val="4"/>
            <w:tcBorders>
              <w:top w:val="single" w:sz="8" w:space="0" w:color="auto"/>
              <w:left w:val="single" w:sz="8" w:space="0" w:color="auto"/>
              <w:bottom w:val="single" w:sz="8" w:space="0" w:color="auto"/>
              <w:right w:val="single" w:sz="8" w:space="0" w:color="000000"/>
            </w:tcBorders>
            <w:shd w:val="clear" w:color="000000" w:fill="00B050"/>
            <w:noWrap/>
            <w:vAlign w:val="bottom"/>
            <w:hideMark/>
          </w:tcPr>
          <w:p w14:paraId="73396A33"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r w:rsidRPr="00B21FAC">
              <w:rPr>
                <w:rFonts w:asciiTheme="majorHAnsi" w:eastAsia="Times New Roman" w:hAnsiTheme="majorHAnsi" w:cstheme="majorHAnsi"/>
                <w:b/>
                <w:bCs/>
                <w:color w:val="000000"/>
                <w:sz w:val="11"/>
                <w:szCs w:val="11"/>
                <w:lang w:eastAsia="nl-BE"/>
              </w:rPr>
              <w:t>TAKS OP DE VERZEKERINGSVERRICHTINGEN</w:t>
            </w:r>
          </w:p>
        </w:tc>
      </w:tr>
      <w:tr w:rsidR="00C2572E" w:rsidRPr="00B21FAC" w14:paraId="37BE36BA" w14:textId="77777777" w:rsidTr="00FB3500">
        <w:trPr>
          <w:trHeight w:val="24"/>
        </w:trPr>
        <w:tc>
          <w:tcPr>
            <w:tcW w:w="995" w:type="dxa"/>
            <w:tcBorders>
              <w:top w:val="nil"/>
              <w:left w:val="nil"/>
              <w:bottom w:val="nil"/>
              <w:right w:val="nil"/>
            </w:tcBorders>
            <w:shd w:val="clear" w:color="auto" w:fill="auto"/>
            <w:noWrap/>
            <w:vAlign w:val="bottom"/>
            <w:hideMark/>
          </w:tcPr>
          <w:p w14:paraId="74311BD9"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1B065456"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5CDE2E7F"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52AAB45F"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79D69279" w14:textId="77777777" w:rsidR="00C2572E" w:rsidRPr="00B21FAC" w:rsidRDefault="00C2572E" w:rsidP="00BA7E3E">
            <w:pPr>
              <w:spacing w:after="0"/>
              <w:rPr>
                <w:rFonts w:asciiTheme="majorHAnsi" w:eastAsia="Times New Roman" w:hAnsiTheme="majorHAnsi" w:cstheme="majorHAnsi"/>
                <w:sz w:val="11"/>
                <w:szCs w:val="11"/>
                <w:lang w:eastAsia="nl-BE"/>
              </w:rPr>
            </w:pPr>
          </w:p>
        </w:tc>
      </w:tr>
      <w:tr w:rsidR="00C2572E" w:rsidRPr="00B21FAC" w14:paraId="7D1ED0A5" w14:textId="77777777" w:rsidTr="00FB3500">
        <w:trPr>
          <w:gridAfter w:val="2"/>
          <w:wAfter w:w="257" w:type="dxa"/>
          <w:trHeight w:val="29"/>
        </w:trPr>
        <w:tc>
          <w:tcPr>
            <w:tcW w:w="2552" w:type="dxa"/>
            <w:gridSpan w:val="4"/>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17464056"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r w:rsidRPr="00B21FAC">
              <w:rPr>
                <w:rFonts w:asciiTheme="majorHAnsi" w:eastAsia="Times New Roman" w:hAnsiTheme="majorHAnsi" w:cstheme="majorHAnsi"/>
                <w:b/>
                <w:bCs/>
                <w:color w:val="000000"/>
                <w:sz w:val="11"/>
                <w:szCs w:val="11"/>
                <w:lang w:eastAsia="nl-BE"/>
              </w:rPr>
              <w:t>BELASTING VOOR AANPLAKKING</w:t>
            </w:r>
          </w:p>
        </w:tc>
      </w:tr>
      <w:tr w:rsidR="00C2572E" w:rsidRPr="00B21FAC" w14:paraId="34F66B05" w14:textId="77777777" w:rsidTr="00FB3500">
        <w:trPr>
          <w:trHeight w:val="89"/>
        </w:trPr>
        <w:tc>
          <w:tcPr>
            <w:tcW w:w="995" w:type="dxa"/>
            <w:tcBorders>
              <w:top w:val="nil"/>
              <w:left w:val="nil"/>
              <w:bottom w:val="nil"/>
              <w:right w:val="nil"/>
            </w:tcBorders>
            <w:shd w:val="clear" w:color="auto" w:fill="auto"/>
            <w:noWrap/>
            <w:vAlign w:val="bottom"/>
            <w:hideMark/>
          </w:tcPr>
          <w:p w14:paraId="22374CFE"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3E917A46"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6E0CACA3"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7747E7EA"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1C990235" w14:textId="77777777" w:rsidR="00C2572E" w:rsidRPr="00B21FAC" w:rsidRDefault="00C2572E" w:rsidP="00BA7E3E">
            <w:pPr>
              <w:spacing w:after="0"/>
              <w:rPr>
                <w:rFonts w:asciiTheme="majorHAnsi" w:eastAsia="Times New Roman" w:hAnsiTheme="majorHAnsi" w:cstheme="majorHAnsi"/>
                <w:sz w:val="11"/>
                <w:szCs w:val="11"/>
                <w:lang w:eastAsia="nl-BE"/>
              </w:rPr>
            </w:pPr>
          </w:p>
        </w:tc>
      </w:tr>
      <w:tr w:rsidR="00C2572E" w:rsidRPr="00B21FAC" w14:paraId="48D5D2C4" w14:textId="77777777" w:rsidTr="00FB3500">
        <w:trPr>
          <w:gridAfter w:val="2"/>
          <w:wAfter w:w="257" w:type="dxa"/>
          <w:trHeight w:val="147"/>
        </w:trPr>
        <w:tc>
          <w:tcPr>
            <w:tcW w:w="2552" w:type="dxa"/>
            <w:gridSpan w:val="4"/>
            <w:tcBorders>
              <w:top w:val="single" w:sz="8" w:space="0" w:color="auto"/>
              <w:left w:val="single" w:sz="8" w:space="0" w:color="auto"/>
              <w:bottom w:val="single" w:sz="8" w:space="0" w:color="auto"/>
              <w:right w:val="single" w:sz="8" w:space="0" w:color="000000"/>
            </w:tcBorders>
            <w:shd w:val="clear" w:color="000000" w:fill="00B050"/>
            <w:noWrap/>
            <w:vAlign w:val="bottom"/>
            <w:hideMark/>
          </w:tcPr>
          <w:p w14:paraId="6C746865"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r w:rsidRPr="00B21FAC">
              <w:rPr>
                <w:rFonts w:asciiTheme="majorHAnsi" w:eastAsia="Times New Roman" w:hAnsiTheme="majorHAnsi" w:cstheme="majorHAnsi"/>
                <w:b/>
                <w:bCs/>
                <w:color w:val="000000"/>
                <w:sz w:val="11"/>
                <w:szCs w:val="11"/>
                <w:lang w:eastAsia="nl-BE"/>
              </w:rPr>
              <w:t>JAARLIJKSE TAKS OP KREDIETINSTELLINGEN</w:t>
            </w:r>
          </w:p>
        </w:tc>
      </w:tr>
      <w:tr w:rsidR="00C2572E" w:rsidRPr="00B21FAC" w14:paraId="031D0F2D" w14:textId="77777777" w:rsidTr="00FB3500">
        <w:trPr>
          <w:trHeight w:val="24"/>
        </w:trPr>
        <w:tc>
          <w:tcPr>
            <w:tcW w:w="995" w:type="dxa"/>
            <w:tcBorders>
              <w:top w:val="nil"/>
              <w:left w:val="nil"/>
              <w:bottom w:val="nil"/>
              <w:right w:val="nil"/>
            </w:tcBorders>
            <w:shd w:val="clear" w:color="auto" w:fill="auto"/>
            <w:noWrap/>
            <w:vAlign w:val="bottom"/>
            <w:hideMark/>
          </w:tcPr>
          <w:p w14:paraId="4E038E95"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7981BAC0"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00E642AD"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1C98A21E"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26902661" w14:textId="77777777" w:rsidR="00C2572E" w:rsidRPr="00B21FAC" w:rsidRDefault="00C2572E" w:rsidP="00BA7E3E">
            <w:pPr>
              <w:spacing w:after="0"/>
              <w:rPr>
                <w:rFonts w:asciiTheme="majorHAnsi" w:eastAsia="Times New Roman" w:hAnsiTheme="majorHAnsi" w:cstheme="majorHAnsi"/>
                <w:sz w:val="11"/>
                <w:szCs w:val="11"/>
                <w:lang w:eastAsia="nl-BE"/>
              </w:rPr>
            </w:pPr>
          </w:p>
        </w:tc>
      </w:tr>
      <w:tr w:rsidR="00C2572E" w:rsidRPr="00B21FAC" w14:paraId="6B71AE0D" w14:textId="77777777" w:rsidTr="00FB3500">
        <w:trPr>
          <w:gridAfter w:val="2"/>
          <w:wAfter w:w="257" w:type="dxa"/>
          <w:trHeight w:val="109"/>
        </w:trPr>
        <w:tc>
          <w:tcPr>
            <w:tcW w:w="2552" w:type="dxa"/>
            <w:gridSpan w:val="4"/>
            <w:tcBorders>
              <w:top w:val="single" w:sz="8" w:space="0" w:color="auto"/>
              <w:left w:val="single" w:sz="8" w:space="0" w:color="auto"/>
              <w:bottom w:val="single" w:sz="8" w:space="0" w:color="auto"/>
              <w:right w:val="single" w:sz="8" w:space="0" w:color="000000"/>
            </w:tcBorders>
            <w:shd w:val="clear" w:color="000000" w:fill="00B050"/>
            <w:noWrap/>
            <w:vAlign w:val="bottom"/>
            <w:hideMark/>
          </w:tcPr>
          <w:p w14:paraId="0CDBE876"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r w:rsidRPr="00B21FAC">
              <w:rPr>
                <w:rFonts w:asciiTheme="majorHAnsi" w:eastAsia="Times New Roman" w:hAnsiTheme="majorHAnsi" w:cstheme="majorHAnsi"/>
                <w:b/>
                <w:bCs/>
                <w:color w:val="000000"/>
                <w:sz w:val="11"/>
                <w:szCs w:val="11"/>
                <w:lang w:eastAsia="nl-BE"/>
              </w:rPr>
              <w:t>JAARLIJKSTE TAKS OP ICB</w:t>
            </w:r>
          </w:p>
        </w:tc>
      </w:tr>
      <w:tr w:rsidR="00C2572E" w:rsidRPr="00B21FAC" w14:paraId="400AB51F" w14:textId="77777777" w:rsidTr="00FB3500">
        <w:trPr>
          <w:trHeight w:val="61"/>
        </w:trPr>
        <w:tc>
          <w:tcPr>
            <w:tcW w:w="995" w:type="dxa"/>
            <w:tcBorders>
              <w:top w:val="nil"/>
              <w:left w:val="nil"/>
              <w:bottom w:val="nil"/>
              <w:right w:val="nil"/>
            </w:tcBorders>
            <w:shd w:val="clear" w:color="auto" w:fill="auto"/>
            <w:noWrap/>
            <w:vAlign w:val="bottom"/>
            <w:hideMark/>
          </w:tcPr>
          <w:p w14:paraId="032F243D"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428DD9F4"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56EF3C69"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32ED5FA9"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577BB63A" w14:textId="77777777" w:rsidR="00C2572E" w:rsidRPr="00B21FAC" w:rsidRDefault="00C2572E" w:rsidP="00BA7E3E">
            <w:pPr>
              <w:spacing w:after="0"/>
              <w:rPr>
                <w:rFonts w:asciiTheme="majorHAnsi" w:eastAsia="Times New Roman" w:hAnsiTheme="majorHAnsi" w:cstheme="majorHAnsi"/>
                <w:sz w:val="11"/>
                <w:szCs w:val="11"/>
                <w:lang w:eastAsia="nl-BE"/>
              </w:rPr>
            </w:pPr>
          </w:p>
        </w:tc>
      </w:tr>
      <w:tr w:rsidR="00C2572E" w:rsidRPr="00B21FAC" w14:paraId="46939CFE" w14:textId="77777777" w:rsidTr="00FB3500">
        <w:trPr>
          <w:gridAfter w:val="2"/>
          <w:wAfter w:w="257" w:type="dxa"/>
          <w:trHeight w:val="84"/>
        </w:trPr>
        <w:tc>
          <w:tcPr>
            <w:tcW w:w="2552" w:type="dxa"/>
            <w:gridSpan w:val="4"/>
            <w:tcBorders>
              <w:top w:val="single" w:sz="8" w:space="0" w:color="auto"/>
              <w:left w:val="single" w:sz="8" w:space="0" w:color="auto"/>
              <w:bottom w:val="single" w:sz="8" w:space="0" w:color="auto"/>
              <w:right w:val="single" w:sz="8" w:space="0" w:color="000000"/>
            </w:tcBorders>
            <w:shd w:val="clear" w:color="000000" w:fill="00B050"/>
            <w:noWrap/>
            <w:vAlign w:val="bottom"/>
            <w:hideMark/>
          </w:tcPr>
          <w:p w14:paraId="75D34F3C"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r w:rsidRPr="00B21FAC">
              <w:rPr>
                <w:rFonts w:asciiTheme="majorHAnsi" w:eastAsia="Times New Roman" w:hAnsiTheme="majorHAnsi" w:cstheme="majorHAnsi"/>
                <w:b/>
                <w:bCs/>
                <w:color w:val="000000"/>
                <w:sz w:val="11"/>
                <w:szCs w:val="11"/>
                <w:lang w:eastAsia="nl-BE"/>
              </w:rPr>
              <w:t>JAARLIJKSTE TAKS OP VERZKERINGSONDERNEMING</w:t>
            </w:r>
          </w:p>
        </w:tc>
      </w:tr>
      <w:tr w:rsidR="00C2572E" w:rsidRPr="00B21FAC" w14:paraId="266AE802" w14:textId="77777777" w:rsidTr="00FB3500">
        <w:trPr>
          <w:trHeight w:val="24"/>
        </w:trPr>
        <w:tc>
          <w:tcPr>
            <w:tcW w:w="995" w:type="dxa"/>
            <w:tcBorders>
              <w:top w:val="nil"/>
              <w:left w:val="nil"/>
              <w:bottom w:val="nil"/>
              <w:right w:val="nil"/>
            </w:tcBorders>
            <w:shd w:val="clear" w:color="auto" w:fill="auto"/>
            <w:noWrap/>
            <w:vAlign w:val="bottom"/>
            <w:hideMark/>
          </w:tcPr>
          <w:p w14:paraId="27FAA134" w14:textId="77777777" w:rsidR="00C2572E" w:rsidRPr="00B21FAC"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55071511"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0BC00A77"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615E302D" w14:textId="77777777" w:rsidR="00C2572E" w:rsidRPr="00B21FAC"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756B09FB" w14:textId="77777777" w:rsidR="00C2572E" w:rsidRPr="00B21FAC" w:rsidRDefault="00C2572E" w:rsidP="00BA7E3E">
            <w:pPr>
              <w:spacing w:after="0"/>
              <w:rPr>
                <w:rFonts w:asciiTheme="majorHAnsi" w:eastAsia="Times New Roman" w:hAnsiTheme="majorHAnsi" w:cstheme="majorHAnsi"/>
                <w:sz w:val="11"/>
                <w:szCs w:val="11"/>
                <w:lang w:eastAsia="nl-BE"/>
              </w:rPr>
            </w:pPr>
          </w:p>
        </w:tc>
      </w:tr>
      <w:tr w:rsidR="00C2572E" w:rsidRPr="00B21FAC" w14:paraId="0E672926" w14:textId="77777777" w:rsidTr="00FB3500">
        <w:trPr>
          <w:gridAfter w:val="2"/>
          <w:wAfter w:w="257" w:type="dxa"/>
          <w:trHeight w:val="47"/>
        </w:trPr>
        <w:tc>
          <w:tcPr>
            <w:tcW w:w="255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E535816" w14:textId="77777777" w:rsidR="00C2572E" w:rsidRPr="00B21FAC" w:rsidRDefault="00C2572E" w:rsidP="00BA7E3E">
            <w:pPr>
              <w:spacing w:after="0"/>
              <w:jc w:val="center"/>
              <w:rPr>
                <w:rFonts w:asciiTheme="majorHAnsi" w:eastAsia="Times New Roman" w:hAnsiTheme="majorHAnsi" w:cstheme="majorHAnsi"/>
                <w:color w:val="000000"/>
                <w:sz w:val="11"/>
                <w:szCs w:val="11"/>
                <w:lang w:eastAsia="nl-BE"/>
              </w:rPr>
            </w:pPr>
            <w:r w:rsidRPr="00B21FAC">
              <w:rPr>
                <w:rFonts w:asciiTheme="majorHAnsi" w:eastAsia="Times New Roman" w:hAnsiTheme="majorHAnsi" w:cstheme="majorHAnsi"/>
                <w:color w:val="000000"/>
                <w:sz w:val="11"/>
                <w:szCs w:val="11"/>
                <w:lang w:eastAsia="nl-BE"/>
              </w:rPr>
              <w:t>….</w:t>
            </w:r>
          </w:p>
        </w:tc>
      </w:tr>
      <w:tr w:rsidR="00C2572E" w:rsidRPr="00B21FAC" w14:paraId="41D4DF42" w14:textId="77777777" w:rsidTr="00FB3500">
        <w:trPr>
          <w:trHeight w:val="225"/>
        </w:trPr>
        <w:tc>
          <w:tcPr>
            <w:tcW w:w="995" w:type="dxa"/>
            <w:tcBorders>
              <w:top w:val="nil"/>
              <w:left w:val="nil"/>
              <w:bottom w:val="nil"/>
              <w:right w:val="nil"/>
            </w:tcBorders>
            <w:shd w:val="clear" w:color="auto" w:fill="auto"/>
            <w:noWrap/>
            <w:vAlign w:val="bottom"/>
            <w:hideMark/>
          </w:tcPr>
          <w:p w14:paraId="26A252AD" w14:textId="77777777" w:rsidR="00C2572E" w:rsidRPr="00B21FAC" w:rsidRDefault="00C2572E" w:rsidP="00BA7E3E">
            <w:pPr>
              <w:spacing w:after="0"/>
              <w:jc w:val="center"/>
              <w:rPr>
                <w:rFonts w:ascii="Calibri" w:eastAsia="Times New Roman" w:hAnsi="Calibri" w:cs="Calibri"/>
                <w:color w:val="000000"/>
                <w:lang w:eastAsia="nl-BE"/>
              </w:rPr>
            </w:pPr>
          </w:p>
        </w:tc>
        <w:tc>
          <w:tcPr>
            <w:tcW w:w="762" w:type="dxa"/>
            <w:tcBorders>
              <w:top w:val="nil"/>
              <w:left w:val="nil"/>
              <w:bottom w:val="nil"/>
              <w:right w:val="nil"/>
            </w:tcBorders>
            <w:shd w:val="clear" w:color="auto" w:fill="auto"/>
            <w:noWrap/>
            <w:vAlign w:val="bottom"/>
            <w:hideMark/>
          </w:tcPr>
          <w:p w14:paraId="3C4A6F58" w14:textId="77777777" w:rsidR="00C2572E" w:rsidRPr="00B21FAC" w:rsidRDefault="00C2572E" w:rsidP="00BA7E3E">
            <w:pPr>
              <w:spacing w:after="0"/>
              <w:rPr>
                <w:rFonts w:ascii="Times New Roman" w:eastAsia="Times New Roman" w:hAnsi="Times New Roman" w:cs="Times New Roman"/>
                <w:sz w:val="20"/>
                <w:szCs w:val="20"/>
                <w:lang w:eastAsia="nl-BE"/>
              </w:rPr>
            </w:pPr>
          </w:p>
        </w:tc>
        <w:tc>
          <w:tcPr>
            <w:tcW w:w="446" w:type="dxa"/>
            <w:tcBorders>
              <w:top w:val="nil"/>
              <w:left w:val="nil"/>
              <w:bottom w:val="nil"/>
              <w:right w:val="nil"/>
            </w:tcBorders>
            <w:shd w:val="clear" w:color="auto" w:fill="auto"/>
            <w:noWrap/>
            <w:vAlign w:val="bottom"/>
            <w:hideMark/>
          </w:tcPr>
          <w:p w14:paraId="0E9E5B2A" w14:textId="77777777" w:rsidR="00C2572E" w:rsidRPr="00B21FAC" w:rsidRDefault="00C2572E" w:rsidP="00BA7E3E">
            <w:pPr>
              <w:spacing w:after="0"/>
              <w:rPr>
                <w:rFonts w:ascii="Times New Roman" w:eastAsia="Times New Roman" w:hAnsi="Times New Roman" w:cs="Times New Roman"/>
                <w:sz w:val="20"/>
                <w:szCs w:val="20"/>
                <w:lang w:eastAsia="nl-BE"/>
              </w:rPr>
            </w:pPr>
          </w:p>
        </w:tc>
        <w:tc>
          <w:tcPr>
            <w:tcW w:w="446" w:type="dxa"/>
            <w:gridSpan w:val="2"/>
            <w:tcBorders>
              <w:top w:val="nil"/>
              <w:left w:val="nil"/>
              <w:bottom w:val="nil"/>
              <w:right w:val="nil"/>
            </w:tcBorders>
            <w:shd w:val="clear" w:color="auto" w:fill="auto"/>
            <w:noWrap/>
            <w:vAlign w:val="bottom"/>
            <w:hideMark/>
          </w:tcPr>
          <w:p w14:paraId="6C1C05B7" w14:textId="77777777" w:rsidR="00C2572E" w:rsidRPr="00B21FAC" w:rsidRDefault="00C2572E" w:rsidP="00BA7E3E">
            <w:pPr>
              <w:spacing w:after="0"/>
              <w:rPr>
                <w:rFonts w:ascii="Times New Roman" w:eastAsia="Times New Roman" w:hAnsi="Times New Roman" w:cs="Times New Roman"/>
                <w:sz w:val="20"/>
                <w:szCs w:val="20"/>
                <w:lang w:eastAsia="nl-BE"/>
              </w:rPr>
            </w:pPr>
          </w:p>
        </w:tc>
        <w:tc>
          <w:tcPr>
            <w:tcW w:w="160" w:type="dxa"/>
            <w:tcBorders>
              <w:top w:val="nil"/>
              <w:left w:val="nil"/>
              <w:bottom w:val="nil"/>
              <w:right w:val="nil"/>
            </w:tcBorders>
            <w:shd w:val="clear" w:color="auto" w:fill="auto"/>
            <w:noWrap/>
            <w:vAlign w:val="bottom"/>
            <w:hideMark/>
          </w:tcPr>
          <w:p w14:paraId="0A1424CF" w14:textId="77777777" w:rsidR="00C2572E" w:rsidRPr="00B21FAC" w:rsidRDefault="00C2572E" w:rsidP="00BA7E3E">
            <w:pPr>
              <w:spacing w:after="0"/>
              <w:rPr>
                <w:rFonts w:ascii="Times New Roman" w:eastAsia="Times New Roman" w:hAnsi="Times New Roman" w:cs="Times New Roman"/>
                <w:sz w:val="20"/>
                <w:szCs w:val="20"/>
                <w:lang w:eastAsia="nl-BE"/>
              </w:rPr>
            </w:pPr>
          </w:p>
        </w:tc>
      </w:tr>
    </w:tbl>
    <w:p w14:paraId="1E85BA73" w14:textId="77777777" w:rsidR="00C2572E" w:rsidRPr="00B21FAC" w:rsidRDefault="00C2572E" w:rsidP="00BA7E3E">
      <w:pPr>
        <w:kinsoku w:val="0"/>
        <w:overflowPunct w:val="0"/>
        <w:autoSpaceDE w:val="0"/>
        <w:autoSpaceDN w:val="0"/>
        <w:adjustRightInd w:val="0"/>
        <w:spacing w:before="11" w:after="0"/>
        <w:rPr>
          <w:rFonts w:ascii="Times New Roman" w:hAnsi="Times New Roman" w:cs="Times New Roman"/>
          <w:sz w:val="2"/>
          <w:szCs w:val="2"/>
        </w:rPr>
      </w:pPr>
    </w:p>
    <w:tbl>
      <w:tblPr>
        <w:tblW w:w="0" w:type="auto"/>
        <w:tblInd w:w="108" w:type="dxa"/>
        <w:tblLayout w:type="fixed"/>
        <w:tblCellMar>
          <w:left w:w="0" w:type="dxa"/>
          <w:right w:w="0" w:type="dxa"/>
        </w:tblCellMar>
        <w:tblLook w:val="0000" w:firstRow="0" w:lastRow="0" w:firstColumn="0" w:lastColumn="0" w:noHBand="0" w:noVBand="0"/>
      </w:tblPr>
      <w:tblGrid>
        <w:gridCol w:w="5203"/>
      </w:tblGrid>
      <w:tr w:rsidR="00C2572E" w:rsidRPr="00B21FAC" w14:paraId="5FC11543"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tcPr>
          <w:p w14:paraId="0B4E8E98" w14:textId="77777777" w:rsidR="00C2572E" w:rsidRPr="00B21FAC" w:rsidRDefault="00C2572E" w:rsidP="00BA7E3E">
            <w:pPr>
              <w:kinsoku w:val="0"/>
              <w:overflowPunct w:val="0"/>
              <w:autoSpaceDE w:val="0"/>
              <w:autoSpaceDN w:val="0"/>
              <w:adjustRightInd w:val="0"/>
              <w:spacing w:after="0"/>
              <w:ind w:left="251" w:right="214"/>
              <w:jc w:val="center"/>
              <w:rPr>
                <w:rFonts w:ascii="Calibri" w:hAnsi="Calibri" w:cs="Calibri"/>
                <w:b/>
                <w:bCs/>
                <w:sz w:val="11"/>
                <w:szCs w:val="11"/>
              </w:rPr>
            </w:pPr>
            <w:r w:rsidRPr="00B21FAC">
              <w:rPr>
                <w:rFonts w:ascii="Calibri" w:hAnsi="Calibri" w:cs="Calibri"/>
                <w:b/>
                <w:bCs/>
                <w:sz w:val="11"/>
                <w:szCs w:val="11"/>
              </w:rPr>
              <w:t>Federale</w:t>
            </w:r>
            <w:r w:rsidRPr="00B21FAC">
              <w:rPr>
                <w:rFonts w:ascii="Calibri" w:hAnsi="Calibri" w:cs="Calibri"/>
                <w:b/>
                <w:bCs/>
                <w:spacing w:val="-1"/>
                <w:sz w:val="11"/>
                <w:szCs w:val="11"/>
              </w:rPr>
              <w:t xml:space="preserve"> </w:t>
            </w:r>
            <w:r w:rsidRPr="00B21FAC">
              <w:rPr>
                <w:rFonts w:ascii="Calibri" w:hAnsi="Calibri" w:cs="Calibri"/>
                <w:b/>
                <w:bCs/>
                <w:sz w:val="11"/>
                <w:szCs w:val="11"/>
              </w:rPr>
              <w:t>belastingverminderingen (exclusief uitdovende maatregelen)</w:t>
            </w:r>
          </w:p>
        </w:tc>
      </w:tr>
      <w:tr w:rsidR="00C2572E" w:rsidRPr="00B21FAC" w14:paraId="43534DF6"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FFFF00"/>
          </w:tcPr>
          <w:p w14:paraId="0D59A673" w14:textId="77777777" w:rsidR="00C2572E" w:rsidRPr="00B21FAC"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00B21FAC">
              <w:rPr>
                <w:rFonts w:ascii="Calibri" w:hAnsi="Calibri" w:cs="Calibri"/>
                <w:sz w:val="11"/>
                <w:szCs w:val="11"/>
              </w:rPr>
              <w:t>Vermindering</w:t>
            </w:r>
            <w:r w:rsidRPr="00B21FAC">
              <w:rPr>
                <w:rFonts w:ascii="Calibri" w:hAnsi="Calibri" w:cs="Calibri"/>
                <w:spacing w:val="-3"/>
                <w:sz w:val="11"/>
                <w:szCs w:val="11"/>
              </w:rPr>
              <w:t xml:space="preserve"> </w:t>
            </w:r>
            <w:r w:rsidRPr="00B21FAC">
              <w:rPr>
                <w:rFonts w:ascii="Calibri" w:hAnsi="Calibri" w:cs="Calibri"/>
                <w:sz w:val="11"/>
                <w:szCs w:val="11"/>
              </w:rPr>
              <w:t>voor</w:t>
            </w:r>
            <w:r w:rsidRPr="00B21FAC">
              <w:rPr>
                <w:rFonts w:ascii="Calibri" w:hAnsi="Calibri" w:cs="Calibri"/>
                <w:spacing w:val="-3"/>
                <w:sz w:val="11"/>
                <w:szCs w:val="11"/>
              </w:rPr>
              <w:t xml:space="preserve"> </w:t>
            </w:r>
            <w:r w:rsidRPr="00B21FAC">
              <w:rPr>
                <w:rFonts w:ascii="Calibri" w:hAnsi="Calibri" w:cs="Calibri"/>
                <w:sz w:val="11"/>
                <w:szCs w:val="11"/>
              </w:rPr>
              <w:t>ingehouden</w:t>
            </w:r>
            <w:r w:rsidRPr="00B21FAC">
              <w:rPr>
                <w:rFonts w:ascii="Calibri" w:hAnsi="Calibri" w:cs="Calibri"/>
                <w:spacing w:val="-1"/>
                <w:sz w:val="11"/>
                <w:szCs w:val="11"/>
              </w:rPr>
              <w:t xml:space="preserve"> </w:t>
            </w:r>
            <w:r w:rsidRPr="00B21FAC">
              <w:rPr>
                <w:rFonts w:ascii="Calibri" w:hAnsi="Calibri" w:cs="Calibri"/>
                <w:sz w:val="11"/>
                <w:szCs w:val="11"/>
              </w:rPr>
              <w:t>bijdragen</w:t>
            </w:r>
            <w:r w:rsidRPr="00B21FAC">
              <w:rPr>
                <w:rFonts w:ascii="Calibri" w:hAnsi="Calibri" w:cs="Calibri"/>
                <w:spacing w:val="-1"/>
                <w:sz w:val="11"/>
                <w:szCs w:val="11"/>
              </w:rPr>
              <w:t xml:space="preserve"> </w:t>
            </w:r>
            <w:r w:rsidRPr="00B21FAC">
              <w:rPr>
                <w:rFonts w:ascii="Calibri" w:hAnsi="Calibri" w:cs="Calibri"/>
                <w:sz w:val="11"/>
                <w:szCs w:val="11"/>
              </w:rPr>
              <w:t>voor</w:t>
            </w:r>
            <w:r w:rsidRPr="00B21FAC">
              <w:rPr>
                <w:rFonts w:ascii="Calibri" w:hAnsi="Calibri" w:cs="Calibri"/>
                <w:spacing w:val="-1"/>
                <w:sz w:val="11"/>
                <w:szCs w:val="11"/>
              </w:rPr>
              <w:t xml:space="preserve"> </w:t>
            </w:r>
            <w:r w:rsidRPr="00B21FAC">
              <w:rPr>
                <w:rFonts w:ascii="Calibri" w:hAnsi="Calibri" w:cs="Calibri"/>
                <w:sz w:val="11"/>
                <w:szCs w:val="11"/>
              </w:rPr>
              <w:t>een</w:t>
            </w:r>
            <w:r w:rsidRPr="00B21FAC">
              <w:rPr>
                <w:rFonts w:ascii="Calibri" w:hAnsi="Calibri" w:cs="Calibri"/>
                <w:spacing w:val="-1"/>
                <w:sz w:val="11"/>
                <w:szCs w:val="11"/>
              </w:rPr>
              <w:t xml:space="preserve"> </w:t>
            </w:r>
            <w:r w:rsidRPr="00B21FAC">
              <w:rPr>
                <w:rFonts w:ascii="Calibri" w:hAnsi="Calibri" w:cs="Calibri"/>
                <w:sz w:val="11"/>
                <w:szCs w:val="11"/>
              </w:rPr>
              <w:t>aanvullend</w:t>
            </w:r>
            <w:r w:rsidRPr="00B21FAC">
              <w:rPr>
                <w:rFonts w:ascii="Calibri" w:hAnsi="Calibri" w:cs="Calibri"/>
                <w:spacing w:val="-2"/>
                <w:sz w:val="11"/>
                <w:szCs w:val="11"/>
              </w:rPr>
              <w:t xml:space="preserve"> </w:t>
            </w:r>
            <w:r w:rsidRPr="00B21FAC">
              <w:rPr>
                <w:rFonts w:ascii="Calibri" w:hAnsi="Calibri" w:cs="Calibri"/>
                <w:sz w:val="11"/>
                <w:szCs w:val="11"/>
              </w:rPr>
              <w:t>pensioen</w:t>
            </w:r>
          </w:p>
        </w:tc>
      </w:tr>
      <w:tr w:rsidR="00C2572E" w:rsidRPr="00B21FAC" w14:paraId="2E3DDF87"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FFFF00"/>
          </w:tcPr>
          <w:p w14:paraId="6DE2BB71" w14:textId="77777777" w:rsidR="00C2572E" w:rsidRPr="00B21FAC" w:rsidRDefault="00C2572E" w:rsidP="00BA7E3E">
            <w:pPr>
              <w:kinsoku w:val="0"/>
              <w:overflowPunct w:val="0"/>
              <w:autoSpaceDE w:val="0"/>
              <w:autoSpaceDN w:val="0"/>
              <w:adjustRightInd w:val="0"/>
              <w:spacing w:after="0"/>
              <w:ind w:left="250" w:right="216"/>
              <w:jc w:val="center"/>
              <w:rPr>
                <w:rFonts w:ascii="Calibri" w:hAnsi="Calibri" w:cs="Calibri"/>
                <w:sz w:val="11"/>
                <w:szCs w:val="11"/>
              </w:rPr>
            </w:pPr>
            <w:r w:rsidRPr="00B21FAC">
              <w:rPr>
                <w:rFonts w:ascii="Calibri" w:hAnsi="Calibri" w:cs="Calibri"/>
                <w:sz w:val="11"/>
                <w:szCs w:val="11"/>
              </w:rPr>
              <w:t>Vermindering</w:t>
            </w:r>
            <w:r w:rsidRPr="00B21FAC">
              <w:rPr>
                <w:rFonts w:ascii="Calibri" w:hAnsi="Calibri" w:cs="Calibri"/>
                <w:spacing w:val="-3"/>
                <w:sz w:val="11"/>
                <w:szCs w:val="11"/>
              </w:rPr>
              <w:t xml:space="preserve"> </w:t>
            </w:r>
            <w:r w:rsidRPr="00B21FAC">
              <w:rPr>
                <w:rFonts w:ascii="Calibri" w:hAnsi="Calibri" w:cs="Calibri"/>
                <w:sz w:val="11"/>
                <w:szCs w:val="11"/>
              </w:rPr>
              <w:t>voor</w:t>
            </w:r>
            <w:r w:rsidRPr="00B21FAC">
              <w:rPr>
                <w:rFonts w:ascii="Calibri" w:hAnsi="Calibri" w:cs="Calibri"/>
                <w:spacing w:val="-2"/>
                <w:sz w:val="11"/>
                <w:szCs w:val="11"/>
              </w:rPr>
              <w:t xml:space="preserve"> </w:t>
            </w:r>
            <w:r w:rsidRPr="00B21FAC">
              <w:rPr>
                <w:rFonts w:ascii="Calibri" w:hAnsi="Calibri" w:cs="Calibri"/>
                <w:sz w:val="11"/>
                <w:szCs w:val="11"/>
              </w:rPr>
              <w:t>een</w:t>
            </w:r>
            <w:r w:rsidRPr="00B21FAC">
              <w:rPr>
                <w:rFonts w:ascii="Calibri" w:hAnsi="Calibri" w:cs="Calibri"/>
                <w:spacing w:val="-1"/>
                <w:sz w:val="11"/>
                <w:szCs w:val="11"/>
              </w:rPr>
              <w:t xml:space="preserve"> </w:t>
            </w:r>
            <w:r w:rsidRPr="00B21FAC">
              <w:rPr>
                <w:rFonts w:ascii="Calibri" w:hAnsi="Calibri" w:cs="Calibri"/>
                <w:sz w:val="11"/>
                <w:szCs w:val="11"/>
              </w:rPr>
              <w:t>aanvullend pensioen</w:t>
            </w:r>
            <w:r w:rsidRPr="00B21FAC">
              <w:rPr>
                <w:rFonts w:ascii="Calibri" w:hAnsi="Calibri" w:cs="Calibri"/>
                <w:spacing w:val="-2"/>
                <w:sz w:val="11"/>
                <w:szCs w:val="11"/>
              </w:rPr>
              <w:t xml:space="preserve"> </w:t>
            </w:r>
            <w:r w:rsidRPr="00B21FAC">
              <w:rPr>
                <w:rFonts w:ascii="Calibri" w:hAnsi="Calibri" w:cs="Calibri"/>
                <w:sz w:val="11"/>
                <w:szCs w:val="11"/>
              </w:rPr>
              <w:t>zelfstandigen</w:t>
            </w:r>
          </w:p>
        </w:tc>
      </w:tr>
      <w:tr w:rsidR="00C2572E" w:rsidRPr="00B21FAC" w14:paraId="3BAA130D"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00AF50"/>
          </w:tcPr>
          <w:p w14:paraId="16B51317" w14:textId="77777777" w:rsidR="00C2572E" w:rsidRPr="00B21FAC"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B21FAC">
              <w:rPr>
                <w:rFonts w:ascii="Calibri" w:hAnsi="Calibri" w:cs="Calibri"/>
                <w:sz w:val="11"/>
                <w:szCs w:val="11"/>
              </w:rPr>
              <w:t>Vermindering</w:t>
            </w:r>
            <w:r w:rsidRPr="00B21FAC">
              <w:rPr>
                <w:rFonts w:ascii="Calibri" w:hAnsi="Calibri" w:cs="Calibri"/>
                <w:spacing w:val="-5"/>
                <w:sz w:val="11"/>
                <w:szCs w:val="11"/>
              </w:rPr>
              <w:t xml:space="preserve"> </w:t>
            </w:r>
            <w:r w:rsidRPr="00B21FAC">
              <w:rPr>
                <w:rFonts w:ascii="Calibri" w:hAnsi="Calibri" w:cs="Calibri"/>
                <w:sz w:val="11"/>
                <w:szCs w:val="11"/>
              </w:rPr>
              <w:t>voor</w:t>
            </w:r>
            <w:r w:rsidRPr="00B21FAC">
              <w:rPr>
                <w:rFonts w:ascii="Calibri" w:hAnsi="Calibri" w:cs="Calibri"/>
                <w:spacing w:val="-4"/>
                <w:sz w:val="11"/>
                <w:szCs w:val="11"/>
              </w:rPr>
              <w:t xml:space="preserve"> </w:t>
            </w:r>
            <w:r w:rsidRPr="00B21FAC">
              <w:rPr>
                <w:rFonts w:ascii="Calibri" w:hAnsi="Calibri" w:cs="Calibri"/>
                <w:sz w:val="11"/>
                <w:szCs w:val="11"/>
              </w:rPr>
              <w:t>uitgaven</w:t>
            </w:r>
            <w:r w:rsidRPr="00B21FAC">
              <w:rPr>
                <w:rFonts w:ascii="Calibri" w:hAnsi="Calibri" w:cs="Calibri"/>
                <w:spacing w:val="-4"/>
                <w:sz w:val="11"/>
                <w:szCs w:val="11"/>
              </w:rPr>
              <w:t xml:space="preserve"> </w:t>
            </w:r>
            <w:r w:rsidRPr="00B21FAC">
              <w:rPr>
                <w:rFonts w:ascii="Calibri" w:hAnsi="Calibri" w:cs="Calibri"/>
                <w:sz w:val="11"/>
                <w:szCs w:val="11"/>
              </w:rPr>
              <w:t>voor</w:t>
            </w:r>
            <w:r w:rsidRPr="00B21FAC">
              <w:rPr>
                <w:rFonts w:ascii="Calibri" w:hAnsi="Calibri" w:cs="Calibri"/>
                <w:spacing w:val="-2"/>
                <w:sz w:val="11"/>
                <w:szCs w:val="11"/>
              </w:rPr>
              <w:t xml:space="preserve"> </w:t>
            </w:r>
            <w:r w:rsidRPr="00B21FAC">
              <w:rPr>
                <w:rFonts w:ascii="Calibri" w:hAnsi="Calibri" w:cs="Calibri"/>
                <w:sz w:val="11"/>
                <w:szCs w:val="11"/>
              </w:rPr>
              <w:t>het</w:t>
            </w:r>
            <w:r w:rsidRPr="00B21FAC">
              <w:rPr>
                <w:rFonts w:ascii="Calibri" w:hAnsi="Calibri" w:cs="Calibri"/>
                <w:spacing w:val="-5"/>
                <w:sz w:val="11"/>
                <w:szCs w:val="11"/>
              </w:rPr>
              <w:t xml:space="preserve"> </w:t>
            </w:r>
            <w:r w:rsidRPr="00B21FAC">
              <w:rPr>
                <w:rFonts w:ascii="Calibri" w:hAnsi="Calibri" w:cs="Calibri"/>
                <w:sz w:val="11"/>
                <w:szCs w:val="11"/>
              </w:rPr>
              <w:t>verwerven</w:t>
            </w:r>
            <w:r w:rsidRPr="00B21FAC">
              <w:rPr>
                <w:rFonts w:ascii="Calibri" w:hAnsi="Calibri" w:cs="Calibri"/>
                <w:spacing w:val="-2"/>
                <w:sz w:val="11"/>
                <w:szCs w:val="11"/>
              </w:rPr>
              <w:t xml:space="preserve"> </w:t>
            </w:r>
            <w:r w:rsidRPr="00B21FAC">
              <w:rPr>
                <w:rFonts w:ascii="Calibri" w:hAnsi="Calibri" w:cs="Calibri"/>
                <w:sz w:val="11"/>
                <w:szCs w:val="11"/>
              </w:rPr>
              <w:t>of</w:t>
            </w:r>
            <w:r w:rsidRPr="00B21FAC">
              <w:rPr>
                <w:rFonts w:ascii="Calibri" w:hAnsi="Calibri" w:cs="Calibri"/>
                <w:spacing w:val="-3"/>
                <w:sz w:val="11"/>
                <w:szCs w:val="11"/>
              </w:rPr>
              <w:t xml:space="preserve"> </w:t>
            </w:r>
            <w:r w:rsidRPr="00B21FAC">
              <w:rPr>
                <w:rFonts w:ascii="Calibri" w:hAnsi="Calibri" w:cs="Calibri"/>
                <w:sz w:val="11"/>
                <w:szCs w:val="11"/>
              </w:rPr>
              <w:t>behouden</w:t>
            </w:r>
            <w:r w:rsidRPr="00B21FAC">
              <w:rPr>
                <w:rFonts w:ascii="Calibri" w:hAnsi="Calibri" w:cs="Calibri"/>
                <w:spacing w:val="-2"/>
                <w:sz w:val="11"/>
                <w:szCs w:val="11"/>
              </w:rPr>
              <w:t xml:space="preserve"> </w:t>
            </w:r>
            <w:r w:rsidRPr="00B21FAC">
              <w:rPr>
                <w:rFonts w:ascii="Calibri" w:hAnsi="Calibri" w:cs="Calibri"/>
                <w:sz w:val="11"/>
                <w:szCs w:val="11"/>
              </w:rPr>
              <w:t>van</w:t>
            </w:r>
            <w:r w:rsidRPr="00B21FAC">
              <w:rPr>
                <w:rFonts w:ascii="Calibri" w:hAnsi="Calibri" w:cs="Calibri"/>
                <w:spacing w:val="-3"/>
                <w:sz w:val="11"/>
                <w:szCs w:val="11"/>
              </w:rPr>
              <w:t xml:space="preserve"> </w:t>
            </w:r>
            <w:r w:rsidRPr="00B21FAC">
              <w:rPr>
                <w:rFonts w:ascii="Calibri" w:hAnsi="Calibri" w:cs="Calibri"/>
                <w:sz w:val="11"/>
                <w:szCs w:val="11"/>
              </w:rPr>
              <w:t>een</w:t>
            </w:r>
            <w:r w:rsidRPr="00B21FAC">
              <w:rPr>
                <w:rFonts w:ascii="Calibri" w:hAnsi="Calibri" w:cs="Calibri"/>
                <w:spacing w:val="-3"/>
                <w:sz w:val="11"/>
                <w:szCs w:val="11"/>
              </w:rPr>
              <w:t xml:space="preserve"> </w:t>
            </w:r>
            <w:r w:rsidRPr="00B21FAC">
              <w:rPr>
                <w:rFonts w:ascii="Calibri" w:hAnsi="Calibri" w:cs="Calibri"/>
                <w:sz w:val="11"/>
                <w:szCs w:val="11"/>
              </w:rPr>
              <w:t>woning</w:t>
            </w:r>
            <w:r w:rsidRPr="00B21FAC">
              <w:rPr>
                <w:rFonts w:ascii="Calibri" w:hAnsi="Calibri" w:cs="Calibri"/>
                <w:spacing w:val="-5"/>
                <w:sz w:val="11"/>
                <w:szCs w:val="11"/>
              </w:rPr>
              <w:t xml:space="preserve"> </w:t>
            </w:r>
            <w:r w:rsidRPr="00B21FAC">
              <w:rPr>
                <w:rFonts w:ascii="Calibri" w:hAnsi="Calibri" w:cs="Calibri"/>
                <w:sz w:val="11"/>
                <w:szCs w:val="11"/>
              </w:rPr>
              <w:t>ander</w:t>
            </w:r>
            <w:r w:rsidRPr="00B21FAC">
              <w:rPr>
                <w:rFonts w:ascii="Calibri" w:hAnsi="Calibri" w:cs="Calibri"/>
                <w:spacing w:val="-2"/>
                <w:sz w:val="11"/>
                <w:szCs w:val="11"/>
              </w:rPr>
              <w:t xml:space="preserve"> </w:t>
            </w:r>
            <w:r w:rsidRPr="00B21FAC">
              <w:rPr>
                <w:rFonts w:ascii="Calibri" w:hAnsi="Calibri" w:cs="Calibri"/>
                <w:sz w:val="11"/>
                <w:szCs w:val="11"/>
              </w:rPr>
              <w:t>dan</w:t>
            </w:r>
            <w:r w:rsidRPr="00B21FAC">
              <w:rPr>
                <w:rFonts w:ascii="Calibri" w:hAnsi="Calibri" w:cs="Calibri"/>
                <w:spacing w:val="-4"/>
                <w:sz w:val="11"/>
                <w:szCs w:val="11"/>
              </w:rPr>
              <w:t xml:space="preserve"> </w:t>
            </w:r>
            <w:r w:rsidRPr="00B21FAC">
              <w:rPr>
                <w:rFonts w:ascii="Calibri" w:hAnsi="Calibri" w:cs="Calibri"/>
                <w:sz w:val="11"/>
                <w:szCs w:val="11"/>
              </w:rPr>
              <w:t>de</w:t>
            </w:r>
            <w:r w:rsidRPr="00B21FAC">
              <w:rPr>
                <w:rFonts w:ascii="Calibri" w:hAnsi="Calibri" w:cs="Calibri"/>
                <w:spacing w:val="-4"/>
                <w:sz w:val="11"/>
                <w:szCs w:val="11"/>
              </w:rPr>
              <w:t xml:space="preserve"> </w:t>
            </w:r>
            <w:r w:rsidRPr="00B21FAC">
              <w:rPr>
                <w:rFonts w:ascii="Calibri" w:hAnsi="Calibri" w:cs="Calibri"/>
                <w:sz w:val="11"/>
                <w:szCs w:val="11"/>
              </w:rPr>
              <w:t>eigen</w:t>
            </w:r>
            <w:r w:rsidRPr="00B21FAC">
              <w:rPr>
                <w:rFonts w:ascii="Calibri" w:hAnsi="Calibri" w:cs="Calibri"/>
                <w:spacing w:val="-4"/>
                <w:sz w:val="11"/>
                <w:szCs w:val="11"/>
              </w:rPr>
              <w:t xml:space="preserve"> </w:t>
            </w:r>
            <w:r w:rsidRPr="00B21FAC">
              <w:rPr>
                <w:rFonts w:ascii="Calibri" w:hAnsi="Calibri" w:cs="Calibri"/>
                <w:sz w:val="11"/>
                <w:szCs w:val="11"/>
              </w:rPr>
              <w:t>woning</w:t>
            </w:r>
          </w:p>
        </w:tc>
      </w:tr>
      <w:tr w:rsidR="00C2572E" w:rsidRPr="00B21FAC" w14:paraId="3691360A"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00AF50"/>
          </w:tcPr>
          <w:p w14:paraId="06A9AE52" w14:textId="77777777" w:rsidR="00C2572E" w:rsidRPr="00B21FAC"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00B21FAC">
              <w:rPr>
                <w:rFonts w:ascii="Calibri" w:hAnsi="Calibri" w:cs="Calibri"/>
                <w:sz w:val="11"/>
                <w:szCs w:val="11"/>
              </w:rPr>
              <w:t>Vermindering</w:t>
            </w:r>
            <w:r w:rsidRPr="00B21FAC">
              <w:rPr>
                <w:rFonts w:ascii="Calibri" w:hAnsi="Calibri" w:cs="Calibri"/>
                <w:spacing w:val="-3"/>
                <w:sz w:val="11"/>
                <w:szCs w:val="11"/>
              </w:rPr>
              <w:t xml:space="preserve"> </w:t>
            </w:r>
            <w:r w:rsidRPr="00B21FAC">
              <w:rPr>
                <w:rFonts w:ascii="Calibri" w:hAnsi="Calibri" w:cs="Calibri"/>
                <w:sz w:val="11"/>
                <w:szCs w:val="11"/>
              </w:rPr>
              <w:t>voor</w:t>
            </w:r>
            <w:r w:rsidRPr="00B21FAC">
              <w:rPr>
                <w:rFonts w:ascii="Calibri" w:hAnsi="Calibri" w:cs="Calibri"/>
                <w:spacing w:val="-3"/>
                <w:sz w:val="11"/>
                <w:szCs w:val="11"/>
              </w:rPr>
              <w:t xml:space="preserve"> </w:t>
            </w:r>
            <w:r w:rsidRPr="00B21FAC">
              <w:rPr>
                <w:rFonts w:ascii="Calibri" w:hAnsi="Calibri" w:cs="Calibri"/>
                <w:sz w:val="11"/>
                <w:szCs w:val="11"/>
              </w:rPr>
              <w:t>minderwaarden</w:t>
            </w:r>
            <w:r w:rsidRPr="00B21FAC">
              <w:rPr>
                <w:rFonts w:ascii="Calibri" w:hAnsi="Calibri" w:cs="Calibri"/>
                <w:spacing w:val="-2"/>
                <w:sz w:val="11"/>
                <w:szCs w:val="11"/>
              </w:rPr>
              <w:t xml:space="preserve"> </w:t>
            </w:r>
            <w:r w:rsidRPr="00B21FAC">
              <w:rPr>
                <w:rFonts w:ascii="Calibri" w:hAnsi="Calibri" w:cs="Calibri"/>
                <w:sz w:val="11"/>
                <w:szCs w:val="11"/>
              </w:rPr>
              <w:t>bij</w:t>
            </w:r>
            <w:r w:rsidRPr="00B21FAC">
              <w:rPr>
                <w:rFonts w:ascii="Calibri" w:hAnsi="Calibri" w:cs="Calibri"/>
                <w:spacing w:val="-2"/>
                <w:sz w:val="11"/>
                <w:szCs w:val="11"/>
              </w:rPr>
              <w:t xml:space="preserve"> </w:t>
            </w:r>
            <w:r w:rsidRPr="00B21FAC">
              <w:rPr>
                <w:rFonts w:ascii="Calibri" w:hAnsi="Calibri" w:cs="Calibri"/>
                <w:sz w:val="11"/>
                <w:szCs w:val="11"/>
              </w:rPr>
              <w:t>gehele</w:t>
            </w:r>
            <w:r w:rsidRPr="00B21FAC">
              <w:rPr>
                <w:rFonts w:ascii="Calibri" w:hAnsi="Calibri" w:cs="Calibri"/>
                <w:spacing w:val="-3"/>
                <w:sz w:val="11"/>
                <w:szCs w:val="11"/>
              </w:rPr>
              <w:t xml:space="preserve"> </w:t>
            </w:r>
            <w:r w:rsidRPr="00B21FAC">
              <w:rPr>
                <w:rFonts w:ascii="Calibri" w:hAnsi="Calibri" w:cs="Calibri"/>
                <w:sz w:val="11"/>
                <w:szCs w:val="11"/>
              </w:rPr>
              <w:t>verdeling</w:t>
            </w:r>
            <w:r w:rsidRPr="00B21FAC">
              <w:rPr>
                <w:rFonts w:ascii="Calibri" w:hAnsi="Calibri" w:cs="Calibri"/>
                <w:spacing w:val="-3"/>
                <w:sz w:val="11"/>
                <w:szCs w:val="11"/>
              </w:rPr>
              <w:t xml:space="preserve"> </w:t>
            </w:r>
            <w:r w:rsidRPr="00B21FAC">
              <w:rPr>
                <w:rFonts w:ascii="Calibri" w:hAnsi="Calibri" w:cs="Calibri"/>
                <w:sz w:val="11"/>
                <w:szCs w:val="11"/>
              </w:rPr>
              <w:t>van</w:t>
            </w:r>
            <w:r w:rsidRPr="00B21FAC">
              <w:rPr>
                <w:rFonts w:ascii="Calibri" w:hAnsi="Calibri" w:cs="Calibri"/>
                <w:spacing w:val="-2"/>
                <w:sz w:val="11"/>
                <w:szCs w:val="11"/>
              </w:rPr>
              <w:t xml:space="preserve"> </w:t>
            </w:r>
            <w:r w:rsidRPr="00B21FAC">
              <w:rPr>
                <w:rFonts w:ascii="Calibri" w:hAnsi="Calibri" w:cs="Calibri"/>
                <w:sz w:val="11"/>
                <w:szCs w:val="11"/>
              </w:rPr>
              <w:t>een</w:t>
            </w:r>
            <w:r w:rsidRPr="00B21FAC">
              <w:rPr>
                <w:rFonts w:ascii="Calibri" w:hAnsi="Calibri" w:cs="Calibri"/>
                <w:spacing w:val="-2"/>
                <w:sz w:val="11"/>
                <w:szCs w:val="11"/>
              </w:rPr>
              <w:t xml:space="preserve"> </w:t>
            </w:r>
            <w:r w:rsidRPr="00B21FAC">
              <w:rPr>
                <w:rFonts w:ascii="Calibri" w:hAnsi="Calibri" w:cs="Calibri"/>
                <w:sz w:val="11"/>
                <w:szCs w:val="11"/>
              </w:rPr>
              <w:t>private</w:t>
            </w:r>
            <w:r w:rsidRPr="00B21FAC">
              <w:rPr>
                <w:rFonts w:ascii="Calibri" w:hAnsi="Calibri" w:cs="Calibri"/>
                <w:spacing w:val="-4"/>
                <w:sz w:val="11"/>
                <w:szCs w:val="11"/>
              </w:rPr>
              <w:t xml:space="preserve"> </w:t>
            </w:r>
            <w:r w:rsidRPr="00B21FAC">
              <w:rPr>
                <w:rFonts w:ascii="Calibri" w:hAnsi="Calibri" w:cs="Calibri"/>
                <w:sz w:val="11"/>
                <w:szCs w:val="11"/>
              </w:rPr>
              <w:t>privak</w:t>
            </w:r>
          </w:p>
        </w:tc>
      </w:tr>
      <w:tr w:rsidR="00C2572E" w:rsidRPr="00B21FAC" w14:paraId="64984F38"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806000"/>
          </w:tcPr>
          <w:p w14:paraId="7BD2E496" w14:textId="77777777" w:rsidR="00C2572E" w:rsidRPr="00B21FAC"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B21FAC">
              <w:rPr>
                <w:rFonts w:ascii="Calibri" w:hAnsi="Calibri" w:cs="Calibri"/>
                <w:sz w:val="11"/>
                <w:szCs w:val="11"/>
              </w:rPr>
              <w:t>Vermindering</w:t>
            </w:r>
            <w:r w:rsidRPr="00B21FAC">
              <w:rPr>
                <w:rFonts w:ascii="Calibri" w:hAnsi="Calibri" w:cs="Calibri"/>
                <w:spacing w:val="-3"/>
                <w:sz w:val="11"/>
                <w:szCs w:val="11"/>
              </w:rPr>
              <w:t xml:space="preserve"> </w:t>
            </w:r>
            <w:r w:rsidRPr="00B21FAC">
              <w:rPr>
                <w:rFonts w:ascii="Calibri" w:hAnsi="Calibri" w:cs="Calibri"/>
                <w:sz w:val="11"/>
                <w:szCs w:val="11"/>
              </w:rPr>
              <w:t>voor</w:t>
            </w:r>
            <w:r w:rsidRPr="00B21FAC">
              <w:rPr>
                <w:rFonts w:ascii="Calibri" w:hAnsi="Calibri" w:cs="Calibri"/>
                <w:spacing w:val="-2"/>
                <w:sz w:val="11"/>
                <w:szCs w:val="11"/>
              </w:rPr>
              <w:t xml:space="preserve"> </w:t>
            </w:r>
            <w:r w:rsidRPr="00B21FAC">
              <w:rPr>
                <w:rFonts w:ascii="Calibri" w:hAnsi="Calibri" w:cs="Calibri"/>
                <w:sz w:val="11"/>
                <w:szCs w:val="11"/>
              </w:rPr>
              <w:t>elektrische</w:t>
            </w:r>
            <w:r w:rsidRPr="00B21FAC">
              <w:rPr>
                <w:rFonts w:ascii="Calibri" w:hAnsi="Calibri" w:cs="Calibri"/>
                <w:spacing w:val="-2"/>
                <w:sz w:val="11"/>
                <w:szCs w:val="11"/>
              </w:rPr>
              <w:t xml:space="preserve"> </w:t>
            </w:r>
            <w:r w:rsidRPr="00B21FAC">
              <w:rPr>
                <w:rFonts w:ascii="Calibri" w:hAnsi="Calibri" w:cs="Calibri"/>
                <w:sz w:val="11"/>
                <w:szCs w:val="11"/>
              </w:rPr>
              <w:t>voertuigen</w:t>
            </w:r>
          </w:p>
        </w:tc>
      </w:tr>
      <w:tr w:rsidR="00C2572E" w:rsidRPr="00B21FAC" w14:paraId="7844659B"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tcPr>
          <w:p w14:paraId="4223F395" w14:textId="77777777" w:rsidR="00C2572E" w:rsidRPr="00B21FAC"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B21FAC">
              <w:rPr>
                <w:rFonts w:ascii="Calibri" w:hAnsi="Calibri" w:cs="Calibri"/>
                <w:sz w:val="11"/>
                <w:szCs w:val="11"/>
              </w:rPr>
              <w:t>Vermindering</w:t>
            </w:r>
            <w:r w:rsidRPr="00B21FAC">
              <w:rPr>
                <w:rFonts w:ascii="Calibri" w:hAnsi="Calibri" w:cs="Calibri"/>
                <w:spacing w:val="-3"/>
                <w:sz w:val="11"/>
                <w:szCs w:val="11"/>
              </w:rPr>
              <w:t xml:space="preserve"> </w:t>
            </w:r>
            <w:r w:rsidRPr="00B21FAC">
              <w:rPr>
                <w:rFonts w:ascii="Calibri" w:hAnsi="Calibri" w:cs="Calibri"/>
                <w:sz w:val="11"/>
                <w:szCs w:val="11"/>
              </w:rPr>
              <w:t>voor</w:t>
            </w:r>
            <w:r w:rsidRPr="00B21FAC">
              <w:rPr>
                <w:rFonts w:ascii="Calibri" w:hAnsi="Calibri" w:cs="Calibri"/>
                <w:spacing w:val="-2"/>
                <w:sz w:val="11"/>
                <w:szCs w:val="11"/>
              </w:rPr>
              <w:t xml:space="preserve"> </w:t>
            </w:r>
            <w:r w:rsidRPr="00B21FAC">
              <w:rPr>
                <w:rFonts w:ascii="Calibri" w:hAnsi="Calibri" w:cs="Calibri"/>
                <w:sz w:val="11"/>
                <w:szCs w:val="11"/>
              </w:rPr>
              <w:t>giften</w:t>
            </w:r>
          </w:p>
        </w:tc>
      </w:tr>
      <w:tr w:rsidR="00C2572E" w:rsidRPr="00B21FAC" w14:paraId="1C94B016"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tcPr>
          <w:p w14:paraId="72FADA46" w14:textId="77777777" w:rsidR="00C2572E" w:rsidRPr="00B21FAC"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00B21FAC">
              <w:rPr>
                <w:rFonts w:ascii="Calibri" w:hAnsi="Calibri" w:cs="Calibri"/>
                <w:sz w:val="11"/>
                <w:szCs w:val="11"/>
              </w:rPr>
              <w:t>Vermindering</w:t>
            </w:r>
            <w:r w:rsidRPr="00B21FAC">
              <w:rPr>
                <w:rFonts w:ascii="Calibri" w:hAnsi="Calibri" w:cs="Calibri"/>
                <w:spacing w:val="-3"/>
                <w:sz w:val="11"/>
                <w:szCs w:val="11"/>
              </w:rPr>
              <w:t xml:space="preserve"> </w:t>
            </w:r>
            <w:r w:rsidRPr="00B21FAC">
              <w:rPr>
                <w:rFonts w:ascii="Calibri" w:hAnsi="Calibri" w:cs="Calibri"/>
                <w:sz w:val="11"/>
                <w:szCs w:val="11"/>
              </w:rPr>
              <w:t>voor</w:t>
            </w:r>
            <w:r w:rsidRPr="00B21FAC">
              <w:rPr>
                <w:rFonts w:ascii="Calibri" w:hAnsi="Calibri" w:cs="Calibri"/>
                <w:spacing w:val="-2"/>
                <w:sz w:val="11"/>
                <w:szCs w:val="11"/>
              </w:rPr>
              <w:t xml:space="preserve"> </w:t>
            </w:r>
            <w:r w:rsidRPr="00B21FAC">
              <w:rPr>
                <w:rFonts w:ascii="Calibri" w:hAnsi="Calibri" w:cs="Calibri"/>
                <w:sz w:val="11"/>
                <w:szCs w:val="11"/>
              </w:rPr>
              <w:t>bezoldigingen</w:t>
            </w:r>
            <w:r w:rsidRPr="00B21FAC">
              <w:rPr>
                <w:rFonts w:ascii="Calibri" w:hAnsi="Calibri" w:cs="Calibri"/>
                <w:spacing w:val="-2"/>
                <w:sz w:val="11"/>
                <w:szCs w:val="11"/>
              </w:rPr>
              <w:t xml:space="preserve"> </w:t>
            </w:r>
            <w:r w:rsidRPr="00B21FAC">
              <w:rPr>
                <w:rFonts w:ascii="Calibri" w:hAnsi="Calibri" w:cs="Calibri"/>
                <w:sz w:val="11"/>
                <w:szCs w:val="11"/>
              </w:rPr>
              <w:t>van</w:t>
            </w:r>
            <w:r w:rsidRPr="00B21FAC">
              <w:rPr>
                <w:rFonts w:ascii="Calibri" w:hAnsi="Calibri" w:cs="Calibri"/>
                <w:spacing w:val="-1"/>
                <w:sz w:val="11"/>
                <w:szCs w:val="11"/>
              </w:rPr>
              <w:t xml:space="preserve"> </w:t>
            </w:r>
            <w:r w:rsidRPr="00B21FAC">
              <w:rPr>
                <w:rFonts w:ascii="Calibri" w:hAnsi="Calibri" w:cs="Calibri"/>
                <w:sz w:val="11"/>
                <w:szCs w:val="11"/>
              </w:rPr>
              <w:t>een</w:t>
            </w:r>
            <w:r w:rsidRPr="00B21FAC">
              <w:rPr>
                <w:rFonts w:ascii="Calibri" w:hAnsi="Calibri" w:cs="Calibri"/>
                <w:spacing w:val="-1"/>
                <w:sz w:val="11"/>
                <w:szCs w:val="11"/>
              </w:rPr>
              <w:t xml:space="preserve"> </w:t>
            </w:r>
            <w:r w:rsidRPr="00B21FAC">
              <w:rPr>
                <w:rFonts w:ascii="Calibri" w:hAnsi="Calibri" w:cs="Calibri"/>
                <w:sz w:val="11"/>
                <w:szCs w:val="11"/>
              </w:rPr>
              <w:t>huisbediende</w:t>
            </w:r>
          </w:p>
        </w:tc>
      </w:tr>
      <w:tr w:rsidR="00C2572E" w:rsidRPr="00B21FAC" w14:paraId="55C46848"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00AFEF"/>
          </w:tcPr>
          <w:p w14:paraId="0F33EAD3" w14:textId="77777777" w:rsidR="00C2572E" w:rsidRPr="00B21FAC"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B21FAC">
              <w:rPr>
                <w:rFonts w:ascii="Calibri" w:hAnsi="Calibri" w:cs="Calibri"/>
                <w:sz w:val="11"/>
                <w:szCs w:val="11"/>
              </w:rPr>
              <w:t>Vermindering</w:t>
            </w:r>
            <w:r w:rsidRPr="00B21FAC">
              <w:rPr>
                <w:rFonts w:ascii="Calibri" w:hAnsi="Calibri" w:cs="Calibri"/>
                <w:spacing w:val="-3"/>
                <w:sz w:val="11"/>
                <w:szCs w:val="11"/>
              </w:rPr>
              <w:t xml:space="preserve"> </w:t>
            </w:r>
            <w:r w:rsidRPr="00B21FAC">
              <w:rPr>
                <w:rFonts w:ascii="Calibri" w:hAnsi="Calibri" w:cs="Calibri"/>
                <w:sz w:val="11"/>
                <w:szCs w:val="11"/>
              </w:rPr>
              <w:t>voor</w:t>
            </w:r>
            <w:r w:rsidRPr="00B21FAC">
              <w:rPr>
                <w:rFonts w:ascii="Calibri" w:hAnsi="Calibri" w:cs="Calibri"/>
                <w:spacing w:val="-2"/>
                <w:sz w:val="11"/>
                <w:szCs w:val="11"/>
              </w:rPr>
              <w:t xml:space="preserve"> </w:t>
            </w:r>
            <w:r w:rsidRPr="00B21FAC">
              <w:rPr>
                <w:rFonts w:ascii="Calibri" w:hAnsi="Calibri" w:cs="Calibri"/>
                <w:sz w:val="11"/>
                <w:szCs w:val="11"/>
              </w:rPr>
              <w:t>kinderoppas</w:t>
            </w:r>
          </w:p>
        </w:tc>
      </w:tr>
      <w:tr w:rsidR="00C2572E" w:rsidRPr="00B21FAC" w14:paraId="68B33C5F"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00AFEF"/>
          </w:tcPr>
          <w:p w14:paraId="6AE184DF" w14:textId="77777777" w:rsidR="00C2572E" w:rsidRPr="00B21FAC"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B21FAC">
              <w:rPr>
                <w:rFonts w:ascii="Calibri" w:hAnsi="Calibri" w:cs="Calibri"/>
                <w:sz w:val="11"/>
                <w:szCs w:val="11"/>
              </w:rPr>
              <w:t>Vermindering</w:t>
            </w:r>
            <w:r w:rsidRPr="00B21FAC">
              <w:rPr>
                <w:rFonts w:ascii="Calibri" w:hAnsi="Calibri" w:cs="Calibri"/>
                <w:spacing w:val="-3"/>
                <w:sz w:val="11"/>
                <w:szCs w:val="11"/>
              </w:rPr>
              <w:t xml:space="preserve"> </w:t>
            </w:r>
            <w:r w:rsidRPr="00B21FAC">
              <w:rPr>
                <w:rFonts w:ascii="Calibri" w:hAnsi="Calibri" w:cs="Calibri"/>
                <w:sz w:val="11"/>
                <w:szCs w:val="11"/>
              </w:rPr>
              <w:t>voor</w:t>
            </w:r>
            <w:r w:rsidRPr="00B21FAC">
              <w:rPr>
                <w:rFonts w:ascii="Calibri" w:hAnsi="Calibri" w:cs="Calibri"/>
                <w:spacing w:val="-2"/>
                <w:sz w:val="11"/>
                <w:szCs w:val="11"/>
              </w:rPr>
              <w:t xml:space="preserve"> </w:t>
            </w:r>
            <w:r w:rsidRPr="00B21FAC">
              <w:rPr>
                <w:rFonts w:ascii="Calibri" w:hAnsi="Calibri" w:cs="Calibri"/>
                <w:sz w:val="11"/>
                <w:szCs w:val="11"/>
              </w:rPr>
              <w:t>adoptiekosten</w:t>
            </w:r>
          </w:p>
        </w:tc>
      </w:tr>
      <w:tr w:rsidR="00C2572E" w:rsidRPr="00B21FAC" w14:paraId="471E52A4"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tcPr>
          <w:p w14:paraId="3F1FEEF0" w14:textId="77777777" w:rsidR="00C2572E" w:rsidRPr="00B21FAC" w:rsidRDefault="00C2572E" w:rsidP="00BA7E3E">
            <w:pPr>
              <w:kinsoku w:val="0"/>
              <w:overflowPunct w:val="0"/>
              <w:autoSpaceDE w:val="0"/>
              <w:autoSpaceDN w:val="0"/>
              <w:adjustRightInd w:val="0"/>
              <w:spacing w:after="0"/>
              <w:ind w:left="251" w:right="213"/>
              <w:jc w:val="center"/>
              <w:rPr>
                <w:rFonts w:ascii="Calibri" w:hAnsi="Calibri" w:cs="Calibri"/>
                <w:sz w:val="11"/>
                <w:szCs w:val="11"/>
              </w:rPr>
            </w:pPr>
            <w:r w:rsidRPr="00B21FAC">
              <w:rPr>
                <w:rFonts w:ascii="Calibri" w:hAnsi="Calibri" w:cs="Calibri"/>
                <w:sz w:val="11"/>
                <w:szCs w:val="11"/>
              </w:rPr>
              <w:t>Vermindering</w:t>
            </w:r>
            <w:r w:rsidRPr="00B21FAC">
              <w:rPr>
                <w:rFonts w:ascii="Calibri" w:hAnsi="Calibri" w:cs="Calibri"/>
                <w:spacing w:val="-3"/>
                <w:sz w:val="11"/>
                <w:szCs w:val="11"/>
              </w:rPr>
              <w:t xml:space="preserve"> </w:t>
            </w:r>
            <w:r w:rsidRPr="00B21FAC">
              <w:rPr>
                <w:rFonts w:ascii="Calibri" w:hAnsi="Calibri" w:cs="Calibri"/>
                <w:sz w:val="11"/>
                <w:szCs w:val="11"/>
              </w:rPr>
              <w:t>voor</w:t>
            </w:r>
            <w:r w:rsidRPr="00B21FAC">
              <w:rPr>
                <w:rFonts w:ascii="Calibri" w:hAnsi="Calibri" w:cs="Calibri"/>
                <w:spacing w:val="-2"/>
                <w:sz w:val="11"/>
                <w:szCs w:val="11"/>
              </w:rPr>
              <w:t xml:space="preserve"> </w:t>
            </w:r>
            <w:r w:rsidRPr="00B21FAC">
              <w:rPr>
                <w:rFonts w:ascii="Calibri" w:hAnsi="Calibri" w:cs="Calibri"/>
                <w:sz w:val="11"/>
                <w:szCs w:val="11"/>
              </w:rPr>
              <w:t>een</w:t>
            </w:r>
            <w:r w:rsidRPr="00B21FAC">
              <w:rPr>
                <w:rFonts w:ascii="Calibri" w:hAnsi="Calibri" w:cs="Calibri"/>
                <w:spacing w:val="-1"/>
                <w:sz w:val="11"/>
                <w:szCs w:val="11"/>
              </w:rPr>
              <w:t xml:space="preserve"> </w:t>
            </w:r>
            <w:r w:rsidRPr="00B21FAC">
              <w:rPr>
                <w:rFonts w:ascii="Calibri" w:hAnsi="Calibri" w:cs="Calibri"/>
                <w:sz w:val="11"/>
                <w:szCs w:val="11"/>
              </w:rPr>
              <w:t>rechtsbijstandsverzekering</w:t>
            </w:r>
          </w:p>
        </w:tc>
      </w:tr>
      <w:tr w:rsidR="00C2572E" w:rsidRPr="00B21FAC" w14:paraId="6CE5996C"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FFFF00"/>
          </w:tcPr>
          <w:p w14:paraId="7155352B" w14:textId="77777777" w:rsidR="00C2572E" w:rsidRPr="00B21FAC"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00B21FAC">
              <w:rPr>
                <w:rFonts w:ascii="Calibri" w:hAnsi="Calibri" w:cs="Calibri"/>
                <w:sz w:val="11"/>
                <w:szCs w:val="11"/>
              </w:rPr>
              <w:t>Vermindering</w:t>
            </w:r>
            <w:r w:rsidRPr="00B21FAC">
              <w:rPr>
                <w:rFonts w:ascii="Calibri" w:hAnsi="Calibri" w:cs="Calibri"/>
                <w:spacing w:val="-3"/>
                <w:sz w:val="11"/>
                <w:szCs w:val="11"/>
              </w:rPr>
              <w:t xml:space="preserve"> </w:t>
            </w:r>
            <w:r w:rsidRPr="00B21FAC">
              <w:rPr>
                <w:rFonts w:ascii="Calibri" w:hAnsi="Calibri" w:cs="Calibri"/>
                <w:sz w:val="11"/>
                <w:szCs w:val="11"/>
              </w:rPr>
              <w:t>inzake</w:t>
            </w:r>
            <w:r w:rsidRPr="00B21FAC">
              <w:rPr>
                <w:rFonts w:ascii="Calibri" w:hAnsi="Calibri" w:cs="Calibri"/>
                <w:spacing w:val="-2"/>
                <w:sz w:val="11"/>
                <w:szCs w:val="11"/>
              </w:rPr>
              <w:t xml:space="preserve"> </w:t>
            </w:r>
            <w:r w:rsidRPr="00B21FAC">
              <w:rPr>
                <w:rFonts w:ascii="Calibri" w:hAnsi="Calibri" w:cs="Calibri"/>
                <w:sz w:val="11"/>
                <w:szCs w:val="11"/>
              </w:rPr>
              <w:t>overwerk</w:t>
            </w:r>
          </w:p>
        </w:tc>
      </w:tr>
      <w:tr w:rsidR="00C2572E" w:rsidRPr="00B21FAC" w14:paraId="6E6282AE"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00AF50"/>
          </w:tcPr>
          <w:p w14:paraId="3F3BA62B" w14:textId="77777777" w:rsidR="00C2572E" w:rsidRPr="00B21FAC"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00B21FAC">
              <w:rPr>
                <w:rFonts w:ascii="Calibri" w:hAnsi="Calibri" w:cs="Calibri"/>
                <w:sz w:val="11"/>
                <w:szCs w:val="11"/>
              </w:rPr>
              <w:t>Vermindering</w:t>
            </w:r>
            <w:r w:rsidRPr="00B21FAC">
              <w:rPr>
                <w:rFonts w:ascii="Calibri" w:hAnsi="Calibri" w:cs="Calibri"/>
                <w:spacing w:val="-3"/>
                <w:sz w:val="11"/>
                <w:szCs w:val="11"/>
              </w:rPr>
              <w:t xml:space="preserve"> </w:t>
            </w:r>
            <w:r w:rsidRPr="00B21FAC">
              <w:rPr>
                <w:rFonts w:ascii="Calibri" w:hAnsi="Calibri" w:cs="Calibri"/>
                <w:sz w:val="11"/>
                <w:szCs w:val="11"/>
              </w:rPr>
              <w:t>voor</w:t>
            </w:r>
            <w:r w:rsidRPr="00B21FAC">
              <w:rPr>
                <w:rFonts w:ascii="Calibri" w:hAnsi="Calibri" w:cs="Calibri"/>
                <w:spacing w:val="-3"/>
                <w:sz w:val="11"/>
                <w:szCs w:val="11"/>
              </w:rPr>
              <w:t xml:space="preserve"> </w:t>
            </w:r>
            <w:r w:rsidRPr="00B21FAC">
              <w:rPr>
                <w:rFonts w:ascii="Calibri" w:hAnsi="Calibri" w:cs="Calibri"/>
                <w:sz w:val="11"/>
                <w:szCs w:val="11"/>
              </w:rPr>
              <w:t>premies</w:t>
            </w:r>
            <w:r w:rsidRPr="00B21FAC">
              <w:rPr>
                <w:rFonts w:ascii="Calibri" w:hAnsi="Calibri" w:cs="Calibri"/>
                <w:spacing w:val="-2"/>
                <w:sz w:val="11"/>
                <w:szCs w:val="11"/>
              </w:rPr>
              <w:t xml:space="preserve"> </w:t>
            </w:r>
            <w:r w:rsidRPr="00B21FAC">
              <w:rPr>
                <w:rFonts w:ascii="Calibri" w:hAnsi="Calibri" w:cs="Calibri"/>
                <w:sz w:val="11"/>
                <w:szCs w:val="11"/>
              </w:rPr>
              <w:t>voor</w:t>
            </w:r>
            <w:r w:rsidRPr="00B21FAC">
              <w:rPr>
                <w:rFonts w:ascii="Calibri" w:hAnsi="Calibri" w:cs="Calibri"/>
                <w:spacing w:val="-1"/>
                <w:sz w:val="11"/>
                <w:szCs w:val="11"/>
              </w:rPr>
              <w:t xml:space="preserve"> </w:t>
            </w:r>
            <w:r w:rsidRPr="00B21FAC">
              <w:rPr>
                <w:rFonts w:ascii="Calibri" w:hAnsi="Calibri" w:cs="Calibri"/>
                <w:sz w:val="11"/>
                <w:szCs w:val="11"/>
              </w:rPr>
              <w:t>individuele</w:t>
            </w:r>
            <w:r w:rsidRPr="00B21FAC">
              <w:rPr>
                <w:rFonts w:ascii="Calibri" w:hAnsi="Calibri" w:cs="Calibri"/>
                <w:spacing w:val="-4"/>
                <w:sz w:val="11"/>
                <w:szCs w:val="11"/>
              </w:rPr>
              <w:t xml:space="preserve"> </w:t>
            </w:r>
            <w:r w:rsidRPr="00B21FAC">
              <w:rPr>
                <w:rFonts w:ascii="Calibri" w:hAnsi="Calibri" w:cs="Calibri"/>
                <w:sz w:val="11"/>
                <w:szCs w:val="11"/>
              </w:rPr>
              <w:t>levensverzekeringscontracten</w:t>
            </w:r>
          </w:p>
        </w:tc>
      </w:tr>
      <w:tr w:rsidR="00C2572E" w:rsidRPr="00B21FAC" w14:paraId="25F769EA"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FFFF00"/>
          </w:tcPr>
          <w:p w14:paraId="543C3CDA" w14:textId="77777777" w:rsidR="00C2572E" w:rsidRPr="00B21FAC" w:rsidRDefault="00C2572E" w:rsidP="00BA7E3E">
            <w:pPr>
              <w:kinsoku w:val="0"/>
              <w:overflowPunct w:val="0"/>
              <w:autoSpaceDE w:val="0"/>
              <w:autoSpaceDN w:val="0"/>
              <w:adjustRightInd w:val="0"/>
              <w:spacing w:after="0"/>
              <w:ind w:left="251" w:right="213"/>
              <w:jc w:val="center"/>
              <w:rPr>
                <w:rFonts w:ascii="Calibri" w:hAnsi="Calibri" w:cs="Calibri"/>
                <w:sz w:val="11"/>
                <w:szCs w:val="11"/>
              </w:rPr>
            </w:pPr>
            <w:r w:rsidRPr="00B21FAC">
              <w:rPr>
                <w:rFonts w:ascii="Calibri" w:hAnsi="Calibri" w:cs="Calibri"/>
                <w:sz w:val="11"/>
                <w:szCs w:val="11"/>
              </w:rPr>
              <w:t>Vermindering</w:t>
            </w:r>
            <w:r w:rsidRPr="00B21FAC">
              <w:rPr>
                <w:rFonts w:ascii="Calibri" w:hAnsi="Calibri" w:cs="Calibri"/>
                <w:spacing w:val="-3"/>
                <w:sz w:val="11"/>
                <w:szCs w:val="11"/>
              </w:rPr>
              <w:t xml:space="preserve"> </w:t>
            </w:r>
            <w:r w:rsidRPr="00B21FAC">
              <w:rPr>
                <w:rFonts w:ascii="Calibri" w:hAnsi="Calibri" w:cs="Calibri"/>
                <w:sz w:val="11"/>
                <w:szCs w:val="11"/>
              </w:rPr>
              <w:t>voor</w:t>
            </w:r>
            <w:r w:rsidRPr="00B21FAC">
              <w:rPr>
                <w:rFonts w:ascii="Calibri" w:hAnsi="Calibri" w:cs="Calibri"/>
                <w:spacing w:val="-2"/>
                <w:sz w:val="11"/>
                <w:szCs w:val="11"/>
              </w:rPr>
              <w:t xml:space="preserve"> </w:t>
            </w:r>
            <w:r w:rsidRPr="00B21FAC">
              <w:rPr>
                <w:rFonts w:ascii="Calibri" w:hAnsi="Calibri" w:cs="Calibri"/>
                <w:sz w:val="11"/>
                <w:szCs w:val="11"/>
              </w:rPr>
              <w:t>werkgeversaandelen</w:t>
            </w:r>
          </w:p>
        </w:tc>
      </w:tr>
      <w:tr w:rsidR="00C2572E" w:rsidRPr="00B21FAC" w14:paraId="61DF25A3"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00AF50"/>
          </w:tcPr>
          <w:p w14:paraId="1FA6ED02" w14:textId="77777777" w:rsidR="00C2572E" w:rsidRPr="00B21FAC"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B21FAC">
              <w:rPr>
                <w:rFonts w:ascii="Calibri" w:hAnsi="Calibri" w:cs="Calibri"/>
                <w:sz w:val="11"/>
                <w:szCs w:val="11"/>
              </w:rPr>
              <w:t>Vermindering</w:t>
            </w:r>
            <w:r w:rsidRPr="00B21FAC">
              <w:rPr>
                <w:rFonts w:ascii="Calibri" w:hAnsi="Calibri" w:cs="Calibri"/>
                <w:spacing w:val="-3"/>
                <w:sz w:val="11"/>
                <w:szCs w:val="11"/>
              </w:rPr>
              <w:t xml:space="preserve"> </w:t>
            </w:r>
            <w:r w:rsidRPr="00B21FAC">
              <w:rPr>
                <w:rFonts w:ascii="Calibri" w:hAnsi="Calibri" w:cs="Calibri"/>
                <w:sz w:val="11"/>
                <w:szCs w:val="11"/>
              </w:rPr>
              <w:t>voor</w:t>
            </w:r>
            <w:r w:rsidRPr="00B21FAC">
              <w:rPr>
                <w:rFonts w:ascii="Calibri" w:hAnsi="Calibri" w:cs="Calibri"/>
                <w:spacing w:val="-2"/>
                <w:sz w:val="11"/>
                <w:szCs w:val="11"/>
              </w:rPr>
              <w:t xml:space="preserve"> </w:t>
            </w:r>
            <w:r w:rsidRPr="00B21FAC">
              <w:rPr>
                <w:rFonts w:ascii="Calibri" w:hAnsi="Calibri" w:cs="Calibri"/>
                <w:sz w:val="11"/>
                <w:szCs w:val="11"/>
              </w:rPr>
              <w:t>pensioensparen</w:t>
            </w:r>
          </w:p>
        </w:tc>
      </w:tr>
      <w:tr w:rsidR="00C2572E" w:rsidRPr="00B21FAC" w14:paraId="370F648E"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00AF50"/>
          </w:tcPr>
          <w:p w14:paraId="48B3DC18" w14:textId="77777777" w:rsidR="00C2572E" w:rsidRPr="00B21FAC"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00B21FAC">
              <w:rPr>
                <w:rFonts w:ascii="Calibri" w:hAnsi="Calibri" w:cs="Calibri"/>
                <w:sz w:val="11"/>
                <w:szCs w:val="11"/>
              </w:rPr>
              <w:t>Vermindering</w:t>
            </w:r>
            <w:r w:rsidRPr="00B21FAC">
              <w:rPr>
                <w:rFonts w:ascii="Calibri" w:hAnsi="Calibri" w:cs="Calibri"/>
                <w:spacing w:val="-3"/>
                <w:sz w:val="11"/>
                <w:szCs w:val="11"/>
              </w:rPr>
              <w:t xml:space="preserve"> </w:t>
            </w:r>
            <w:r w:rsidRPr="00B21FAC">
              <w:rPr>
                <w:rFonts w:ascii="Calibri" w:hAnsi="Calibri" w:cs="Calibri"/>
                <w:sz w:val="11"/>
                <w:szCs w:val="11"/>
              </w:rPr>
              <w:t>voor</w:t>
            </w:r>
            <w:r w:rsidRPr="00B21FAC">
              <w:rPr>
                <w:rFonts w:ascii="Calibri" w:hAnsi="Calibri" w:cs="Calibri"/>
                <w:spacing w:val="-3"/>
                <w:sz w:val="11"/>
                <w:szCs w:val="11"/>
              </w:rPr>
              <w:t xml:space="preserve"> </w:t>
            </w:r>
            <w:r w:rsidRPr="00B21FAC">
              <w:rPr>
                <w:rFonts w:ascii="Calibri" w:hAnsi="Calibri" w:cs="Calibri"/>
                <w:sz w:val="11"/>
                <w:szCs w:val="11"/>
              </w:rPr>
              <w:t>nieuwe</w:t>
            </w:r>
            <w:r w:rsidRPr="00B21FAC">
              <w:rPr>
                <w:rFonts w:ascii="Calibri" w:hAnsi="Calibri" w:cs="Calibri"/>
                <w:spacing w:val="-2"/>
                <w:sz w:val="11"/>
                <w:szCs w:val="11"/>
              </w:rPr>
              <w:t xml:space="preserve"> </w:t>
            </w:r>
            <w:r w:rsidRPr="00B21FAC">
              <w:rPr>
                <w:rFonts w:ascii="Calibri" w:hAnsi="Calibri" w:cs="Calibri"/>
                <w:sz w:val="11"/>
                <w:szCs w:val="11"/>
              </w:rPr>
              <w:t>aandelen</w:t>
            </w:r>
            <w:r w:rsidRPr="00B21FAC">
              <w:rPr>
                <w:rFonts w:ascii="Calibri" w:hAnsi="Calibri" w:cs="Calibri"/>
                <w:spacing w:val="-2"/>
                <w:sz w:val="11"/>
                <w:szCs w:val="11"/>
              </w:rPr>
              <w:t xml:space="preserve"> </w:t>
            </w:r>
            <w:r w:rsidRPr="00B21FAC">
              <w:rPr>
                <w:rFonts w:ascii="Calibri" w:hAnsi="Calibri" w:cs="Calibri"/>
                <w:sz w:val="11"/>
                <w:szCs w:val="11"/>
              </w:rPr>
              <w:t>van startende</w:t>
            </w:r>
            <w:r w:rsidRPr="00B21FAC">
              <w:rPr>
                <w:rFonts w:ascii="Calibri" w:hAnsi="Calibri" w:cs="Calibri"/>
                <w:spacing w:val="-3"/>
                <w:sz w:val="11"/>
                <w:szCs w:val="11"/>
              </w:rPr>
              <w:t xml:space="preserve"> </w:t>
            </w:r>
            <w:r w:rsidRPr="00B21FAC">
              <w:rPr>
                <w:rFonts w:ascii="Calibri" w:hAnsi="Calibri" w:cs="Calibri"/>
                <w:sz w:val="11"/>
                <w:szCs w:val="11"/>
              </w:rPr>
              <w:t>ondernemingen</w:t>
            </w:r>
          </w:p>
        </w:tc>
      </w:tr>
      <w:tr w:rsidR="00C2572E" w:rsidRPr="00B21FAC" w14:paraId="37677568"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00AF50"/>
          </w:tcPr>
          <w:p w14:paraId="64915B46" w14:textId="77777777" w:rsidR="00C2572E" w:rsidRPr="00B21FAC" w:rsidRDefault="00C2572E" w:rsidP="00BA7E3E">
            <w:pPr>
              <w:kinsoku w:val="0"/>
              <w:overflowPunct w:val="0"/>
              <w:autoSpaceDE w:val="0"/>
              <w:autoSpaceDN w:val="0"/>
              <w:adjustRightInd w:val="0"/>
              <w:spacing w:after="0"/>
              <w:ind w:left="250" w:right="216"/>
              <w:jc w:val="center"/>
              <w:rPr>
                <w:rFonts w:ascii="Calibri" w:hAnsi="Calibri" w:cs="Calibri"/>
                <w:sz w:val="11"/>
                <w:szCs w:val="11"/>
              </w:rPr>
            </w:pPr>
            <w:r w:rsidRPr="00B21FAC">
              <w:rPr>
                <w:rFonts w:ascii="Calibri" w:hAnsi="Calibri" w:cs="Calibri"/>
                <w:sz w:val="11"/>
                <w:szCs w:val="11"/>
              </w:rPr>
              <w:t>Vermindering</w:t>
            </w:r>
            <w:r w:rsidRPr="00B21FAC">
              <w:rPr>
                <w:rFonts w:ascii="Calibri" w:hAnsi="Calibri" w:cs="Calibri"/>
                <w:spacing w:val="-3"/>
                <w:sz w:val="11"/>
                <w:szCs w:val="11"/>
              </w:rPr>
              <w:t xml:space="preserve"> </w:t>
            </w:r>
            <w:r w:rsidRPr="00B21FAC">
              <w:rPr>
                <w:rFonts w:ascii="Calibri" w:hAnsi="Calibri" w:cs="Calibri"/>
                <w:sz w:val="11"/>
                <w:szCs w:val="11"/>
              </w:rPr>
              <w:t>voor</w:t>
            </w:r>
            <w:r w:rsidRPr="00B21FAC">
              <w:rPr>
                <w:rFonts w:ascii="Calibri" w:hAnsi="Calibri" w:cs="Calibri"/>
                <w:spacing w:val="-2"/>
                <w:sz w:val="11"/>
                <w:szCs w:val="11"/>
              </w:rPr>
              <w:t xml:space="preserve"> </w:t>
            </w:r>
            <w:r w:rsidRPr="00B21FAC">
              <w:rPr>
                <w:rFonts w:ascii="Calibri" w:hAnsi="Calibri" w:cs="Calibri"/>
                <w:sz w:val="11"/>
                <w:szCs w:val="11"/>
              </w:rPr>
              <w:t>aandelen</w:t>
            </w:r>
            <w:r w:rsidRPr="00B21FAC">
              <w:rPr>
                <w:rFonts w:ascii="Calibri" w:hAnsi="Calibri" w:cs="Calibri"/>
                <w:spacing w:val="-1"/>
                <w:sz w:val="11"/>
                <w:szCs w:val="11"/>
              </w:rPr>
              <w:t xml:space="preserve"> </w:t>
            </w:r>
            <w:r w:rsidRPr="00B21FAC">
              <w:rPr>
                <w:rFonts w:ascii="Calibri" w:hAnsi="Calibri" w:cs="Calibri"/>
                <w:sz w:val="11"/>
                <w:szCs w:val="11"/>
              </w:rPr>
              <w:t>van een</w:t>
            </w:r>
            <w:r w:rsidRPr="00B21FAC">
              <w:rPr>
                <w:rFonts w:ascii="Calibri" w:hAnsi="Calibri" w:cs="Calibri"/>
                <w:spacing w:val="-2"/>
                <w:sz w:val="11"/>
                <w:szCs w:val="11"/>
              </w:rPr>
              <w:t xml:space="preserve"> </w:t>
            </w:r>
            <w:r w:rsidRPr="00B21FAC">
              <w:rPr>
                <w:rFonts w:ascii="Calibri" w:hAnsi="Calibri" w:cs="Calibri"/>
                <w:sz w:val="11"/>
                <w:szCs w:val="11"/>
              </w:rPr>
              <w:t>ontwikkelingsfonds</w:t>
            </w:r>
          </w:p>
        </w:tc>
      </w:tr>
    </w:tbl>
    <w:p w14:paraId="170FDC9E" w14:textId="77777777" w:rsidR="00C2572E" w:rsidRPr="00B21FAC" w:rsidRDefault="00C2572E" w:rsidP="00BA7E3E">
      <w:pPr>
        <w:kinsoku w:val="0"/>
        <w:overflowPunct w:val="0"/>
        <w:autoSpaceDE w:val="0"/>
        <w:autoSpaceDN w:val="0"/>
        <w:adjustRightInd w:val="0"/>
        <w:spacing w:before="4" w:after="0"/>
        <w:rPr>
          <w:rFonts w:ascii="Times New Roman" w:hAnsi="Times New Roman" w:cs="Times New Roman"/>
          <w:sz w:val="12"/>
          <w:szCs w:val="12"/>
        </w:rPr>
      </w:pPr>
    </w:p>
    <w:tbl>
      <w:tblPr>
        <w:tblW w:w="0" w:type="auto"/>
        <w:tblInd w:w="108" w:type="dxa"/>
        <w:tblLayout w:type="fixed"/>
        <w:tblCellMar>
          <w:left w:w="0" w:type="dxa"/>
          <w:right w:w="0" w:type="dxa"/>
        </w:tblCellMar>
        <w:tblLook w:val="0000" w:firstRow="0" w:lastRow="0" w:firstColumn="0" w:lastColumn="0" w:noHBand="0" w:noVBand="0"/>
      </w:tblPr>
      <w:tblGrid>
        <w:gridCol w:w="5203"/>
      </w:tblGrid>
      <w:tr w:rsidR="00C2572E" w:rsidRPr="00B21FAC" w14:paraId="542E6BE8"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tcPr>
          <w:p w14:paraId="568F57F6" w14:textId="77777777" w:rsidR="00C2572E" w:rsidRPr="00B21FAC" w:rsidRDefault="00C2572E" w:rsidP="00BA7E3E">
            <w:pPr>
              <w:kinsoku w:val="0"/>
              <w:overflowPunct w:val="0"/>
              <w:autoSpaceDE w:val="0"/>
              <w:autoSpaceDN w:val="0"/>
              <w:adjustRightInd w:val="0"/>
              <w:spacing w:after="0"/>
              <w:ind w:left="251" w:right="215"/>
              <w:jc w:val="center"/>
              <w:rPr>
                <w:rFonts w:ascii="Calibri" w:hAnsi="Calibri" w:cs="Calibri"/>
                <w:b/>
                <w:bCs/>
                <w:sz w:val="11"/>
                <w:szCs w:val="11"/>
              </w:rPr>
            </w:pPr>
            <w:r w:rsidRPr="00B21FAC">
              <w:rPr>
                <w:rFonts w:ascii="Calibri" w:hAnsi="Calibri" w:cs="Calibri"/>
                <w:b/>
                <w:bCs/>
                <w:sz w:val="11"/>
                <w:szCs w:val="11"/>
              </w:rPr>
              <w:t>Federale</w:t>
            </w:r>
            <w:r w:rsidRPr="00B21FAC">
              <w:rPr>
                <w:rFonts w:ascii="Calibri" w:hAnsi="Calibri" w:cs="Calibri"/>
                <w:b/>
                <w:bCs/>
                <w:spacing w:val="-1"/>
                <w:sz w:val="11"/>
                <w:szCs w:val="11"/>
              </w:rPr>
              <w:t xml:space="preserve"> </w:t>
            </w:r>
            <w:r w:rsidRPr="00B21FAC">
              <w:rPr>
                <w:rFonts w:ascii="Calibri" w:hAnsi="Calibri" w:cs="Calibri"/>
                <w:b/>
                <w:bCs/>
                <w:sz w:val="11"/>
                <w:szCs w:val="11"/>
              </w:rPr>
              <w:t>belastingkredieten</w:t>
            </w:r>
          </w:p>
        </w:tc>
      </w:tr>
      <w:tr w:rsidR="00C2572E" w:rsidRPr="00B21FAC" w14:paraId="3FC719FC"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00AFEF"/>
          </w:tcPr>
          <w:p w14:paraId="13EE8092" w14:textId="77777777" w:rsidR="00C2572E" w:rsidRPr="00B21FAC" w:rsidRDefault="00C2572E" w:rsidP="00BA7E3E">
            <w:pPr>
              <w:kinsoku w:val="0"/>
              <w:overflowPunct w:val="0"/>
              <w:autoSpaceDE w:val="0"/>
              <w:autoSpaceDN w:val="0"/>
              <w:adjustRightInd w:val="0"/>
              <w:spacing w:after="0"/>
              <w:ind w:left="251" w:right="212"/>
              <w:jc w:val="center"/>
              <w:rPr>
                <w:rFonts w:ascii="Calibri" w:hAnsi="Calibri" w:cs="Calibri"/>
                <w:sz w:val="11"/>
                <w:szCs w:val="11"/>
              </w:rPr>
            </w:pPr>
            <w:r w:rsidRPr="00B21FAC">
              <w:rPr>
                <w:rFonts w:ascii="Calibri" w:hAnsi="Calibri" w:cs="Calibri"/>
                <w:sz w:val="11"/>
                <w:szCs w:val="11"/>
              </w:rPr>
              <w:t>Kinderen</w:t>
            </w:r>
            <w:r w:rsidRPr="00B21FAC">
              <w:rPr>
                <w:rFonts w:ascii="Calibri" w:hAnsi="Calibri" w:cs="Calibri"/>
                <w:spacing w:val="-2"/>
                <w:sz w:val="11"/>
                <w:szCs w:val="11"/>
              </w:rPr>
              <w:t xml:space="preserve"> </w:t>
            </w:r>
            <w:r w:rsidRPr="00B21FAC">
              <w:rPr>
                <w:rFonts w:ascii="Calibri" w:hAnsi="Calibri" w:cs="Calibri"/>
                <w:sz w:val="11"/>
                <w:szCs w:val="11"/>
              </w:rPr>
              <w:t>ten laste</w:t>
            </w:r>
            <w:r w:rsidRPr="00B21FAC">
              <w:rPr>
                <w:rFonts w:ascii="Calibri" w:hAnsi="Calibri" w:cs="Calibri"/>
                <w:spacing w:val="-3"/>
                <w:sz w:val="11"/>
                <w:szCs w:val="11"/>
              </w:rPr>
              <w:t xml:space="preserve"> </w:t>
            </w:r>
            <w:r w:rsidRPr="00B21FAC">
              <w:rPr>
                <w:rFonts w:ascii="Calibri" w:hAnsi="Calibri" w:cs="Calibri"/>
                <w:sz w:val="11"/>
                <w:szCs w:val="11"/>
              </w:rPr>
              <w:t>en</w:t>
            </w:r>
            <w:r w:rsidRPr="00B21FAC">
              <w:rPr>
                <w:rFonts w:ascii="Calibri" w:hAnsi="Calibri" w:cs="Calibri"/>
                <w:spacing w:val="-1"/>
                <w:sz w:val="11"/>
                <w:szCs w:val="11"/>
              </w:rPr>
              <w:t xml:space="preserve"> </w:t>
            </w:r>
            <w:r w:rsidRPr="00B21FAC">
              <w:rPr>
                <w:rFonts w:ascii="Calibri" w:hAnsi="Calibri" w:cs="Calibri"/>
                <w:sz w:val="11"/>
                <w:szCs w:val="11"/>
              </w:rPr>
              <w:t>alleenstaande</w:t>
            </w:r>
            <w:r w:rsidRPr="00B21FAC">
              <w:rPr>
                <w:rFonts w:ascii="Calibri" w:hAnsi="Calibri" w:cs="Calibri"/>
                <w:spacing w:val="-2"/>
                <w:sz w:val="11"/>
                <w:szCs w:val="11"/>
              </w:rPr>
              <w:t xml:space="preserve"> </w:t>
            </w:r>
            <w:r w:rsidRPr="00B21FAC">
              <w:rPr>
                <w:rFonts w:ascii="Calibri" w:hAnsi="Calibri" w:cs="Calibri"/>
                <w:sz w:val="11"/>
                <w:szCs w:val="11"/>
              </w:rPr>
              <w:t>met</w:t>
            </w:r>
            <w:r w:rsidRPr="00B21FAC">
              <w:rPr>
                <w:rFonts w:ascii="Calibri" w:hAnsi="Calibri" w:cs="Calibri"/>
                <w:spacing w:val="-3"/>
                <w:sz w:val="11"/>
                <w:szCs w:val="11"/>
              </w:rPr>
              <w:t xml:space="preserve"> </w:t>
            </w:r>
            <w:r w:rsidRPr="00B21FAC">
              <w:rPr>
                <w:rFonts w:ascii="Calibri" w:hAnsi="Calibri" w:cs="Calibri"/>
                <w:sz w:val="11"/>
                <w:szCs w:val="11"/>
              </w:rPr>
              <w:t>kinderlast</w:t>
            </w:r>
          </w:p>
        </w:tc>
      </w:tr>
      <w:tr w:rsidR="00C2572E" w:rsidRPr="00B21FAC" w14:paraId="37D94E89"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00AFEF"/>
          </w:tcPr>
          <w:p w14:paraId="543CB42F" w14:textId="77777777" w:rsidR="00C2572E" w:rsidRPr="00B21FAC" w:rsidRDefault="00C2572E" w:rsidP="00BA7E3E">
            <w:pPr>
              <w:kinsoku w:val="0"/>
              <w:overflowPunct w:val="0"/>
              <w:autoSpaceDE w:val="0"/>
              <w:autoSpaceDN w:val="0"/>
              <w:adjustRightInd w:val="0"/>
              <w:spacing w:after="0"/>
              <w:ind w:left="251" w:right="213"/>
              <w:jc w:val="center"/>
              <w:rPr>
                <w:rFonts w:ascii="Calibri" w:hAnsi="Calibri" w:cs="Calibri"/>
                <w:sz w:val="11"/>
                <w:szCs w:val="11"/>
              </w:rPr>
            </w:pPr>
            <w:r w:rsidRPr="00B21FAC">
              <w:rPr>
                <w:rFonts w:ascii="Calibri" w:hAnsi="Calibri" w:cs="Calibri"/>
                <w:sz w:val="11"/>
                <w:szCs w:val="11"/>
              </w:rPr>
              <w:t>uitgaven</w:t>
            </w:r>
            <w:r w:rsidRPr="00B21FAC">
              <w:rPr>
                <w:rFonts w:ascii="Calibri" w:hAnsi="Calibri" w:cs="Calibri"/>
                <w:spacing w:val="-2"/>
                <w:sz w:val="11"/>
                <w:szCs w:val="11"/>
              </w:rPr>
              <w:t xml:space="preserve"> </w:t>
            </w:r>
            <w:r w:rsidRPr="00B21FAC">
              <w:rPr>
                <w:rFonts w:ascii="Calibri" w:hAnsi="Calibri" w:cs="Calibri"/>
                <w:sz w:val="11"/>
                <w:szCs w:val="11"/>
              </w:rPr>
              <w:t>voor kinderoppas</w:t>
            </w:r>
          </w:p>
        </w:tc>
      </w:tr>
      <w:tr w:rsidR="00C2572E" w:rsidRPr="00B21FAC" w14:paraId="617A9466"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FFFF00"/>
          </w:tcPr>
          <w:p w14:paraId="26A6A0FB" w14:textId="77777777" w:rsidR="00C2572E" w:rsidRPr="00B21FAC"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00B21FAC">
              <w:rPr>
                <w:rFonts w:ascii="Calibri" w:hAnsi="Calibri" w:cs="Calibri"/>
                <w:sz w:val="11"/>
                <w:szCs w:val="11"/>
              </w:rPr>
              <w:t>investeringen</w:t>
            </w:r>
            <w:r w:rsidRPr="00B21FAC">
              <w:rPr>
                <w:rFonts w:ascii="Calibri" w:hAnsi="Calibri" w:cs="Calibri"/>
                <w:spacing w:val="-2"/>
                <w:sz w:val="11"/>
                <w:szCs w:val="11"/>
              </w:rPr>
              <w:t xml:space="preserve"> </w:t>
            </w:r>
            <w:r w:rsidRPr="00B21FAC">
              <w:rPr>
                <w:rFonts w:ascii="Calibri" w:hAnsi="Calibri" w:cs="Calibri"/>
                <w:sz w:val="11"/>
                <w:szCs w:val="11"/>
              </w:rPr>
              <w:t>met</w:t>
            </w:r>
            <w:r w:rsidRPr="00B21FAC">
              <w:rPr>
                <w:rFonts w:ascii="Calibri" w:hAnsi="Calibri" w:cs="Calibri"/>
                <w:spacing w:val="-1"/>
                <w:sz w:val="11"/>
                <w:szCs w:val="11"/>
              </w:rPr>
              <w:t xml:space="preserve"> </w:t>
            </w:r>
            <w:r w:rsidRPr="00B21FAC">
              <w:rPr>
                <w:rFonts w:ascii="Calibri" w:hAnsi="Calibri" w:cs="Calibri"/>
                <w:sz w:val="11"/>
                <w:szCs w:val="11"/>
              </w:rPr>
              <w:t>eigen middelen</w:t>
            </w:r>
          </w:p>
        </w:tc>
      </w:tr>
      <w:tr w:rsidR="00C2572E" w:rsidRPr="00B21FAC" w14:paraId="186E146A"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FFFF00"/>
          </w:tcPr>
          <w:p w14:paraId="369BF761" w14:textId="77777777" w:rsidR="00C2572E" w:rsidRPr="00B21FAC"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B21FAC">
              <w:rPr>
                <w:rFonts w:ascii="Calibri" w:hAnsi="Calibri" w:cs="Calibri"/>
                <w:sz w:val="11"/>
                <w:szCs w:val="11"/>
              </w:rPr>
              <w:t>Lage</w:t>
            </w:r>
            <w:r w:rsidRPr="00B21FAC">
              <w:rPr>
                <w:rFonts w:ascii="Calibri" w:hAnsi="Calibri" w:cs="Calibri"/>
                <w:spacing w:val="-3"/>
                <w:sz w:val="11"/>
                <w:szCs w:val="11"/>
              </w:rPr>
              <w:t xml:space="preserve"> </w:t>
            </w:r>
            <w:r w:rsidRPr="00B21FAC">
              <w:rPr>
                <w:rFonts w:ascii="Calibri" w:hAnsi="Calibri" w:cs="Calibri"/>
                <w:sz w:val="11"/>
                <w:szCs w:val="11"/>
              </w:rPr>
              <w:t>activiteitsinkomsten</w:t>
            </w:r>
          </w:p>
        </w:tc>
      </w:tr>
    </w:tbl>
    <w:p w14:paraId="11F36447" w14:textId="2E53C0DA" w:rsidR="00301FF2" w:rsidRDefault="00301FF2" w:rsidP="00BA7E3E">
      <w:pPr>
        <w:spacing w:after="0"/>
        <w:jc w:val="both"/>
      </w:pPr>
    </w:p>
    <w:p w14:paraId="5E1A2A95" w14:textId="77777777" w:rsidR="00301FF2" w:rsidRDefault="00301FF2">
      <w:r>
        <w:br w:type="page"/>
      </w:r>
    </w:p>
    <w:p w14:paraId="26F20919" w14:textId="77777777" w:rsidR="00C2572E" w:rsidRPr="00B21FAC" w:rsidRDefault="00C2572E" w:rsidP="00BA7E3E">
      <w:pPr>
        <w:spacing w:after="0"/>
        <w:jc w:val="both"/>
      </w:pPr>
    </w:p>
    <w:p w14:paraId="415AADF7" w14:textId="77777777" w:rsidR="00C2572E" w:rsidRPr="00B21FAC" w:rsidRDefault="00C2572E" w:rsidP="00BA7E3E">
      <w:pPr>
        <w:spacing w:after="0"/>
        <w:jc w:val="both"/>
      </w:pPr>
    </w:p>
    <w:p w14:paraId="4ED0C315" w14:textId="5327D19A" w:rsidR="00C2572E" w:rsidRPr="00B21FAC" w:rsidRDefault="00C2572E" w:rsidP="00275FEB">
      <w:pPr>
        <w:pStyle w:val="Kop2"/>
        <w:numPr>
          <w:ilvl w:val="2"/>
          <w:numId w:val="11"/>
        </w:numPr>
        <w:ind w:left="709"/>
      </w:pPr>
      <w:bookmarkStart w:id="143" w:name="_Toc107210884"/>
      <w:r w:rsidRPr="00B21FAC">
        <w:t>Het streefdoel</w:t>
      </w:r>
      <w:bookmarkEnd w:id="143"/>
    </w:p>
    <w:p w14:paraId="39D8DB1D" w14:textId="77777777" w:rsidR="00C2572E" w:rsidRPr="00B21FAC" w:rsidRDefault="00C2572E" w:rsidP="00BA7E3E">
      <w:pPr>
        <w:spacing w:after="0"/>
        <w:jc w:val="both"/>
      </w:pPr>
    </w:p>
    <w:p w14:paraId="4F5AC33F" w14:textId="77777777" w:rsidR="00C2572E" w:rsidRPr="00B21FAC" w:rsidRDefault="00C2572E" w:rsidP="00BA7E3E">
      <w:pPr>
        <w:spacing w:after="0"/>
        <w:jc w:val="both"/>
      </w:pPr>
    </w:p>
    <w:p w14:paraId="68012E50" w14:textId="0FD18375" w:rsidR="00C2572E" w:rsidRPr="00B21FAC" w:rsidRDefault="00C2572E" w:rsidP="00BA7E3E">
      <w:pPr>
        <w:spacing w:after="0"/>
        <w:jc w:val="both"/>
      </w:pPr>
      <w:r w:rsidRPr="00B21FAC">
        <w:t xml:space="preserve">De </w:t>
      </w:r>
      <w:r w:rsidRPr="00B21FAC">
        <w:rPr>
          <w:b/>
          <w:bCs/>
        </w:rPr>
        <w:t>architectuur van de toekomst</w:t>
      </w:r>
      <w:r w:rsidRPr="00B21FAC">
        <w:t xml:space="preserve"> </w:t>
      </w:r>
      <w:r w:rsidR="00120788" w:rsidRPr="00B21FAC">
        <w:t xml:space="preserve">zou </w:t>
      </w:r>
      <w:r w:rsidRPr="00B21FAC">
        <w:t xml:space="preserve">orde op zaken </w:t>
      </w:r>
      <w:r w:rsidR="00120788" w:rsidRPr="00B21FAC">
        <w:t xml:space="preserve">moeten </w:t>
      </w:r>
      <w:r w:rsidRPr="00B21FAC">
        <w:t xml:space="preserve">stellen. </w:t>
      </w:r>
    </w:p>
    <w:p w14:paraId="105A9885" w14:textId="77777777" w:rsidR="00C2572E" w:rsidRPr="00B21FAC" w:rsidRDefault="00C2572E" w:rsidP="00BA7E3E">
      <w:pPr>
        <w:spacing w:after="0"/>
        <w:jc w:val="both"/>
      </w:pPr>
    </w:p>
    <w:p w14:paraId="7E99D78A" w14:textId="5BA8CFDD" w:rsidR="00C2572E" w:rsidRPr="00B21FAC" w:rsidRDefault="00C2572E" w:rsidP="00BA7E3E">
      <w:pPr>
        <w:spacing w:after="0"/>
        <w:jc w:val="both"/>
      </w:pPr>
      <w:r w:rsidRPr="00B21FAC">
        <w:t xml:space="preserve">Het onsamenhangend geheel aan heffingen en ad hoc bepalingen, waarbij de uitzondering vaak de regel overstijgt, moet plaats maken voor een </w:t>
      </w:r>
      <w:r w:rsidRPr="00B21FAC">
        <w:rPr>
          <w:u w:val="single"/>
        </w:rPr>
        <w:t>coherent stelsel</w:t>
      </w:r>
      <w:r w:rsidRPr="00B21FAC">
        <w:t xml:space="preserve">, gegrond op </w:t>
      </w:r>
      <w:r w:rsidRPr="00B21FAC">
        <w:rPr>
          <w:u w:val="single"/>
        </w:rPr>
        <w:t xml:space="preserve">duidelijke principes </w:t>
      </w:r>
      <w:r w:rsidRPr="00B21FAC">
        <w:t xml:space="preserve">en opgebouwd rond de </w:t>
      </w:r>
      <w:r w:rsidRPr="00B21FAC">
        <w:rPr>
          <w:u w:val="single"/>
        </w:rPr>
        <w:t>klassieke assen</w:t>
      </w:r>
      <w:r w:rsidRPr="00B21FAC">
        <w:t xml:space="preserve"> die wij traditioneel in de belastingheffing onderscheiden, te weten activiteits- en vervanginkomsten, vermogen, consumptie en vervuiling (zie sterk vereenvoudigde weergave in afbeelding 2). </w:t>
      </w:r>
    </w:p>
    <w:p w14:paraId="6EEED64C" w14:textId="77777777" w:rsidR="00C2572E" w:rsidRPr="00B21FAC" w:rsidRDefault="00C2572E" w:rsidP="00BA7E3E">
      <w:pPr>
        <w:spacing w:after="0"/>
        <w:jc w:val="both"/>
      </w:pPr>
    </w:p>
    <w:p w14:paraId="6184153C" w14:textId="3E4DA088" w:rsidR="00007FA3" w:rsidRPr="00303355" w:rsidRDefault="00C2572E" w:rsidP="00BA7E3E">
      <w:pPr>
        <w:spacing w:after="0"/>
        <w:jc w:val="both"/>
      </w:pPr>
      <w:r w:rsidRPr="00B21FAC">
        <w:t>Een dergelijke opsplitsing sluit ook beter aan bij de institutionele bevoegdheidsverdeling.</w:t>
      </w:r>
    </w:p>
    <w:p w14:paraId="42996D3B" w14:textId="77777777" w:rsidR="00C2572E" w:rsidRPr="00B21FAC" w:rsidRDefault="00C2572E" w:rsidP="00BA7E3E">
      <w:pPr>
        <w:spacing w:after="0"/>
        <w:jc w:val="both"/>
        <w:rPr>
          <w:u w:val="single"/>
        </w:rPr>
      </w:pPr>
    </w:p>
    <w:p w14:paraId="13003CA4" w14:textId="77777777" w:rsidR="00C2572E" w:rsidRPr="00B21FAC" w:rsidRDefault="00C2572E" w:rsidP="00BA7E3E">
      <w:pPr>
        <w:spacing w:after="0"/>
        <w:jc w:val="both"/>
        <w:rPr>
          <w:u w:val="single"/>
        </w:rPr>
      </w:pPr>
      <w:r w:rsidRPr="00B21FAC">
        <w:rPr>
          <w:u w:val="single"/>
        </w:rPr>
        <w:t>Afbeelding 2</w:t>
      </w:r>
    </w:p>
    <w:p w14:paraId="0B2308A4" w14:textId="77777777" w:rsidR="00C2572E" w:rsidRPr="00B21FAC" w:rsidRDefault="00C2572E" w:rsidP="00BA7E3E">
      <w:pPr>
        <w:spacing w:after="0"/>
        <w:jc w:val="both"/>
      </w:pPr>
    </w:p>
    <w:tbl>
      <w:tblPr>
        <w:tblW w:w="9848" w:type="dxa"/>
        <w:tblInd w:w="-400" w:type="dxa"/>
        <w:tblLayout w:type="fixed"/>
        <w:tblCellMar>
          <w:left w:w="0" w:type="dxa"/>
          <w:right w:w="0" w:type="dxa"/>
        </w:tblCellMar>
        <w:tblLook w:val="0000" w:firstRow="0" w:lastRow="0" w:firstColumn="0" w:lastColumn="0" w:noHBand="0" w:noVBand="0"/>
      </w:tblPr>
      <w:tblGrid>
        <w:gridCol w:w="2462"/>
        <w:gridCol w:w="2462"/>
        <w:gridCol w:w="2462"/>
        <w:gridCol w:w="2462"/>
      </w:tblGrid>
      <w:tr w:rsidR="00C2572E" w:rsidRPr="00B21FAC" w14:paraId="20D08CF9" w14:textId="77777777" w:rsidTr="00FB3500">
        <w:trPr>
          <w:trHeight w:val="224"/>
        </w:trPr>
        <w:tc>
          <w:tcPr>
            <w:tcW w:w="2462" w:type="dxa"/>
            <w:tcBorders>
              <w:top w:val="single" w:sz="8" w:space="0" w:color="000000"/>
              <w:left w:val="single" w:sz="8" w:space="0" w:color="000000"/>
              <w:bottom w:val="single" w:sz="8" w:space="0" w:color="000000"/>
              <w:right w:val="single" w:sz="8" w:space="0" w:color="000000"/>
            </w:tcBorders>
            <w:shd w:val="clear" w:color="auto" w:fill="FFFF00"/>
          </w:tcPr>
          <w:p w14:paraId="5A0F43BC" w14:textId="73A57F0F" w:rsidR="00C2572E" w:rsidRPr="00B21FAC" w:rsidRDefault="00C2572E" w:rsidP="00BA7E3E">
            <w:pPr>
              <w:kinsoku w:val="0"/>
              <w:overflowPunct w:val="0"/>
              <w:autoSpaceDE w:val="0"/>
              <w:autoSpaceDN w:val="0"/>
              <w:adjustRightInd w:val="0"/>
              <w:spacing w:before="47" w:after="0"/>
              <w:ind w:left="269" w:right="238"/>
              <w:jc w:val="center"/>
              <w:rPr>
                <w:rFonts w:ascii="Calibri" w:hAnsi="Calibri" w:cs="Calibri"/>
                <w:b/>
                <w:bCs/>
                <w:sz w:val="9"/>
                <w:szCs w:val="9"/>
              </w:rPr>
            </w:pPr>
            <w:r w:rsidRPr="00B21FAC">
              <w:rPr>
                <w:rFonts w:ascii="Calibri" w:hAnsi="Calibri" w:cs="Calibri"/>
                <w:b/>
                <w:bCs/>
                <w:sz w:val="9"/>
                <w:szCs w:val="9"/>
              </w:rPr>
              <w:t>ACTIVITEIT</w:t>
            </w:r>
            <w:r w:rsidR="00A42B63">
              <w:rPr>
                <w:rFonts w:ascii="Calibri" w:hAnsi="Calibri" w:cs="Calibri"/>
                <w:b/>
                <w:bCs/>
                <w:sz w:val="9"/>
                <w:szCs w:val="9"/>
              </w:rPr>
              <w:t>SINKOMSTEN</w:t>
            </w:r>
          </w:p>
        </w:tc>
        <w:tc>
          <w:tcPr>
            <w:tcW w:w="2462" w:type="dxa"/>
            <w:tcBorders>
              <w:top w:val="single" w:sz="8" w:space="0" w:color="000000"/>
              <w:left w:val="single" w:sz="8" w:space="0" w:color="000000"/>
              <w:bottom w:val="single" w:sz="8" w:space="0" w:color="000000"/>
              <w:right w:val="single" w:sz="8" w:space="0" w:color="000000"/>
            </w:tcBorders>
            <w:shd w:val="clear" w:color="auto" w:fill="FF0000"/>
          </w:tcPr>
          <w:p w14:paraId="16A65A11" w14:textId="77777777" w:rsidR="00C2572E" w:rsidRPr="00B21FAC" w:rsidRDefault="00C2572E" w:rsidP="00BA7E3E">
            <w:pPr>
              <w:kinsoku w:val="0"/>
              <w:overflowPunct w:val="0"/>
              <w:autoSpaceDE w:val="0"/>
              <w:autoSpaceDN w:val="0"/>
              <w:adjustRightInd w:val="0"/>
              <w:spacing w:before="47" w:after="0"/>
              <w:ind w:left="741"/>
              <w:rPr>
                <w:rFonts w:ascii="Calibri" w:hAnsi="Calibri" w:cs="Calibri"/>
                <w:sz w:val="9"/>
                <w:szCs w:val="9"/>
              </w:rPr>
            </w:pPr>
            <w:r w:rsidRPr="00B21FAC">
              <w:rPr>
                <w:rFonts w:ascii="Calibri" w:hAnsi="Calibri" w:cs="Calibri"/>
                <w:sz w:val="9"/>
                <w:szCs w:val="9"/>
              </w:rPr>
              <w:t>VERVANGINGSINKOMSTEN</w:t>
            </w:r>
          </w:p>
        </w:tc>
        <w:tc>
          <w:tcPr>
            <w:tcW w:w="2462" w:type="dxa"/>
            <w:tcBorders>
              <w:top w:val="single" w:sz="8" w:space="0" w:color="000000"/>
              <w:left w:val="single" w:sz="8" w:space="0" w:color="000000"/>
              <w:bottom w:val="single" w:sz="8" w:space="0" w:color="000000"/>
              <w:right w:val="single" w:sz="8" w:space="0" w:color="000000"/>
            </w:tcBorders>
            <w:shd w:val="clear" w:color="auto" w:fill="00AF50"/>
          </w:tcPr>
          <w:p w14:paraId="06D9FEB1" w14:textId="4E7D5760" w:rsidR="00C2572E" w:rsidRPr="00B21FAC" w:rsidRDefault="00C2572E" w:rsidP="00BA7E3E">
            <w:pPr>
              <w:kinsoku w:val="0"/>
              <w:overflowPunct w:val="0"/>
              <w:autoSpaceDE w:val="0"/>
              <w:autoSpaceDN w:val="0"/>
              <w:adjustRightInd w:val="0"/>
              <w:spacing w:before="47" w:after="0"/>
              <w:ind w:left="269" w:right="236"/>
              <w:jc w:val="center"/>
              <w:rPr>
                <w:rFonts w:ascii="Calibri" w:hAnsi="Calibri" w:cs="Calibri"/>
                <w:b/>
                <w:bCs/>
                <w:sz w:val="9"/>
                <w:szCs w:val="9"/>
              </w:rPr>
            </w:pPr>
            <w:r w:rsidRPr="00B21FAC">
              <w:rPr>
                <w:rFonts w:ascii="Calibri" w:hAnsi="Calibri" w:cs="Calibri"/>
                <w:b/>
                <w:bCs/>
                <w:sz w:val="9"/>
                <w:szCs w:val="9"/>
              </w:rPr>
              <w:t>VERMOGEN</w:t>
            </w:r>
            <w:r w:rsidR="00A42B63">
              <w:rPr>
                <w:rFonts w:ascii="Calibri" w:hAnsi="Calibri" w:cs="Calibri"/>
                <w:b/>
                <w:bCs/>
                <w:sz w:val="9"/>
                <w:szCs w:val="9"/>
              </w:rPr>
              <w:t>SINKOMSTEN</w:t>
            </w:r>
          </w:p>
        </w:tc>
        <w:tc>
          <w:tcPr>
            <w:tcW w:w="2462" w:type="dxa"/>
            <w:tcBorders>
              <w:top w:val="single" w:sz="8" w:space="0" w:color="000000"/>
              <w:left w:val="single" w:sz="8" w:space="0" w:color="000000"/>
              <w:bottom w:val="single" w:sz="8" w:space="0" w:color="000000"/>
              <w:right w:val="single" w:sz="8" w:space="0" w:color="000000"/>
            </w:tcBorders>
            <w:shd w:val="clear" w:color="auto" w:fill="806000"/>
          </w:tcPr>
          <w:p w14:paraId="740C8ED6" w14:textId="77777777" w:rsidR="00C2572E" w:rsidRPr="00B21FAC" w:rsidRDefault="00C2572E" w:rsidP="00BA7E3E">
            <w:pPr>
              <w:kinsoku w:val="0"/>
              <w:overflowPunct w:val="0"/>
              <w:autoSpaceDE w:val="0"/>
              <w:autoSpaceDN w:val="0"/>
              <w:adjustRightInd w:val="0"/>
              <w:spacing w:before="47" w:after="0"/>
              <w:ind w:left="672"/>
              <w:rPr>
                <w:rFonts w:ascii="Calibri" w:hAnsi="Calibri" w:cs="Calibri"/>
                <w:b/>
                <w:bCs/>
                <w:sz w:val="9"/>
                <w:szCs w:val="9"/>
              </w:rPr>
            </w:pPr>
            <w:r w:rsidRPr="00B21FAC">
              <w:rPr>
                <w:rFonts w:ascii="Calibri" w:hAnsi="Calibri" w:cs="Calibri"/>
                <w:b/>
                <w:bCs/>
                <w:sz w:val="9"/>
                <w:szCs w:val="9"/>
              </w:rPr>
              <w:t>VERVUILING EN</w:t>
            </w:r>
            <w:r w:rsidRPr="00B21FAC">
              <w:rPr>
                <w:rFonts w:ascii="Calibri" w:hAnsi="Calibri" w:cs="Calibri"/>
                <w:b/>
                <w:bCs/>
                <w:spacing w:val="1"/>
                <w:sz w:val="9"/>
                <w:szCs w:val="9"/>
              </w:rPr>
              <w:t xml:space="preserve"> </w:t>
            </w:r>
            <w:r w:rsidRPr="00B21FAC">
              <w:rPr>
                <w:rFonts w:ascii="Calibri" w:hAnsi="Calibri" w:cs="Calibri"/>
                <w:b/>
                <w:bCs/>
                <w:sz w:val="9"/>
                <w:szCs w:val="9"/>
              </w:rPr>
              <w:t>CONSUMPTIE</w:t>
            </w:r>
          </w:p>
        </w:tc>
      </w:tr>
    </w:tbl>
    <w:p w14:paraId="7BBCEF37" w14:textId="77777777" w:rsidR="00C2572E" w:rsidRPr="00B21FAC" w:rsidRDefault="00C2572E" w:rsidP="00BA7E3E">
      <w:pPr>
        <w:kinsoku w:val="0"/>
        <w:overflowPunct w:val="0"/>
        <w:autoSpaceDE w:val="0"/>
        <w:autoSpaceDN w:val="0"/>
        <w:adjustRightInd w:val="0"/>
        <w:spacing w:before="6" w:after="0"/>
        <w:rPr>
          <w:rFonts w:ascii="Times New Roman" w:hAnsi="Times New Roman" w:cs="Times New Roman"/>
          <w:sz w:val="9"/>
          <w:szCs w:val="9"/>
        </w:rPr>
      </w:pPr>
    </w:p>
    <w:tbl>
      <w:tblPr>
        <w:tblW w:w="9851" w:type="dxa"/>
        <w:tblInd w:w="-400" w:type="dxa"/>
        <w:tblLayout w:type="fixed"/>
        <w:tblCellMar>
          <w:left w:w="0" w:type="dxa"/>
          <w:right w:w="0" w:type="dxa"/>
        </w:tblCellMar>
        <w:tblLook w:val="0000" w:firstRow="0" w:lastRow="0" w:firstColumn="0" w:lastColumn="0" w:noHBand="0" w:noVBand="0"/>
      </w:tblPr>
      <w:tblGrid>
        <w:gridCol w:w="820"/>
        <w:gridCol w:w="825"/>
        <w:gridCol w:w="820"/>
        <w:gridCol w:w="821"/>
        <w:gridCol w:w="821"/>
        <w:gridCol w:w="821"/>
        <w:gridCol w:w="1230"/>
        <w:gridCol w:w="1230"/>
        <w:gridCol w:w="821"/>
        <w:gridCol w:w="821"/>
        <w:gridCol w:w="821"/>
      </w:tblGrid>
      <w:tr w:rsidR="00C2572E" w:rsidRPr="00B21FAC" w14:paraId="77E49374" w14:textId="77777777" w:rsidTr="009037A4">
        <w:trPr>
          <w:trHeight w:hRule="exact" w:val="124"/>
        </w:trPr>
        <w:tc>
          <w:tcPr>
            <w:tcW w:w="820" w:type="dxa"/>
            <w:tcBorders>
              <w:top w:val="single" w:sz="8" w:space="0" w:color="000000"/>
              <w:left w:val="single" w:sz="8" w:space="0" w:color="000000"/>
              <w:bottom w:val="single" w:sz="8" w:space="0" w:color="000000"/>
              <w:right w:val="single" w:sz="8" w:space="0" w:color="000000"/>
            </w:tcBorders>
          </w:tcPr>
          <w:p w14:paraId="1A320B1E" w14:textId="77777777" w:rsidR="00C2572E" w:rsidRPr="00B21FAC" w:rsidRDefault="00C2572E" w:rsidP="00BA7E3E">
            <w:pPr>
              <w:kinsoku w:val="0"/>
              <w:overflowPunct w:val="0"/>
              <w:autoSpaceDE w:val="0"/>
              <w:autoSpaceDN w:val="0"/>
              <w:adjustRightInd w:val="0"/>
              <w:spacing w:after="0"/>
              <w:ind w:left="106"/>
              <w:rPr>
                <w:rFonts w:ascii="Calibri" w:hAnsi="Calibri" w:cs="Calibri"/>
                <w:b/>
                <w:bCs/>
                <w:sz w:val="9"/>
                <w:szCs w:val="9"/>
              </w:rPr>
            </w:pPr>
            <w:r w:rsidRPr="00B21FAC">
              <w:rPr>
                <w:rFonts w:ascii="Calibri" w:hAnsi="Calibri" w:cs="Calibri"/>
                <w:b/>
                <w:bCs/>
                <w:sz w:val="9"/>
                <w:szCs w:val="9"/>
              </w:rPr>
              <w:t>ONDERNEMING</w:t>
            </w:r>
          </w:p>
        </w:tc>
        <w:tc>
          <w:tcPr>
            <w:tcW w:w="825" w:type="dxa"/>
            <w:tcBorders>
              <w:top w:val="single" w:sz="8" w:space="0" w:color="000000"/>
              <w:left w:val="single" w:sz="8" w:space="0" w:color="000000"/>
              <w:bottom w:val="single" w:sz="8" w:space="0" w:color="000000"/>
              <w:right w:val="single" w:sz="8" w:space="0" w:color="000000"/>
            </w:tcBorders>
          </w:tcPr>
          <w:p w14:paraId="0CE13460" w14:textId="77777777" w:rsidR="00C2572E" w:rsidRPr="00B21FAC" w:rsidRDefault="00C2572E" w:rsidP="00BA7E3E">
            <w:pPr>
              <w:kinsoku w:val="0"/>
              <w:overflowPunct w:val="0"/>
              <w:autoSpaceDE w:val="0"/>
              <w:autoSpaceDN w:val="0"/>
              <w:adjustRightInd w:val="0"/>
              <w:spacing w:after="0"/>
              <w:ind w:left="72"/>
              <w:rPr>
                <w:rFonts w:ascii="Calibri" w:hAnsi="Calibri" w:cs="Calibri"/>
                <w:b/>
                <w:bCs/>
                <w:sz w:val="9"/>
                <w:szCs w:val="9"/>
              </w:rPr>
            </w:pPr>
            <w:r w:rsidRPr="00B21FAC">
              <w:rPr>
                <w:rFonts w:ascii="Calibri" w:hAnsi="Calibri" w:cs="Calibri"/>
                <w:b/>
                <w:bCs/>
                <w:sz w:val="9"/>
                <w:szCs w:val="9"/>
              </w:rPr>
              <w:t>TEWERKSTELLING</w:t>
            </w:r>
          </w:p>
        </w:tc>
        <w:tc>
          <w:tcPr>
            <w:tcW w:w="820" w:type="dxa"/>
            <w:tcBorders>
              <w:top w:val="single" w:sz="8" w:space="0" w:color="000000"/>
              <w:left w:val="single" w:sz="8" w:space="0" w:color="000000"/>
              <w:bottom w:val="single" w:sz="8" w:space="0" w:color="000000"/>
              <w:right w:val="single" w:sz="8" w:space="0" w:color="000000"/>
            </w:tcBorders>
          </w:tcPr>
          <w:p w14:paraId="36A2FC60" w14:textId="77777777" w:rsidR="00C2572E" w:rsidRPr="00B21FAC" w:rsidRDefault="00C2572E" w:rsidP="00BA7E3E">
            <w:pPr>
              <w:kinsoku w:val="0"/>
              <w:overflowPunct w:val="0"/>
              <w:autoSpaceDE w:val="0"/>
              <w:autoSpaceDN w:val="0"/>
              <w:adjustRightInd w:val="0"/>
              <w:spacing w:after="0"/>
              <w:ind w:left="41"/>
              <w:rPr>
                <w:rFonts w:ascii="Calibri" w:hAnsi="Calibri" w:cs="Calibri"/>
                <w:b/>
                <w:bCs/>
                <w:sz w:val="9"/>
                <w:szCs w:val="9"/>
              </w:rPr>
            </w:pPr>
            <w:r w:rsidRPr="00B21FAC">
              <w:rPr>
                <w:rFonts w:ascii="Calibri" w:hAnsi="Calibri" w:cs="Calibri"/>
                <w:b/>
                <w:bCs/>
                <w:sz w:val="9"/>
                <w:szCs w:val="9"/>
              </w:rPr>
              <w:t>BIJKOMSTIGHEDEN</w:t>
            </w:r>
          </w:p>
        </w:tc>
        <w:tc>
          <w:tcPr>
            <w:tcW w:w="821" w:type="dxa"/>
            <w:tcBorders>
              <w:top w:val="single" w:sz="8" w:space="0" w:color="000000"/>
              <w:left w:val="single" w:sz="8" w:space="0" w:color="000000"/>
              <w:bottom w:val="single" w:sz="8" w:space="0" w:color="000000"/>
              <w:right w:val="single" w:sz="8" w:space="0" w:color="000000"/>
            </w:tcBorders>
          </w:tcPr>
          <w:p w14:paraId="25B8BCE1" w14:textId="77777777" w:rsidR="00C2572E" w:rsidRPr="00B21FAC" w:rsidRDefault="00C2572E" w:rsidP="00BA7E3E">
            <w:pPr>
              <w:kinsoku w:val="0"/>
              <w:overflowPunct w:val="0"/>
              <w:autoSpaceDE w:val="0"/>
              <w:autoSpaceDN w:val="0"/>
              <w:adjustRightInd w:val="0"/>
              <w:spacing w:after="0"/>
              <w:ind w:left="214"/>
              <w:rPr>
                <w:rFonts w:ascii="Calibri" w:hAnsi="Calibri" w:cs="Calibri"/>
                <w:b/>
                <w:bCs/>
                <w:sz w:val="9"/>
                <w:szCs w:val="9"/>
              </w:rPr>
            </w:pPr>
            <w:r w:rsidRPr="00B21FAC">
              <w:rPr>
                <w:rFonts w:ascii="Calibri" w:hAnsi="Calibri" w:cs="Calibri"/>
                <w:b/>
                <w:bCs/>
                <w:sz w:val="9"/>
                <w:szCs w:val="9"/>
              </w:rPr>
              <w:t>PENSIOEN</w:t>
            </w:r>
          </w:p>
        </w:tc>
        <w:tc>
          <w:tcPr>
            <w:tcW w:w="821" w:type="dxa"/>
            <w:tcBorders>
              <w:top w:val="single" w:sz="8" w:space="0" w:color="000000"/>
              <w:left w:val="single" w:sz="8" w:space="0" w:color="000000"/>
              <w:bottom w:val="single" w:sz="8" w:space="0" w:color="000000"/>
              <w:right w:val="single" w:sz="8" w:space="0" w:color="000000"/>
            </w:tcBorders>
          </w:tcPr>
          <w:p w14:paraId="3B32BA96" w14:textId="77777777" w:rsidR="00C2572E" w:rsidRPr="00B21FAC" w:rsidRDefault="00C2572E" w:rsidP="00BA7E3E">
            <w:pPr>
              <w:kinsoku w:val="0"/>
              <w:overflowPunct w:val="0"/>
              <w:autoSpaceDE w:val="0"/>
              <w:autoSpaceDN w:val="0"/>
              <w:adjustRightInd w:val="0"/>
              <w:spacing w:after="0"/>
              <w:ind w:left="22" w:right="5"/>
              <w:jc w:val="center"/>
              <w:rPr>
                <w:rFonts w:ascii="Calibri" w:hAnsi="Calibri" w:cs="Calibri"/>
                <w:b/>
                <w:bCs/>
                <w:sz w:val="9"/>
                <w:szCs w:val="9"/>
              </w:rPr>
            </w:pPr>
            <w:r w:rsidRPr="00B21FAC">
              <w:rPr>
                <w:rFonts w:ascii="Calibri" w:hAnsi="Calibri" w:cs="Calibri"/>
                <w:b/>
                <w:bCs/>
                <w:sz w:val="9"/>
                <w:szCs w:val="9"/>
              </w:rPr>
              <w:t>ZIV</w:t>
            </w:r>
          </w:p>
        </w:tc>
        <w:tc>
          <w:tcPr>
            <w:tcW w:w="821" w:type="dxa"/>
            <w:tcBorders>
              <w:top w:val="single" w:sz="8" w:space="0" w:color="000000"/>
              <w:left w:val="single" w:sz="8" w:space="0" w:color="000000"/>
              <w:bottom w:val="single" w:sz="8" w:space="0" w:color="000000"/>
              <w:right w:val="single" w:sz="8" w:space="0" w:color="000000"/>
            </w:tcBorders>
          </w:tcPr>
          <w:p w14:paraId="242CE4D6" w14:textId="77777777" w:rsidR="00C2572E" w:rsidRPr="00B21FAC" w:rsidRDefault="00C2572E" w:rsidP="00BA7E3E">
            <w:pPr>
              <w:kinsoku w:val="0"/>
              <w:overflowPunct w:val="0"/>
              <w:autoSpaceDE w:val="0"/>
              <w:autoSpaceDN w:val="0"/>
              <w:adjustRightInd w:val="0"/>
              <w:spacing w:after="0"/>
              <w:ind w:left="99"/>
              <w:rPr>
                <w:rFonts w:ascii="Calibri" w:hAnsi="Calibri" w:cs="Calibri"/>
                <w:b/>
                <w:bCs/>
                <w:sz w:val="9"/>
                <w:szCs w:val="9"/>
              </w:rPr>
            </w:pPr>
            <w:r w:rsidRPr="00B21FAC">
              <w:rPr>
                <w:rFonts w:ascii="Calibri" w:hAnsi="Calibri" w:cs="Calibri"/>
                <w:b/>
                <w:bCs/>
                <w:sz w:val="9"/>
                <w:szCs w:val="9"/>
              </w:rPr>
              <w:t>WERKLOOSHEID</w:t>
            </w:r>
          </w:p>
        </w:tc>
        <w:tc>
          <w:tcPr>
            <w:tcW w:w="1230" w:type="dxa"/>
            <w:tcBorders>
              <w:top w:val="single" w:sz="8" w:space="0" w:color="000000"/>
              <w:left w:val="single" w:sz="8" w:space="0" w:color="000000"/>
              <w:bottom w:val="single" w:sz="8" w:space="0" w:color="000000"/>
              <w:right w:val="single" w:sz="8" w:space="0" w:color="000000"/>
            </w:tcBorders>
          </w:tcPr>
          <w:p w14:paraId="69539F23" w14:textId="77777777" w:rsidR="00C2572E" w:rsidRPr="00B21FAC" w:rsidRDefault="00C2572E" w:rsidP="00BA7E3E">
            <w:pPr>
              <w:kinsoku w:val="0"/>
              <w:overflowPunct w:val="0"/>
              <w:autoSpaceDE w:val="0"/>
              <w:autoSpaceDN w:val="0"/>
              <w:adjustRightInd w:val="0"/>
              <w:spacing w:after="0"/>
              <w:ind w:left="120"/>
              <w:rPr>
                <w:rFonts w:ascii="Calibri" w:hAnsi="Calibri" w:cs="Calibri"/>
                <w:b/>
                <w:bCs/>
                <w:sz w:val="9"/>
                <w:szCs w:val="9"/>
              </w:rPr>
            </w:pPr>
            <w:r w:rsidRPr="00B21FAC">
              <w:rPr>
                <w:rFonts w:ascii="Calibri" w:hAnsi="Calibri" w:cs="Calibri"/>
                <w:b/>
                <w:bCs/>
                <w:sz w:val="9"/>
                <w:szCs w:val="9"/>
              </w:rPr>
              <w:t>ONROERENDE</w:t>
            </w:r>
            <w:r w:rsidRPr="00B21FAC">
              <w:rPr>
                <w:rFonts w:ascii="Calibri" w:hAnsi="Calibri" w:cs="Calibri"/>
                <w:b/>
                <w:bCs/>
                <w:spacing w:val="4"/>
                <w:sz w:val="9"/>
                <w:szCs w:val="9"/>
              </w:rPr>
              <w:t xml:space="preserve"> </w:t>
            </w:r>
            <w:r w:rsidRPr="00B21FAC">
              <w:rPr>
                <w:rFonts w:ascii="Calibri" w:hAnsi="Calibri" w:cs="Calibri"/>
                <w:b/>
                <w:bCs/>
                <w:sz w:val="9"/>
                <w:szCs w:val="9"/>
              </w:rPr>
              <w:t>GOEDEREN</w:t>
            </w:r>
          </w:p>
        </w:tc>
        <w:tc>
          <w:tcPr>
            <w:tcW w:w="1230" w:type="dxa"/>
            <w:tcBorders>
              <w:top w:val="single" w:sz="8" w:space="0" w:color="000000"/>
              <w:left w:val="single" w:sz="8" w:space="0" w:color="000000"/>
              <w:bottom w:val="single" w:sz="8" w:space="0" w:color="000000"/>
              <w:right w:val="single" w:sz="8" w:space="0" w:color="000000"/>
            </w:tcBorders>
          </w:tcPr>
          <w:p w14:paraId="480CE0CC" w14:textId="77777777" w:rsidR="00C2572E" w:rsidRPr="00B21FAC" w:rsidRDefault="00C2572E" w:rsidP="00BA7E3E">
            <w:pPr>
              <w:kinsoku w:val="0"/>
              <w:overflowPunct w:val="0"/>
              <w:autoSpaceDE w:val="0"/>
              <w:autoSpaceDN w:val="0"/>
              <w:adjustRightInd w:val="0"/>
              <w:spacing w:after="0"/>
              <w:ind w:left="180"/>
              <w:rPr>
                <w:rFonts w:ascii="Calibri" w:hAnsi="Calibri" w:cs="Calibri"/>
                <w:b/>
                <w:bCs/>
                <w:sz w:val="9"/>
                <w:szCs w:val="9"/>
              </w:rPr>
            </w:pPr>
            <w:r w:rsidRPr="00B21FAC">
              <w:rPr>
                <w:rFonts w:ascii="Calibri" w:hAnsi="Calibri" w:cs="Calibri"/>
                <w:b/>
                <w:bCs/>
                <w:sz w:val="9"/>
                <w:szCs w:val="9"/>
              </w:rPr>
              <w:t>ROERENDE</w:t>
            </w:r>
            <w:r w:rsidRPr="00B21FAC">
              <w:rPr>
                <w:rFonts w:ascii="Calibri" w:hAnsi="Calibri" w:cs="Calibri"/>
                <w:b/>
                <w:bCs/>
                <w:spacing w:val="3"/>
                <w:sz w:val="9"/>
                <w:szCs w:val="9"/>
              </w:rPr>
              <w:t xml:space="preserve"> </w:t>
            </w:r>
            <w:r w:rsidRPr="00B21FAC">
              <w:rPr>
                <w:rFonts w:ascii="Calibri" w:hAnsi="Calibri" w:cs="Calibri"/>
                <w:b/>
                <w:bCs/>
                <w:sz w:val="9"/>
                <w:szCs w:val="9"/>
              </w:rPr>
              <w:t>GOEDEREN</w:t>
            </w:r>
          </w:p>
        </w:tc>
        <w:tc>
          <w:tcPr>
            <w:tcW w:w="821" w:type="dxa"/>
            <w:tcBorders>
              <w:top w:val="single" w:sz="8" w:space="0" w:color="000000"/>
              <w:left w:val="single" w:sz="8" w:space="0" w:color="000000"/>
              <w:bottom w:val="single" w:sz="8" w:space="0" w:color="000000"/>
              <w:right w:val="single" w:sz="8" w:space="0" w:color="000000"/>
            </w:tcBorders>
          </w:tcPr>
          <w:p w14:paraId="3118DF35" w14:textId="77777777" w:rsidR="00C2572E" w:rsidRPr="00B21FAC" w:rsidRDefault="00C2572E" w:rsidP="00BA7E3E">
            <w:pPr>
              <w:kinsoku w:val="0"/>
              <w:overflowPunct w:val="0"/>
              <w:autoSpaceDE w:val="0"/>
              <w:autoSpaceDN w:val="0"/>
              <w:adjustRightInd w:val="0"/>
              <w:spacing w:after="0"/>
              <w:ind w:left="22" w:right="5"/>
              <w:jc w:val="center"/>
              <w:rPr>
                <w:rFonts w:ascii="Calibri" w:hAnsi="Calibri" w:cs="Calibri"/>
                <w:b/>
                <w:bCs/>
                <w:sz w:val="9"/>
                <w:szCs w:val="9"/>
              </w:rPr>
            </w:pPr>
            <w:r w:rsidRPr="00B21FAC">
              <w:rPr>
                <w:rFonts w:ascii="Calibri" w:hAnsi="Calibri" w:cs="Calibri"/>
                <w:b/>
                <w:bCs/>
                <w:sz w:val="9"/>
                <w:szCs w:val="9"/>
              </w:rPr>
              <w:t>BTW</w:t>
            </w:r>
          </w:p>
        </w:tc>
        <w:tc>
          <w:tcPr>
            <w:tcW w:w="821" w:type="dxa"/>
            <w:tcBorders>
              <w:top w:val="single" w:sz="8" w:space="0" w:color="000000"/>
              <w:left w:val="single" w:sz="8" w:space="0" w:color="000000"/>
              <w:bottom w:val="single" w:sz="8" w:space="0" w:color="000000"/>
              <w:right w:val="single" w:sz="8" w:space="0" w:color="000000"/>
            </w:tcBorders>
          </w:tcPr>
          <w:p w14:paraId="2237B9B7" w14:textId="77777777" w:rsidR="00C2572E" w:rsidRPr="00B21FAC" w:rsidRDefault="00C2572E" w:rsidP="00BA7E3E">
            <w:pPr>
              <w:kinsoku w:val="0"/>
              <w:overflowPunct w:val="0"/>
              <w:autoSpaceDE w:val="0"/>
              <w:autoSpaceDN w:val="0"/>
              <w:adjustRightInd w:val="0"/>
              <w:spacing w:after="0"/>
              <w:ind w:left="200"/>
              <w:rPr>
                <w:rFonts w:ascii="Calibri" w:hAnsi="Calibri" w:cs="Calibri"/>
                <w:b/>
                <w:bCs/>
                <w:sz w:val="9"/>
                <w:szCs w:val="9"/>
              </w:rPr>
            </w:pPr>
            <w:r w:rsidRPr="00B21FAC">
              <w:rPr>
                <w:rFonts w:ascii="Calibri" w:hAnsi="Calibri" w:cs="Calibri"/>
                <w:b/>
                <w:bCs/>
                <w:sz w:val="9"/>
                <w:szCs w:val="9"/>
              </w:rPr>
              <w:t>ACCIJNZEN</w:t>
            </w:r>
          </w:p>
        </w:tc>
        <w:tc>
          <w:tcPr>
            <w:tcW w:w="821" w:type="dxa"/>
            <w:tcBorders>
              <w:top w:val="single" w:sz="8" w:space="0" w:color="000000"/>
              <w:left w:val="single" w:sz="8" w:space="0" w:color="000000"/>
              <w:bottom w:val="single" w:sz="8" w:space="0" w:color="000000"/>
              <w:right w:val="single" w:sz="8" w:space="0" w:color="000000"/>
            </w:tcBorders>
          </w:tcPr>
          <w:p w14:paraId="4EDC6391" w14:textId="77777777" w:rsidR="00C2572E" w:rsidRPr="00B21FAC" w:rsidRDefault="00C2572E" w:rsidP="00BA7E3E">
            <w:pPr>
              <w:kinsoku w:val="0"/>
              <w:overflowPunct w:val="0"/>
              <w:autoSpaceDE w:val="0"/>
              <w:autoSpaceDN w:val="0"/>
              <w:adjustRightInd w:val="0"/>
              <w:spacing w:after="0"/>
              <w:ind w:left="84"/>
              <w:rPr>
                <w:rFonts w:ascii="Calibri" w:hAnsi="Calibri" w:cs="Calibri"/>
                <w:b/>
                <w:bCs/>
                <w:sz w:val="9"/>
                <w:szCs w:val="9"/>
              </w:rPr>
            </w:pPr>
            <w:r w:rsidRPr="00B21FAC">
              <w:rPr>
                <w:rFonts w:ascii="Calibri" w:hAnsi="Calibri" w:cs="Calibri"/>
                <w:b/>
                <w:bCs/>
                <w:sz w:val="9"/>
                <w:szCs w:val="9"/>
              </w:rPr>
              <w:t>DUURZAAMHEID</w:t>
            </w:r>
          </w:p>
        </w:tc>
      </w:tr>
      <w:tr w:rsidR="009037A4" w:rsidRPr="00B21FAC" w14:paraId="0EABB510" w14:textId="77777777" w:rsidTr="009360CB">
        <w:trPr>
          <w:trHeight w:hRule="exact" w:val="124"/>
        </w:trPr>
        <w:tc>
          <w:tcPr>
            <w:tcW w:w="820" w:type="dxa"/>
            <w:vMerge w:val="restart"/>
            <w:tcBorders>
              <w:top w:val="single" w:sz="8" w:space="0" w:color="000000"/>
              <w:left w:val="single" w:sz="8" w:space="0" w:color="000000"/>
              <w:bottom w:val="single" w:sz="8" w:space="0" w:color="000000"/>
              <w:right w:val="single" w:sz="8" w:space="0" w:color="000000"/>
            </w:tcBorders>
          </w:tcPr>
          <w:p w14:paraId="16F9CAEB" w14:textId="77777777" w:rsidR="009037A4" w:rsidRPr="00B21FAC" w:rsidRDefault="009037A4" w:rsidP="00BA7E3E">
            <w:pPr>
              <w:kinsoku w:val="0"/>
              <w:overflowPunct w:val="0"/>
              <w:autoSpaceDE w:val="0"/>
              <w:autoSpaceDN w:val="0"/>
              <w:adjustRightInd w:val="0"/>
              <w:spacing w:after="0"/>
              <w:ind w:left="279"/>
              <w:rPr>
                <w:rFonts w:ascii="Calibri" w:hAnsi="Calibri" w:cs="Calibri"/>
                <w:sz w:val="9"/>
                <w:szCs w:val="9"/>
              </w:rPr>
            </w:pPr>
            <w:r w:rsidRPr="00B21FAC">
              <w:rPr>
                <w:rFonts w:ascii="Calibri" w:hAnsi="Calibri" w:cs="Calibri"/>
                <w:sz w:val="9"/>
                <w:szCs w:val="9"/>
              </w:rPr>
              <w:t>(winst)</w:t>
            </w:r>
          </w:p>
        </w:tc>
        <w:tc>
          <w:tcPr>
            <w:tcW w:w="825" w:type="dxa"/>
            <w:vMerge w:val="restart"/>
            <w:tcBorders>
              <w:top w:val="single" w:sz="8" w:space="0" w:color="000000"/>
              <w:left w:val="single" w:sz="8" w:space="0" w:color="000000"/>
              <w:right w:val="single" w:sz="8" w:space="0" w:color="000000"/>
            </w:tcBorders>
          </w:tcPr>
          <w:p w14:paraId="07EA63EE" w14:textId="77777777" w:rsidR="009037A4" w:rsidRPr="00B21FAC" w:rsidRDefault="009037A4" w:rsidP="00BA7E3E">
            <w:pPr>
              <w:kinsoku w:val="0"/>
              <w:overflowPunct w:val="0"/>
              <w:autoSpaceDE w:val="0"/>
              <w:autoSpaceDN w:val="0"/>
              <w:adjustRightInd w:val="0"/>
              <w:spacing w:after="0"/>
              <w:ind w:left="166"/>
              <w:rPr>
                <w:rFonts w:ascii="Calibri" w:hAnsi="Calibri" w:cs="Calibri"/>
                <w:sz w:val="9"/>
                <w:szCs w:val="9"/>
              </w:rPr>
            </w:pPr>
            <w:r w:rsidRPr="00B21FAC">
              <w:rPr>
                <w:rFonts w:ascii="Calibri" w:hAnsi="Calibri" w:cs="Calibri"/>
                <w:sz w:val="9"/>
                <w:szCs w:val="9"/>
              </w:rPr>
              <w:t>(bezoldiging)</w:t>
            </w:r>
          </w:p>
        </w:tc>
        <w:tc>
          <w:tcPr>
            <w:tcW w:w="820" w:type="dxa"/>
            <w:vMerge w:val="restart"/>
            <w:tcBorders>
              <w:top w:val="single" w:sz="8" w:space="0" w:color="000000"/>
              <w:left w:val="single" w:sz="8" w:space="0" w:color="000000"/>
              <w:bottom w:val="single" w:sz="8" w:space="0" w:color="000000"/>
              <w:right w:val="single" w:sz="8" w:space="0" w:color="000000"/>
            </w:tcBorders>
          </w:tcPr>
          <w:p w14:paraId="46084AAC" w14:textId="77777777" w:rsidR="009037A4" w:rsidRPr="00B21FAC" w:rsidRDefault="009037A4" w:rsidP="00BA7E3E">
            <w:pPr>
              <w:kinsoku w:val="0"/>
              <w:overflowPunct w:val="0"/>
              <w:autoSpaceDE w:val="0"/>
              <w:autoSpaceDN w:val="0"/>
              <w:adjustRightInd w:val="0"/>
              <w:spacing w:after="0"/>
              <w:ind w:left="10" w:right="3" w:firstLine="38"/>
              <w:rPr>
                <w:rFonts w:ascii="Calibri" w:hAnsi="Calibri" w:cs="Calibri"/>
                <w:sz w:val="9"/>
                <w:szCs w:val="9"/>
              </w:rPr>
            </w:pPr>
            <w:r w:rsidRPr="00B21FAC">
              <w:rPr>
                <w:rFonts w:ascii="Calibri" w:hAnsi="Calibri" w:cs="Calibri"/>
                <w:sz w:val="9"/>
                <w:szCs w:val="9"/>
              </w:rPr>
              <w:t>(niet-professionele</w:t>
            </w:r>
            <w:r w:rsidRPr="00B21FAC">
              <w:rPr>
                <w:rFonts w:ascii="Calibri" w:hAnsi="Calibri" w:cs="Calibri"/>
                <w:spacing w:val="1"/>
                <w:sz w:val="9"/>
                <w:szCs w:val="9"/>
              </w:rPr>
              <w:t xml:space="preserve"> </w:t>
            </w:r>
            <w:r w:rsidRPr="00B21FAC">
              <w:rPr>
                <w:rFonts w:ascii="Calibri" w:hAnsi="Calibri" w:cs="Calibri"/>
                <w:sz w:val="9"/>
                <w:szCs w:val="9"/>
              </w:rPr>
              <w:t>activiteitsinkomsten)</w:t>
            </w:r>
          </w:p>
        </w:tc>
        <w:tc>
          <w:tcPr>
            <w:tcW w:w="821" w:type="dxa"/>
            <w:vMerge w:val="restart"/>
            <w:tcBorders>
              <w:top w:val="single" w:sz="8" w:space="0" w:color="000000"/>
              <w:left w:val="single" w:sz="8" w:space="0" w:color="000000"/>
              <w:bottom w:val="single" w:sz="8" w:space="0" w:color="000000"/>
              <w:right w:val="single" w:sz="8" w:space="0" w:color="000000"/>
            </w:tcBorders>
          </w:tcPr>
          <w:p w14:paraId="47257E94" w14:textId="77777777" w:rsidR="009037A4" w:rsidRPr="00B21FAC" w:rsidRDefault="009037A4" w:rsidP="00BA7E3E">
            <w:pPr>
              <w:kinsoku w:val="0"/>
              <w:overflowPunct w:val="0"/>
              <w:autoSpaceDE w:val="0"/>
              <w:autoSpaceDN w:val="0"/>
              <w:adjustRightInd w:val="0"/>
              <w:spacing w:after="0"/>
              <w:rPr>
                <w:rFonts w:ascii="Times New Roman" w:hAnsi="Times New Roman" w:cs="Times New Roman"/>
                <w:sz w:val="8"/>
                <w:szCs w:val="8"/>
              </w:rPr>
            </w:pPr>
          </w:p>
        </w:tc>
        <w:tc>
          <w:tcPr>
            <w:tcW w:w="821" w:type="dxa"/>
            <w:vMerge w:val="restart"/>
            <w:tcBorders>
              <w:top w:val="single" w:sz="8" w:space="0" w:color="000000"/>
              <w:left w:val="single" w:sz="8" w:space="0" w:color="000000"/>
              <w:bottom w:val="single" w:sz="8" w:space="0" w:color="000000"/>
              <w:right w:val="single" w:sz="8" w:space="0" w:color="000000"/>
            </w:tcBorders>
          </w:tcPr>
          <w:p w14:paraId="0475C24B" w14:textId="77777777" w:rsidR="009037A4" w:rsidRPr="00B21FAC" w:rsidRDefault="009037A4" w:rsidP="00BA7E3E">
            <w:pPr>
              <w:kinsoku w:val="0"/>
              <w:overflowPunct w:val="0"/>
              <w:autoSpaceDE w:val="0"/>
              <w:autoSpaceDN w:val="0"/>
              <w:adjustRightInd w:val="0"/>
              <w:spacing w:after="0"/>
              <w:rPr>
                <w:rFonts w:ascii="Times New Roman" w:hAnsi="Times New Roman" w:cs="Times New Roman"/>
                <w:sz w:val="8"/>
                <w:szCs w:val="8"/>
              </w:rPr>
            </w:pPr>
          </w:p>
        </w:tc>
        <w:tc>
          <w:tcPr>
            <w:tcW w:w="821" w:type="dxa"/>
            <w:vMerge w:val="restart"/>
            <w:tcBorders>
              <w:top w:val="single" w:sz="8" w:space="0" w:color="000000"/>
              <w:left w:val="single" w:sz="8" w:space="0" w:color="000000"/>
              <w:bottom w:val="single" w:sz="8" w:space="0" w:color="000000"/>
              <w:right w:val="single" w:sz="8" w:space="0" w:color="000000"/>
            </w:tcBorders>
          </w:tcPr>
          <w:p w14:paraId="34AB7882" w14:textId="77777777" w:rsidR="009037A4" w:rsidRPr="00B21FAC" w:rsidRDefault="009037A4" w:rsidP="00BA7E3E">
            <w:pPr>
              <w:kinsoku w:val="0"/>
              <w:overflowPunct w:val="0"/>
              <w:autoSpaceDE w:val="0"/>
              <w:autoSpaceDN w:val="0"/>
              <w:adjustRightInd w:val="0"/>
              <w:spacing w:after="0"/>
              <w:rPr>
                <w:rFonts w:ascii="Times New Roman" w:hAnsi="Times New Roman" w:cs="Times New Roman"/>
                <w:sz w:val="8"/>
                <w:szCs w:val="8"/>
              </w:rPr>
            </w:pPr>
          </w:p>
        </w:tc>
        <w:tc>
          <w:tcPr>
            <w:tcW w:w="2460" w:type="dxa"/>
            <w:gridSpan w:val="2"/>
            <w:tcBorders>
              <w:top w:val="single" w:sz="8" w:space="0" w:color="000000"/>
              <w:left w:val="single" w:sz="8" w:space="0" w:color="000000"/>
              <w:bottom w:val="single" w:sz="8" w:space="0" w:color="000000"/>
              <w:right w:val="single" w:sz="8" w:space="0" w:color="000000"/>
            </w:tcBorders>
          </w:tcPr>
          <w:p w14:paraId="313AF516" w14:textId="77777777" w:rsidR="009037A4" w:rsidRPr="00B21FAC" w:rsidRDefault="009037A4" w:rsidP="00BA7E3E">
            <w:pPr>
              <w:kinsoku w:val="0"/>
              <w:overflowPunct w:val="0"/>
              <w:autoSpaceDE w:val="0"/>
              <w:autoSpaceDN w:val="0"/>
              <w:adjustRightInd w:val="0"/>
              <w:spacing w:after="0"/>
              <w:ind w:left="269" w:right="252"/>
              <w:jc w:val="center"/>
              <w:rPr>
                <w:rFonts w:ascii="Calibri" w:hAnsi="Calibri" w:cs="Calibri"/>
                <w:b/>
                <w:bCs/>
                <w:sz w:val="9"/>
                <w:szCs w:val="9"/>
              </w:rPr>
            </w:pPr>
            <w:r w:rsidRPr="00B21FAC">
              <w:rPr>
                <w:rFonts w:ascii="Calibri" w:hAnsi="Calibri" w:cs="Calibri"/>
                <w:b/>
                <w:bCs/>
                <w:sz w:val="9"/>
                <w:szCs w:val="9"/>
              </w:rPr>
              <w:t>Vruchten</w:t>
            </w:r>
          </w:p>
        </w:tc>
        <w:tc>
          <w:tcPr>
            <w:tcW w:w="821" w:type="dxa"/>
            <w:vMerge w:val="restart"/>
            <w:tcBorders>
              <w:top w:val="single" w:sz="8" w:space="0" w:color="000000"/>
              <w:left w:val="single" w:sz="8" w:space="0" w:color="000000"/>
              <w:bottom w:val="single" w:sz="8" w:space="0" w:color="000000"/>
              <w:right w:val="single" w:sz="8" w:space="0" w:color="000000"/>
            </w:tcBorders>
          </w:tcPr>
          <w:p w14:paraId="3DD90903" w14:textId="77777777" w:rsidR="009037A4" w:rsidRPr="00B21FAC" w:rsidRDefault="009037A4" w:rsidP="00BA7E3E">
            <w:pPr>
              <w:kinsoku w:val="0"/>
              <w:overflowPunct w:val="0"/>
              <w:autoSpaceDE w:val="0"/>
              <w:autoSpaceDN w:val="0"/>
              <w:adjustRightInd w:val="0"/>
              <w:spacing w:after="0"/>
              <w:rPr>
                <w:rFonts w:ascii="Times New Roman" w:hAnsi="Times New Roman" w:cs="Times New Roman"/>
                <w:sz w:val="8"/>
                <w:szCs w:val="8"/>
              </w:rPr>
            </w:pPr>
          </w:p>
        </w:tc>
        <w:tc>
          <w:tcPr>
            <w:tcW w:w="821" w:type="dxa"/>
            <w:vMerge w:val="restart"/>
            <w:tcBorders>
              <w:top w:val="single" w:sz="8" w:space="0" w:color="000000"/>
              <w:left w:val="single" w:sz="8" w:space="0" w:color="000000"/>
              <w:bottom w:val="single" w:sz="8" w:space="0" w:color="000000"/>
              <w:right w:val="single" w:sz="8" w:space="0" w:color="000000"/>
            </w:tcBorders>
          </w:tcPr>
          <w:p w14:paraId="4A3B7E86" w14:textId="77777777" w:rsidR="009037A4" w:rsidRPr="00B21FAC" w:rsidRDefault="009037A4" w:rsidP="00BA7E3E">
            <w:pPr>
              <w:kinsoku w:val="0"/>
              <w:overflowPunct w:val="0"/>
              <w:autoSpaceDE w:val="0"/>
              <w:autoSpaceDN w:val="0"/>
              <w:adjustRightInd w:val="0"/>
              <w:spacing w:after="0"/>
              <w:rPr>
                <w:rFonts w:ascii="Times New Roman" w:hAnsi="Times New Roman" w:cs="Times New Roman"/>
                <w:sz w:val="8"/>
                <w:szCs w:val="8"/>
              </w:rPr>
            </w:pPr>
          </w:p>
        </w:tc>
        <w:tc>
          <w:tcPr>
            <w:tcW w:w="821" w:type="dxa"/>
            <w:vMerge w:val="restart"/>
            <w:tcBorders>
              <w:top w:val="single" w:sz="8" w:space="0" w:color="000000"/>
              <w:left w:val="single" w:sz="8" w:space="0" w:color="000000"/>
              <w:bottom w:val="single" w:sz="8" w:space="0" w:color="000000"/>
              <w:right w:val="single" w:sz="8" w:space="0" w:color="000000"/>
            </w:tcBorders>
          </w:tcPr>
          <w:p w14:paraId="6771AAA0" w14:textId="77777777" w:rsidR="009037A4" w:rsidRPr="00B21FAC" w:rsidRDefault="009037A4" w:rsidP="00BA7E3E">
            <w:pPr>
              <w:kinsoku w:val="0"/>
              <w:overflowPunct w:val="0"/>
              <w:autoSpaceDE w:val="0"/>
              <w:autoSpaceDN w:val="0"/>
              <w:adjustRightInd w:val="0"/>
              <w:spacing w:after="0"/>
              <w:rPr>
                <w:rFonts w:ascii="Times New Roman" w:hAnsi="Times New Roman" w:cs="Times New Roman"/>
                <w:sz w:val="8"/>
                <w:szCs w:val="8"/>
              </w:rPr>
            </w:pPr>
          </w:p>
        </w:tc>
      </w:tr>
      <w:tr w:rsidR="009037A4" w:rsidRPr="00B21FAC" w14:paraId="6FD4B9DD" w14:textId="77777777" w:rsidTr="009360CB">
        <w:trPr>
          <w:trHeight w:hRule="exact" w:val="244"/>
        </w:trPr>
        <w:tc>
          <w:tcPr>
            <w:tcW w:w="820" w:type="dxa"/>
            <w:vMerge/>
            <w:tcBorders>
              <w:top w:val="nil"/>
              <w:left w:val="single" w:sz="8" w:space="0" w:color="000000"/>
              <w:bottom w:val="single" w:sz="8" w:space="0" w:color="000000"/>
              <w:right w:val="single" w:sz="8" w:space="0" w:color="000000"/>
            </w:tcBorders>
          </w:tcPr>
          <w:p w14:paraId="6C4DE0BB"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5" w:type="dxa"/>
            <w:vMerge/>
            <w:tcBorders>
              <w:left w:val="single" w:sz="8" w:space="0" w:color="000000"/>
              <w:right w:val="single" w:sz="8" w:space="0" w:color="000000"/>
            </w:tcBorders>
          </w:tcPr>
          <w:p w14:paraId="02B34F70"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0" w:type="dxa"/>
            <w:vMerge/>
            <w:tcBorders>
              <w:top w:val="nil"/>
              <w:left w:val="single" w:sz="8" w:space="0" w:color="000000"/>
              <w:bottom w:val="single" w:sz="8" w:space="0" w:color="000000"/>
              <w:right w:val="single" w:sz="8" w:space="0" w:color="000000"/>
            </w:tcBorders>
          </w:tcPr>
          <w:p w14:paraId="33FB2593"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4DD407C"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76FFBBD8"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BD655C3"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1230" w:type="dxa"/>
            <w:vMerge w:val="restart"/>
            <w:tcBorders>
              <w:top w:val="single" w:sz="8" w:space="0" w:color="000000"/>
              <w:left w:val="single" w:sz="8" w:space="0" w:color="000000"/>
              <w:bottom w:val="single" w:sz="8" w:space="0" w:color="000000"/>
              <w:right w:val="single" w:sz="8" w:space="0" w:color="000000"/>
            </w:tcBorders>
          </w:tcPr>
          <w:p w14:paraId="78A50343" w14:textId="77777777" w:rsidR="009037A4" w:rsidRPr="00B21FAC" w:rsidRDefault="009037A4" w:rsidP="00BA7E3E">
            <w:pPr>
              <w:kinsoku w:val="0"/>
              <w:overflowPunct w:val="0"/>
              <w:autoSpaceDE w:val="0"/>
              <w:autoSpaceDN w:val="0"/>
              <w:adjustRightInd w:val="0"/>
              <w:spacing w:after="0"/>
              <w:ind w:left="10" w:right="297"/>
              <w:rPr>
                <w:rFonts w:ascii="Calibri" w:hAnsi="Calibri" w:cs="Calibri"/>
                <w:sz w:val="9"/>
                <w:szCs w:val="9"/>
              </w:rPr>
            </w:pPr>
            <w:r w:rsidRPr="00B21FAC">
              <w:rPr>
                <w:rFonts w:ascii="Calibri" w:hAnsi="Calibri" w:cs="Calibri"/>
                <w:sz w:val="9"/>
                <w:szCs w:val="9"/>
              </w:rPr>
              <w:t>Vermoed</w:t>
            </w:r>
            <w:r w:rsidRPr="00B21FAC">
              <w:rPr>
                <w:rFonts w:ascii="Calibri" w:hAnsi="Calibri" w:cs="Calibri"/>
                <w:spacing w:val="2"/>
                <w:sz w:val="9"/>
                <w:szCs w:val="9"/>
              </w:rPr>
              <w:t xml:space="preserve"> </w:t>
            </w:r>
            <w:r w:rsidRPr="00B21FAC">
              <w:rPr>
                <w:rFonts w:ascii="Calibri" w:hAnsi="Calibri" w:cs="Calibri"/>
                <w:sz w:val="9"/>
                <w:szCs w:val="9"/>
              </w:rPr>
              <w:t>rendement</w:t>
            </w:r>
            <w:r w:rsidRPr="00B21FAC">
              <w:rPr>
                <w:rFonts w:ascii="Calibri" w:hAnsi="Calibri" w:cs="Calibri"/>
                <w:spacing w:val="1"/>
                <w:sz w:val="9"/>
                <w:szCs w:val="9"/>
              </w:rPr>
              <w:t xml:space="preserve"> </w:t>
            </w:r>
            <w:r w:rsidRPr="00B21FAC">
              <w:rPr>
                <w:rFonts w:ascii="Calibri" w:hAnsi="Calibri" w:cs="Calibri"/>
                <w:sz w:val="9"/>
                <w:szCs w:val="9"/>
              </w:rPr>
              <w:t>(onder)verhuurinkomen</w:t>
            </w:r>
            <w:r w:rsidRPr="00B21FAC">
              <w:rPr>
                <w:rFonts w:ascii="Calibri" w:hAnsi="Calibri" w:cs="Calibri"/>
                <w:spacing w:val="-18"/>
                <w:sz w:val="9"/>
                <w:szCs w:val="9"/>
              </w:rPr>
              <w:t xml:space="preserve"> </w:t>
            </w:r>
            <w:r w:rsidRPr="00B21FAC">
              <w:rPr>
                <w:rFonts w:ascii="Calibri" w:hAnsi="Calibri" w:cs="Calibri"/>
                <w:sz w:val="9"/>
                <w:szCs w:val="9"/>
              </w:rPr>
              <w:t>Vermogensrendement</w:t>
            </w:r>
          </w:p>
        </w:tc>
        <w:tc>
          <w:tcPr>
            <w:tcW w:w="1230" w:type="dxa"/>
            <w:vMerge w:val="restart"/>
            <w:tcBorders>
              <w:top w:val="single" w:sz="8" w:space="0" w:color="000000"/>
              <w:left w:val="single" w:sz="8" w:space="0" w:color="000000"/>
              <w:bottom w:val="single" w:sz="8" w:space="0" w:color="000000"/>
              <w:right w:val="single" w:sz="8" w:space="0" w:color="000000"/>
            </w:tcBorders>
          </w:tcPr>
          <w:p w14:paraId="6D7B10FB" w14:textId="77777777" w:rsidR="009037A4" w:rsidRPr="00B21FAC" w:rsidRDefault="009037A4" w:rsidP="00BA7E3E">
            <w:pPr>
              <w:kinsoku w:val="0"/>
              <w:overflowPunct w:val="0"/>
              <w:autoSpaceDE w:val="0"/>
              <w:autoSpaceDN w:val="0"/>
              <w:adjustRightInd w:val="0"/>
              <w:spacing w:after="0"/>
              <w:ind w:left="396" w:right="389"/>
              <w:jc w:val="center"/>
              <w:rPr>
                <w:rFonts w:ascii="Calibri" w:hAnsi="Calibri" w:cs="Calibri"/>
                <w:sz w:val="9"/>
                <w:szCs w:val="9"/>
              </w:rPr>
            </w:pPr>
            <w:r w:rsidRPr="00B21FAC">
              <w:rPr>
                <w:rFonts w:ascii="Calibri" w:hAnsi="Calibri" w:cs="Calibri"/>
                <w:sz w:val="9"/>
                <w:szCs w:val="9"/>
              </w:rPr>
              <w:t>Dividenden</w:t>
            </w:r>
            <w:r w:rsidRPr="00B21FAC">
              <w:rPr>
                <w:rFonts w:ascii="Calibri" w:hAnsi="Calibri" w:cs="Calibri"/>
                <w:spacing w:val="-18"/>
                <w:sz w:val="9"/>
                <w:szCs w:val="9"/>
              </w:rPr>
              <w:t xml:space="preserve"> </w:t>
            </w:r>
            <w:r w:rsidRPr="00B21FAC">
              <w:rPr>
                <w:rFonts w:ascii="Calibri" w:hAnsi="Calibri" w:cs="Calibri"/>
                <w:sz w:val="9"/>
                <w:szCs w:val="9"/>
              </w:rPr>
              <w:t>Interest</w:t>
            </w:r>
          </w:p>
          <w:p w14:paraId="25475FE7" w14:textId="77777777" w:rsidR="009037A4" w:rsidRPr="00B21FAC" w:rsidRDefault="009037A4" w:rsidP="00BA7E3E">
            <w:pPr>
              <w:kinsoku w:val="0"/>
              <w:overflowPunct w:val="0"/>
              <w:autoSpaceDE w:val="0"/>
              <w:autoSpaceDN w:val="0"/>
              <w:adjustRightInd w:val="0"/>
              <w:spacing w:before="4" w:after="0"/>
              <w:ind w:left="159" w:right="155"/>
              <w:jc w:val="center"/>
              <w:rPr>
                <w:rFonts w:ascii="Calibri" w:hAnsi="Calibri" w:cs="Calibri"/>
                <w:sz w:val="9"/>
                <w:szCs w:val="9"/>
              </w:rPr>
            </w:pPr>
            <w:r w:rsidRPr="00B21FAC">
              <w:rPr>
                <w:rFonts w:ascii="Calibri" w:hAnsi="Calibri" w:cs="Calibri"/>
                <w:sz w:val="9"/>
                <w:szCs w:val="9"/>
              </w:rPr>
              <w:t>(onder)verhuurinkomen</w:t>
            </w:r>
            <w:r w:rsidRPr="00B21FAC">
              <w:rPr>
                <w:rFonts w:ascii="Calibri" w:hAnsi="Calibri" w:cs="Calibri"/>
                <w:spacing w:val="-18"/>
                <w:sz w:val="9"/>
                <w:szCs w:val="9"/>
              </w:rPr>
              <w:t xml:space="preserve"> </w:t>
            </w:r>
            <w:r w:rsidRPr="00B21FAC">
              <w:rPr>
                <w:rFonts w:ascii="Calibri" w:hAnsi="Calibri" w:cs="Calibri"/>
                <w:sz w:val="9"/>
                <w:szCs w:val="9"/>
              </w:rPr>
              <w:t>Lijfrente</w:t>
            </w:r>
          </w:p>
          <w:p w14:paraId="3E36D7FE" w14:textId="77777777" w:rsidR="009037A4" w:rsidRPr="00B21FAC" w:rsidRDefault="009037A4" w:rsidP="00BA7E3E">
            <w:pPr>
              <w:kinsoku w:val="0"/>
              <w:overflowPunct w:val="0"/>
              <w:autoSpaceDE w:val="0"/>
              <w:autoSpaceDN w:val="0"/>
              <w:adjustRightInd w:val="0"/>
              <w:spacing w:before="5" w:after="0"/>
              <w:ind w:left="156" w:right="155"/>
              <w:jc w:val="center"/>
              <w:rPr>
                <w:rFonts w:ascii="Calibri" w:hAnsi="Calibri" w:cs="Calibri"/>
                <w:sz w:val="9"/>
                <w:szCs w:val="9"/>
              </w:rPr>
            </w:pPr>
            <w:r w:rsidRPr="00B21FAC">
              <w:rPr>
                <w:rFonts w:ascii="Calibri" w:hAnsi="Calibri" w:cs="Calibri"/>
                <w:sz w:val="9"/>
                <w:szCs w:val="9"/>
              </w:rPr>
              <w:t>Vermogensrendement</w:t>
            </w:r>
          </w:p>
        </w:tc>
        <w:tc>
          <w:tcPr>
            <w:tcW w:w="821" w:type="dxa"/>
            <w:vMerge/>
            <w:tcBorders>
              <w:top w:val="nil"/>
              <w:left w:val="single" w:sz="8" w:space="0" w:color="000000"/>
              <w:bottom w:val="single" w:sz="8" w:space="0" w:color="000000"/>
              <w:right w:val="single" w:sz="8" w:space="0" w:color="000000"/>
            </w:tcBorders>
          </w:tcPr>
          <w:p w14:paraId="5908F228"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73EBBED"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CBC534E"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r>
      <w:tr w:rsidR="009037A4" w:rsidRPr="00B21FAC" w14:paraId="4FD97C40" w14:textId="77777777" w:rsidTr="009037A4">
        <w:trPr>
          <w:trHeight w:hRule="exact" w:val="364"/>
        </w:trPr>
        <w:tc>
          <w:tcPr>
            <w:tcW w:w="820" w:type="dxa"/>
            <w:tcBorders>
              <w:top w:val="single" w:sz="8" w:space="0" w:color="000000"/>
              <w:left w:val="single" w:sz="8" w:space="0" w:color="000000"/>
              <w:bottom w:val="single" w:sz="8" w:space="0" w:color="000000"/>
              <w:right w:val="single" w:sz="8" w:space="0" w:color="000000"/>
            </w:tcBorders>
          </w:tcPr>
          <w:p w14:paraId="4EEB4E04" w14:textId="77777777" w:rsidR="009037A4" w:rsidRPr="00B21FAC" w:rsidRDefault="009037A4" w:rsidP="00BA7E3E">
            <w:pPr>
              <w:kinsoku w:val="0"/>
              <w:overflowPunct w:val="0"/>
              <w:autoSpaceDE w:val="0"/>
              <w:autoSpaceDN w:val="0"/>
              <w:adjustRightInd w:val="0"/>
              <w:spacing w:after="0"/>
              <w:ind w:left="6" w:right="5"/>
              <w:jc w:val="center"/>
              <w:rPr>
                <w:rFonts w:ascii="Calibri" w:hAnsi="Calibri" w:cs="Calibri"/>
                <w:sz w:val="9"/>
                <w:szCs w:val="9"/>
              </w:rPr>
            </w:pPr>
            <w:r w:rsidRPr="00B21FAC">
              <w:rPr>
                <w:rFonts w:ascii="Calibri" w:hAnsi="Calibri" w:cs="Calibri"/>
                <w:sz w:val="9"/>
                <w:szCs w:val="9"/>
              </w:rPr>
              <w:t>Vermogensrendeme</w:t>
            </w:r>
          </w:p>
          <w:p w14:paraId="341CDDAC" w14:textId="77777777" w:rsidR="009037A4" w:rsidRPr="00B21FAC" w:rsidRDefault="009037A4" w:rsidP="00BA7E3E">
            <w:pPr>
              <w:kinsoku w:val="0"/>
              <w:overflowPunct w:val="0"/>
              <w:autoSpaceDE w:val="0"/>
              <w:autoSpaceDN w:val="0"/>
              <w:adjustRightInd w:val="0"/>
              <w:spacing w:before="10" w:after="0"/>
              <w:ind w:left="7" w:right="5"/>
              <w:jc w:val="center"/>
              <w:rPr>
                <w:rFonts w:ascii="Calibri" w:hAnsi="Calibri" w:cs="Calibri"/>
                <w:sz w:val="9"/>
                <w:szCs w:val="9"/>
              </w:rPr>
            </w:pPr>
            <w:r w:rsidRPr="00B21FAC">
              <w:rPr>
                <w:rFonts w:ascii="Calibri" w:hAnsi="Calibri" w:cs="Calibri"/>
                <w:sz w:val="9"/>
                <w:szCs w:val="9"/>
              </w:rPr>
              <w:t>ntsaftrek</w:t>
            </w:r>
          </w:p>
        </w:tc>
        <w:tc>
          <w:tcPr>
            <w:tcW w:w="825" w:type="dxa"/>
            <w:vMerge/>
            <w:tcBorders>
              <w:left w:val="single" w:sz="8" w:space="0" w:color="000000"/>
              <w:right w:val="single" w:sz="8" w:space="0" w:color="000000"/>
            </w:tcBorders>
          </w:tcPr>
          <w:p w14:paraId="5270F0BE"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0" w:type="dxa"/>
            <w:vMerge/>
            <w:tcBorders>
              <w:top w:val="nil"/>
              <w:left w:val="single" w:sz="8" w:space="0" w:color="000000"/>
              <w:bottom w:val="single" w:sz="8" w:space="0" w:color="000000"/>
              <w:right w:val="single" w:sz="8" w:space="0" w:color="000000"/>
            </w:tcBorders>
          </w:tcPr>
          <w:p w14:paraId="51D07A05"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5E5F938"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296A64C"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087679FE"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1230" w:type="dxa"/>
            <w:vMerge/>
            <w:tcBorders>
              <w:top w:val="nil"/>
              <w:left w:val="single" w:sz="8" w:space="0" w:color="000000"/>
              <w:bottom w:val="single" w:sz="8" w:space="0" w:color="000000"/>
              <w:right w:val="single" w:sz="8" w:space="0" w:color="000000"/>
            </w:tcBorders>
          </w:tcPr>
          <w:p w14:paraId="4432CA95"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1230" w:type="dxa"/>
            <w:vMerge/>
            <w:tcBorders>
              <w:top w:val="nil"/>
              <w:left w:val="single" w:sz="8" w:space="0" w:color="000000"/>
              <w:bottom w:val="single" w:sz="8" w:space="0" w:color="000000"/>
              <w:right w:val="single" w:sz="8" w:space="0" w:color="000000"/>
            </w:tcBorders>
          </w:tcPr>
          <w:p w14:paraId="6B9290A4"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70C3CD99"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2B367B0"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579D7D37"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r>
      <w:tr w:rsidR="009037A4" w:rsidRPr="00B21FAC" w14:paraId="65363F89" w14:textId="77777777" w:rsidTr="009360CB">
        <w:trPr>
          <w:trHeight w:hRule="exact" w:val="124"/>
        </w:trPr>
        <w:tc>
          <w:tcPr>
            <w:tcW w:w="820" w:type="dxa"/>
            <w:vMerge w:val="restart"/>
            <w:tcBorders>
              <w:top w:val="single" w:sz="8" w:space="0" w:color="000000"/>
              <w:left w:val="single" w:sz="8" w:space="0" w:color="000000"/>
              <w:right w:val="single" w:sz="8" w:space="0" w:color="000000"/>
            </w:tcBorders>
          </w:tcPr>
          <w:p w14:paraId="658071D9" w14:textId="2A503CB3" w:rsidR="009037A4" w:rsidRPr="00B21FAC" w:rsidRDefault="009037A4" w:rsidP="00BA7E3E">
            <w:pPr>
              <w:kinsoku w:val="0"/>
              <w:overflowPunct w:val="0"/>
              <w:autoSpaceDE w:val="0"/>
              <w:autoSpaceDN w:val="0"/>
              <w:adjustRightInd w:val="0"/>
              <w:spacing w:before="49" w:after="0"/>
              <w:ind w:left="75"/>
              <w:rPr>
                <w:rFonts w:ascii="Calibri" w:hAnsi="Calibri" w:cs="Calibri"/>
                <w:sz w:val="9"/>
                <w:szCs w:val="9"/>
              </w:rPr>
            </w:pPr>
            <w:r w:rsidRPr="00B21FAC">
              <w:rPr>
                <w:rFonts w:ascii="Calibri" w:hAnsi="Calibri" w:cs="Calibri"/>
                <w:sz w:val="9"/>
                <w:szCs w:val="9"/>
              </w:rPr>
              <w:t>Investerings</w:t>
            </w:r>
            <w:r>
              <w:rPr>
                <w:rFonts w:ascii="Calibri" w:hAnsi="Calibri" w:cs="Calibri"/>
                <w:sz w:val="9"/>
                <w:szCs w:val="9"/>
              </w:rPr>
              <w:t>s</w:t>
            </w:r>
            <w:r w:rsidRPr="00B21FAC">
              <w:rPr>
                <w:rFonts w:ascii="Calibri" w:hAnsi="Calibri" w:cs="Calibri"/>
                <w:sz w:val="9"/>
                <w:szCs w:val="9"/>
              </w:rPr>
              <w:t>timuli</w:t>
            </w:r>
          </w:p>
        </w:tc>
        <w:tc>
          <w:tcPr>
            <w:tcW w:w="825" w:type="dxa"/>
            <w:vMerge/>
            <w:tcBorders>
              <w:left w:val="single" w:sz="8" w:space="0" w:color="000000"/>
              <w:right w:val="single" w:sz="8" w:space="0" w:color="000000"/>
            </w:tcBorders>
          </w:tcPr>
          <w:p w14:paraId="0B9C806E"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0" w:type="dxa"/>
            <w:vMerge/>
            <w:tcBorders>
              <w:top w:val="nil"/>
              <w:left w:val="single" w:sz="8" w:space="0" w:color="000000"/>
              <w:bottom w:val="single" w:sz="8" w:space="0" w:color="000000"/>
              <w:right w:val="single" w:sz="8" w:space="0" w:color="000000"/>
            </w:tcBorders>
          </w:tcPr>
          <w:p w14:paraId="0DF7B356"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72A7A6A2"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4B07E21"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1E37369"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1230" w:type="dxa"/>
            <w:vMerge/>
            <w:tcBorders>
              <w:top w:val="nil"/>
              <w:left w:val="single" w:sz="8" w:space="0" w:color="000000"/>
              <w:bottom w:val="single" w:sz="8" w:space="0" w:color="000000"/>
              <w:right w:val="single" w:sz="8" w:space="0" w:color="000000"/>
            </w:tcBorders>
          </w:tcPr>
          <w:p w14:paraId="2DCF3832"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1230" w:type="dxa"/>
            <w:vMerge/>
            <w:tcBorders>
              <w:top w:val="nil"/>
              <w:left w:val="single" w:sz="8" w:space="0" w:color="000000"/>
              <w:bottom w:val="single" w:sz="8" w:space="0" w:color="000000"/>
              <w:right w:val="single" w:sz="8" w:space="0" w:color="000000"/>
            </w:tcBorders>
          </w:tcPr>
          <w:p w14:paraId="01ABA0B9"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3041826B"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5C3518F7"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7C0BA141"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r>
      <w:tr w:rsidR="009037A4" w:rsidRPr="00B21FAC" w14:paraId="130AB414" w14:textId="77777777" w:rsidTr="009360CB">
        <w:trPr>
          <w:trHeight w:hRule="exact" w:val="124"/>
        </w:trPr>
        <w:tc>
          <w:tcPr>
            <w:tcW w:w="820" w:type="dxa"/>
            <w:vMerge/>
            <w:tcBorders>
              <w:left w:val="single" w:sz="8" w:space="0" w:color="000000"/>
              <w:right w:val="single" w:sz="8" w:space="0" w:color="000000"/>
            </w:tcBorders>
          </w:tcPr>
          <w:p w14:paraId="6D304D99"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5" w:type="dxa"/>
            <w:vMerge/>
            <w:tcBorders>
              <w:left w:val="single" w:sz="8" w:space="0" w:color="000000"/>
              <w:right w:val="single" w:sz="8" w:space="0" w:color="000000"/>
            </w:tcBorders>
          </w:tcPr>
          <w:p w14:paraId="711DD6D2"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0" w:type="dxa"/>
            <w:vMerge/>
            <w:tcBorders>
              <w:top w:val="nil"/>
              <w:left w:val="single" w:sz="8" w:space="0" w:color="000000"/>
              <w:bottom w:val="single" w:sz="8" w:space="0" w:color="000000"/>
              <w:right w:val="single" w:sz="8" w:space="0" w:color="000000"/>
            </w:tcBorders>
          </w:tcPr>
          <w:p w14:paraId="20C73A64"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1617CACC"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9CBBDFE"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08447080"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2460" w:type="dxa"/>
            <w:gridSpan w:val="2"/>
            <w:tcBorders>
              <w:top w:val="single" w:sz="8" w:space="0" w:color="000000"/>
              <w:left w:val="single" w:sz="8" w:space="0" w:color="000000"/>
              <w:bottom w:val="single" w:sz="8" w:space="0" w:color="000000"/>
              <w:right w:val="single" w:sz="8" w:space="0" w:color="000000"/>
            </w:tcBorders>
          </w:tcPr>
          <w:p w14:paraId="449C8CF5" w14:textId="77777777" w:rsidR="009037A4" w:rsidRPr="00B21FAC" w:rsidRDefault="009037A4" w:rsidP="00BA7E3E">
            <w:pPr>
              <w:kinsoku w:val="0"/>
              <w:overflowPunct w:val="0"/>
              <w:autoSpaceDE w:val="0"/>
              <w:autoSpaceDN w:val="0"/>
              <w:adjustRightInd w:val="0"/>
              <w:spacing w:after="0"/>
              <w:ind w:left="269" w:right="251"/>
              <w:jc w:val="center"/>
              <w:rPr>
                <w:rFonts w:ascii="Calibri" w:hAnsi="Calibri" w:cs="Calibri"/>
                <w:b/>
                <w:bCs/>
                <w:sz w:val="9"/>
                <w:szCs w:val="9"/>
              </w:rPr>
            </w:pPr>
            <w:r w:rsidRPr="00B21FAC">
              <w:rPr>
                <w:rFonts w:ascii="Calibri" w:hAnsi="Calibri" w:cs="Calibri"/>
                <w:b/>
                <w:bCs/>
                <w:sz w:val="9"/>
                <w:szCs w:val="9"/>
              </w:rPr>
              <w:t>Meerwaarden</w:t>
            </w:r>
          </w:p>
        </w:tc>
        <w:tc>
          <w:tcPr>
            <w:tcW w:w="821" w:type="dxa"/>
            <w:vMerge/>
            <w:tcBorders>
              <w:top w:val="nil"/>
              <w:left w:val="single" w:sz="8" w:space="0" w:color="000000"/>
              <w:bottom w:val="single" w:sz="8" w:space="0" w:color="000000"/>
              <w:right w:val="single" w:sz="8" w:space="0" w:color="000000"/>
            </w:tcBorders>
          </w:tcPr>
          <w:p w14:paraId="44D85E28"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3BA1057D"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B5C67E6"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r>
      <w:tr w:rsidR="009037A4" w:rsidRPr="00B21FAC" w14:paraId="56EAC201" w14:textId="77777777" w:rsidTr="009360CB">
        <w:trPr>
          <w:trHeight w:hRule="exact" w:val="244"/>
        </w:trPr>
        <w:tc>
          <w:tcPr>
            <w:tcW w:w="820" w:type="dxa"/>
            <w:vMerge/>
            <w:tcBorders>
              <w:left w:val="single" w:sz="8" w:space="0" w:color="000000"/>
              <w:right w:val="single" w:sz="8" w:space="0" w:color="000000"/>
            </w:tcBorders>
          </w:tcPr>
          <w:p w14:paraId="1CAB2EB9" w14:textId="77777777" w:rsidR="009037A4" w:rsidRPr="00B21FAC" w:rsidRDefault="009037A4" w:rsidP="00BA7E3E">
            <w:pPr>
              <w:kinsoku w:val="0"/>
              <w:overflowPunct w:val="0"/>
              <w:autoSpaceDE w:val="0"/>
              <w:autoSpaceDN w:val="0"/>
              <w:adjustRightInd w:val="0"/>
              <w:spacing w:after="0"/>
              <w:rPr>
                <w:rFonts w:ascii="Times New Roman" w:hAnsi="Times New Roman" w:cs="Times New Roman"/>
                <w:sz w:val="8"/>
                <w:szCs w:val="8"/>
              </w:rPr>
            </w:pPr>
          </w:p>
        </w:tc>
        <w:tc>
          <w:tcPr>
            <w:tcW w:w="825" w:type="dxa"/>
            <w:vMerge/>
            <w:tcBorders>
              <w:left w:val="single" w:sz="8" w:space="0" w:color="000000"/>
              <w:right w:val="single" w:sz="8" w:space="0" w:color="000000"/>
            </w:tcBorders>
          </w:tcPr>
          <w:p w14:paraId="6E2C1F4F"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0" w:type="dxa"/>
            <w:vMerge/>
            <w:tcBorders>
              <w:top w:val="nil"/>
              <w:left w:val="single" w:sz="8" w:space="0" w:color="000000"/>
              <w:bottom w:val="single" w:sz="8" w:space="0" w:color="000000"/>
              <w:right w:val="single" w:sz="8" w:space="0" w:color="000000"/>
            </w:tcBorders>
          </w:tcPr>
          <w:p w14:paraId="2DBA0B11"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55475E45"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DF867C4"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DB196DB"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2460" w:type="dxa"/>
            <w:gridSpan w:val="2"/>
            <w:tcBorders>
              <w:top w:val="single" w:sz="8" w:space="0" w:color="000000"/>
              <w:left w:val="single" w:sz="8" w:space="0" w:color="000000"/>
              <w:bottom w:val="single" w:sz="8" w:space="0" w:color="000000"/>
              <w:right w:val="single" w:sz="8" w:space="0" w:color="000000"/>
            </w:tcBorders>
          </w:tcPr>
          <w:p w14:paraId="10F5226F" w14:textId="77777777" w:rsidR="009037A4" w:rsidRPr="00B21FAC" w:rsidRDefault="009037A4" w:rsidP="00BA7E3E">
            <w:pPr>
              <w:kinsoku w:val="0"/>
              <w:overflowPunct w:val="0"/>
              <w:autoSpaceDE w:val="0"/>
              <w:autoSpaceDN w:val="0"/>
              <w:adjustRightInd w:val="0"/>
              <w:spacing w:after="0"/>
              <w:ind w:left="269" w:right="267"/>
              <w:jc w:val="center"/>
              <w:rPr>
                <w:rFonts w:ascii="Calibri" w:hAnsi="Calibri" w:cs="Calibri"/>
                <w:sz w:val="9"/>
                <w:szCs w:val="9"/>
              </w:rPr>
            </w:pPr>
            <w:r w:rsidRPr="00B21FAC">
              <w:rPr>
                <w:rFonts w:ascii="Calibri" w:hAnsi="Calibri" w:cs="Calibri"/>
                <w:sz w:val="9"/>
                <w:szCs w:val="9"/>
              </w:rPr>
              <w:t>Inkomsten</w:t>
            </w:r>
            <w:r w:rsidRPr="00B21FAC">
              <w:rPr>
                <w:rFonts w:ascii="Calibri" w:hAnsi="Calibri" w:cs="Calibri"/>
                <w:spacing w:val="1"/>
                <w:sz w:val="9"/>
                <w:szCs w:val="9"/>
              </w:rPr>
              <w:t xml:space="preserve"> </w:t>
            </w:r>
            <w:r w:rsidRPr="00B21FAC">
              <w:rPr>
                <w:rFonts w:ascii="Calibri" w:hAnsi="Calibri" w:cs="Calibri"/>
                <w:sz w:val="9"/>
                <w:szCs w:val="9"/>
              </w:rPr>
              <w:t>uit</w:t>
            </w:r>
            <w:r w:rsidRPr="00B21FAC">
              <w:rPr>
                <w:rFonts w:ascii="Calibri" w:hAnsi="Calibri" w:cs="Calibri"/>
                <w:spacing w:val="2"/>
                <w:sz w:val="9"/>
                <w:szCs w:val="9"/>
              </w:rPr>
              <w:t xml:space="preserve"> </w:t>
            </w:r>
            <w:r w:rsidRPr="00B21FAC">
              <w:rPr>
                <w:rFonts w:ascii="Calibri" w:hAnsi="Calibri" w:cs="Calibri"/>
                <w:sz w:val="9"/>
                <w:szCs w:val="9"/>
              </w:rPr>
              <w:t>overdracht</w:t>
            </w:r>
            <w:r w:rsidRPr="00B21FAC">
              <w:rPr>
                <w:rFonts w:ascii="Calibri" w:hAnsi="Calibri" w:cs="Calibri"/>
                <w:spacing w:val="3"/>
                <w:sz w:val="9"/>
                <w:szCs w:val="9"/>
              </w:rPr>
              <w:t xml:space="preserve"> </w:t>
            </w:r>
            <w:r w:rsidRPr="00B21FAC">
              <w:rPr>
                <w:rFonts w:ascii="Calibri" w:hAnsi="Calibri" w:cs="Calibri"/>
                <w:sz w:val="9"/>
                <w:szCs w:val="9"/>
              </w:rPr>
              <w:t>of</w:t>
            </w:r>
            <w:r w:rsidRPr="00B21FAC">
              <w:rPr>
                <w:rFonts w:ascii="Calibri" w:hAnsi="Calibri" w:cs="Calibri"/>
                <w:spacing w:val="2"/>
                <w:sz w:val="9"/>
                <w:szCs w:val="9"/>
              </w:rPr>
              <w:t xml:space="preserve"> </w:t>
            </w:r>
            <w:r w:rsidRPr="00B21FAC">
              <w:rPr>
                <w:rFonts w:ascii="Calibri" w:hAnsi="Calibri" w:cs="Calibri"/>
                <w:sz w:val="9"/>
                <w:szCs w:val="9"/>
              </w:rPr>
              <w:t>vestiging</w:t>
            </w:r>
            <w:r w:rsidRPr="00B21FAC">
              <w:rPr>
                <w:rFonts w:ascii="Calibri" w:hAnsi="Calibri" w:cs="Calibri"/>
                <w:spacing w:val="2"/>
                <w:sz w:val="9"/>
                <w:szCs w:val="9"/>
              </w:rPr>
              <w:t xml:space="preserve"> </w:t>
            </w:r>
            <w:r w:rsidRPr="00B21FAC">
              <w:rPr>
                <w:rFonts w:ascii="Calibri" w:hAnsi="Calibri" w:cs="Calibri"/>
                <w:sz w:val="9"/>
                <w:szCs w:val="9"/>
              </w:rPr>
              <w:t>van</w:t>
            </w:r>
            <w:r w:rsidRPr="00B21FAC">
              <w:rPr>
                <w:rFonts w:ascii="Calibri" w:hAnsi="Calibri" w:cs="Calibri"/>
                <w:spacing w:val="2"/>
                <w:sz w:val="9"/>
                <w:szCs w:val="9"/>
              </w:rPr>
              <w:t xml:space="preserve"> </w:t>
            </w:r>
            <w:r w:rsidRPr="00B21FAC">
              <w:rPr>
                <w:rFonts w:ascii="Calibri" w:hAnsi="Calibri" w:cs="Calibri"/>
                <w:sz w:val="9"/>
                <w:szCs w:val="9"/>
              </w:rPr>
              <w:t>zakelijke</w:t>
            </w:r>
          </w:p>
          <w:p w14:paraId="2736ABC1" w14:textId="77777777" w:rsidR="009037A4" w:rsidRPr="00B21FAC" w:rsidRDefault="009037A4" w:rsidP="00BA7E3E">
            <w:pPr>
              <w:kinsoku w:val="0"/>
              <w:overflowPunct w:val="0"/>
              <w:autoSpaceDE w:val="0"/>
              <w:autoSpaceDN w:val="0"/>
              <w:adjustRightInd w:val="0"/>
              <w:spacing w:before="10" w:after="0"/>
              <w:ind w:left="269" w:right="265"/>
              <w:jc w:val="center"/>
              <w:rPr>
                <w:rFonts w:ascii="Calibri" w:hAnsi="Calibri" w:cs="Calibri"/>
                <w:sz w:val="9"/>
                <w:szCs w:val="9"/>
              </w:rPr>
            </w:pPr>
            <w:r w:rsidRPr="00B21FAC">
              <w:rPr>
                <w:rFonts w:ascii="Calibri" w:hAnsi="Calibri" w:cs="Calibri"/>
                <w:sz w:val="9"/>
                <w:szCs w:val="9"/>
              </w:rPr>
              <w:t>gebruiksrechten</w:t>
            </w:r>
          </w:p>
        </w:tc>
        <w:tc>
          <w:tcPr>
            <w:tcW w:w="821" w:type="dxa"/>
            <w:vMerge/>
            <w:tcBorders>
              <w:top w:val="nil"/>
              <w:left w:val="single" w:sz="8" w:space="0" w:color="000000"/>
              <w:bottom w:val="single" w:sz="8" w:space="0" w:color="000000"/>
              <w:right w:val="single" w:sz="8" w:space="0" w:color="000000"/>
            </w:tcBorders>
          </w:tcPr>
          <w:p w14:paraId="7767E420"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67A797BC"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374E7BB"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r>
      <w:tr w:rsidR="009037A4" w:rsidRPr="00B21FAC" w14:paraId="403309D9" w14:textId="77777777" w:rsidTr="009360CB">
        <w:trPr>
          <w:trHeight w:val="228"/>
        </w:trPr>
        <w:tc>
          <w:tcPr>
            <w:tcW w:w="820" w:type="dxa"/>
            <w:vMerge/>
            <w:tcBorders>
              <w:left w:val="single" w:sz="8" w:space="0" w:color="000000"/>
              <w:bottom w:val="single" w:sz="8" w:space="0" w:color="000000"/>
              <w:right w:val="single" w:sz="8" w:space="0" w:color="000000"/>
            </w:tcBorders>
          </w:tcPr>
          <w:p w14:paraId="07218EBD"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5" w:type="dxa"/>
            <w:vMerge/>
            <w:tcBorders>
              <w:left w:val="single" w:sz="8" w:space="0" w:color="000000"/>
              <w:bottom w:val="single" w:sz="8" w:space="0" w:color="000000"/>
              <w:right w:val="single" w:sz="8" w:space="0" w:color="000000"/>
            </w:tcBorders>
          </w:tcPr>
          <w:p w14:paraId="2D6D8B21"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0" w:type="dxa"/>
            <w:vMerge/>
            <w:tcBorders>
              <w:top w:val="nil"/>
              <w:left w:val="single" w:sz="8" w:space="0" w:color="000000"/>
              <w:bottom w:val="single" w:sz="8" w:space="0" w:color="000000"/>
              <w:right w:val="single" w:sz="8" w:space="0" w:color="000000"/>
            </w:tcBorders>
          </w:tcPr>
          <w:p w14:paraId="5E7F39BE"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51D7162C"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37A8242"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DE3E382"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2460" w:type="dxa"/>
            <w:gridSpan w:val="2"/>
            <w:tcBorders>
              <w:top w:val="single" w:sz="8" w:space="0" w:color="000000"/>
              <w:left w:val="single" w:sz="8" w:space="0" w:color="000000"/>
              <w:bottom w:val="single" w:sz="8" w:space="0" w:color="000000"/>
              <w:right w:val="single" w:sz="8" w:space="0" w:color="000000"/>
            </w:tcBorders>
          </w:tcPr>
          <w:p w14:paraId="0D4D3628" w14:textId="77777777" w:rsidR="009037A4" w:rsidRPr="00B21FAC" w:rsidRDefault="009037A4" w:rsidP="00BA7E3E">
            <w:pPr>
              <w:kinsoku w:val="0"/>
              <w:overflowPunct w:val="0"/>
              <w:autoSpaceDE w:val="0"/>
              <w:autoSpaceDN w:val="0"/>
              <w:adjustRightInd w:val="0"/>
              <w:spacing w:after="0"/>
              <w:ind w:left="269" w:right="254"/>
              <w:jc w:val="center"/>
              <w:rPr>
                <w:rFonts w:ascii="Calibri" w:hAnsi="Calibri" w:cs="Calibri"/>
                <w:b/>
                <w:bCs/>
                <w:sz w:val="9"/>
                <w:szCs w:val="9"/>
              </w:rPr>
            </w:pPr>
          </w:p>
          <w:p w14:paraId="3A9BE1A5" w14:textId="05FB1B26" w:rsidR="009037A4" w:rsidRPr="00B21FAC" w:rsidRDefault="009037A4" w:rsidP="00BA7E3E">
            <w:pPr>
              <w:kinsoku w:val="0"/>
              <w:overflowPunct w:val="0"/>
              <w:autoSpaceDE w:val="0"/>
              <w:autoSpaceDN w:val="0"/>
              <w:adjustRightInd w:val="0"/>
              <w:spacing w:after="0"/>
              <w:ind w:left="269" w:right="254"/>
              <w:jc w:val="center"/>
              <w:rPr>
                <w:rFonts w:ascii="Calibri" w:hAnsi="Calibri" w:cs="Calibri"/>
                <w:b/>
                <w:bCs/>
                <w:sz w:val="9"/>
                <w:szCs w:val="9"/>
              </w:rPr>
            </w:pPr>
            <w:r w:rsidRPr="00B21FAC">
              <w:rPr>
                <w:rFonts w:ascii="Calibri" w:hAnsi="Calibri" w:cs="Calibri"/>
                <w:b/>
                <w:bCs/>
                <w:sz w:val="9"/>
                <w:szCs w:val="9"/>
              </w:rPr>
              <w:t>Spaarvrijstelling</w:t>
            </w:r>
          </w:p>
        </w:tc>
        <w:tc>
          <w:tcPr>
            <w:tcW w:w="821" w:type="dxa"/>
            <w:vMerge/>
            <w:tcBorders>
              <w:top w:val="nil"/>
              <w:left w:val="single" w:sz="8" w:space="0" w:color="000000"/>
              <w:bottom w:val="single" w:sz="8" w:space="0" w:color="000000"/>
              <w:right w:val="single" w:sz="8" w:space="0" w:color="000000"/>
            </w:tcBorders>
          </w:tcPr>
          <w:p w14:paraId="092C549B"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04B673BD"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6682BA54" w14:textId="77777777" w:rsidR="009037A4" w:rsidRPr="00B21FAC" w:rsidRDefault="009037A4" w:rsidP="00BA7E3E">
            <w:pPr>
              <w:kinsoku w:val="0"/>
              <w:overflowPunct w:val="0"/>
              <w:autoSpaceDE w:val="0"/>
              <w:autoSpaceDN w:val="0"/>
              <w:adjustRightInd w:val="0"/>
              <w:spacing w:before="6" w:after="0"/>
              <w:rPr>
                <w:rFonts w:ascii="Times New Roman" w:hAnsi="Times New Roman" w:cs="Times New Roman"/>
                <w:sz w:val="2"/>
                <w:szCs w:val="2"/>
              </w:rPr>
            </w:pPr>
          </w:p>
        </w:tc>
      </w:tr>
    </w:tbl>
    <w:p w14:paraId="7144FF87" w14:textId="77777777" w:rsidR="00C2572E" w:rsidRPr="00B21FAC" w:rsidRDefault="00C2572E" w:rsidP="00BA7E3E">
      <w:pPr>
        <w:kinsoku w:val="0"/>
        <w:overflowPunct w:val="0"/>
        <w:autoSpaceDE w:val="0"/>
        <w:autoSpaceDN w:val="0"/>
        <w:adjustRightInd w:val="0"/>
        <w:spacing w:before="8" w:after="0"/>
        <w:rPr>
          <w:rFonts w:ascii="Times New Roman" w:hAnsi="Times New Roman" w:cs="Times New Roman"/>
          <w:sz w:val="9"/>
          <w:szCs w:val="9"/>
        </w:rPr>
      </w:pPr>
    </w:p>
    <w:tbl>
      <w:tblPr>
        <w:tblW w:w="9848" w:type="dxa"/>
        <w:tblInd w:w="-400" w:type="dxa"/>
        <w:tblLayout w:type="fixed"/>
        <w:tblCellMar>
          <w:left w:w="0" w:type="dxa"/>
          <w:right w:w="0" w:type="dxa"/>
        </w:tblCellMar>
        <w:tblLook w:val="0000" w:firstRow="0" w:lastRow="0" w:firstColumn="0" w:lastColumn="0" w:noHBand="0" w:noVBand="0"/>
      </w:tblPr>
      <w:tblGrid>
        <w:gridCol w:w="4924"/>
        <w:gridCol w:w="2462"/>
        <w:gridCol w:w="2462"/>
      </w:tblGrid>
      <w:tr w:rsidR="00C2572E" w:rsidRPr="00B21FAC" w14:paraId="46FAC6CE" w14:textId="77777777" w:rsidTr="00FB3500">
        <w:trPr>
          <w:trHeight w:val="104"/>
        </w:trPr>
        <w:tc>
          <w:tcPr>
            <w:tcW w:w="4924" w:type="dxa"/>
            <w:tcBorders>
              <w:top w:val="single" w:sz="8" w:space="0" w:color="000000"/>
              <w:left w:val="single" w:sz="8" w:space="0" w:color="000000"/>
              <w:bottom w:val="single" w:sz="8" w:space="0" w:color="000000"/>
              <w:right w:val="single" w:sz="8" w:space="0" w:color="000000"/>
            </w:tcBorders>
          </w:tcPr>
          <w:p w14:paraId="7F0BD926" w14:textId="77777777" w:rsidR="00C2572E" w:rsidRPr="00B21FAC" w:rsidRDefault="00C2572E" w:rsidP="00BA7E3E">
            <w:pPr>
              <w:kinsoku w:val="0"/>
              <w:overflowPunct w:val="0"/>
              <w:autoSpaceDE w:val="0"/>
              <w:autoSpaceDN w:val="0"/>
              <w:adjustRightInd w:val="0"/>
              <w:spacing w:after="0"/>
              <w:ind w:left="1799" w:right="1764"/>
              <w:jc w:val="center"/>
              <w:rPr>
                <w:rFonts w:ascii="Calibri" w:hAnsi="Calibri" w:cs="Calibri"/>
                <w:b/>
                <w:bCs/>
                <w:sz w:val="9"/>
                <w:szCs w:val="9"/>
              </w:rPr>
            </w:pPr>
            <w:r w:rsidRPr="00B21FAC">
              <w:rPr>
                <w:rFonts w:ascii="Calibri" w:hAnsi="Calibri" w:cs="Calibri"/>
                <w:b/>
                <w:bCs/>
                <w:sz w:val="9"/>
                <w:szCs w:val="9"/>
              </w:rPr>
              <w:t>PROGRESSIEVE</w:t>
            </w:r>
            <w:r w:rsidRPr="00B21FAC">
              <w:rPr>
                <w:rFonts w:ascii="Calibri" w:hAnsi="Calibri" w:cs="Calibri"/>
                <w:b/>
                <w:bCs/>
                <w:spacing w:val="2"/>
                <w:sz w:val="9"/>
                <w:szCs w:val="9"/>
              </w:rPr>
              <w:t xml:space="preserve"> </w:t>
            </w:r>
            <w:r w:rsidRPr="00B21FAC">
              <w:rPr>
                <w:rFonts w:ascii="Calibri" w:hAnsi="Calibri" w:cs="Calibri"/>
                <w:b/>
                <w:bCs/>
                <w:sz w:val="9"/>
                <w:szCs w:val="9"/>
              </w:rPr>
              <w:t>TARIEFSTRUCTUUR</w:t>
            </w:r>
          </w:p>
        </w:tc>
        <w:tc>
          <w:tcPr>
            <w:tcW w:w="2462" w:type="dxa"/>
            <w:tcBorders>
              <w:top w:val="single" w:sz="8" w:space="0" w:color="000000"/>
              <w:left w:val="single" w:sz="8" w:space="0" w:color="000000"/>
              <w:bottom w:val="single" w:sz="8" w:space="0" w:color="000000"/>
              <w:right w:val="single" w:sz="8" w:space="0" w:color="000000"/>
            </w:tcBorders>
          </w:tcPr>
          <w:p w14:paraId="0496716E" w14:textId="77777777" w:rsidR="00C2572E" w:rsidRPr="00B21FAC" w:rsidRDefault="00C2572E" w:rsidP="00BA7E3E">
            <w:pPr>
              <w:kinsoku w:val="0"/>
              <w:overflowPunct w:val="0"/>
              <w:autoSpaceDE w:val="0"/>
              <w:autoSpaceDN w:val="0"/>
              <w:adjustRightInd w:val="0"/>
              <w:spacing w:after="0"/>
              <w:ind w:left="794"/>
              <w:rPr>
                <w:rFonts w:ascii="Calibri" w:hAnsi="Calibri" w:cs="Calibri"/>
                <w:b/>
                <w:bCs/>
                <w:sz w:val="9"/>
                <w:szCs w:val="9"/>
              </w:rPr>
            </w:pPr>
            <w:r w:rsidRPr="00B21FAC">
              <w:rPr>
                <w:rFonts w:ascii="Calibri" w:hAnsi="Calibri" w:cs="Calibri"/>
                <w:b/>
                <w:bCs/>
                <w:sz w:val="9"/>
                <w:szCs w:val="9"/>
              </w:rPr>
              <w:t>EVENREDIGE</w:t>
            </w:r>
            <w:r w:rsidRPr="00B21FAC">
              <w:rPr>
                <w:rFonts w:ascii="Calibri" w:hAnsi="Calibri" w:cs="Calibri"/>
                <w:b/>
                <w:bCs/>
                <w:spacing w:val="2"/>
                <w:sz w:val="9"/>
                <w:szCs w:val="9"/>
              </w:rPr>
              <w:t xml:space="preserve"> </w:t>
            </w:r>
            <w:r w:rsidRPr="00B21FAC">
              <w:rPr>
                <w:rFonts w:ascii="Calibri" w:hAnsi="Calibri" w:cs="Calibri"/>
                <w:b/>
                <w:bCs/>
                <w:sz w:val="9"/>
                <w:szCs w:val="9"/>
              </w:rPr>
              <w:t>TARIEVEN</w:t>
            </w:r>
          </w:p>
        </w:tc>
        <w:tc>
          <w:tcPr>
            <w:tcW w:w="2462" w:type="dxa"/>
            <w:tcBorders>
              <w:top w:val="single" w:sz="8" w:space="0" w:color="000000"/>
              <w:left w:val="single" w:sz="8" w:space="0" w:color="000000"/>
              <w:bottom w:val="single" w:sz="8" w:space="0" w:color="000000"/>
              <w:right w:val="single" w:sz="8" w:space="0" w:color="000000"/>
            </w:tcBorders>
          </w:tcPr>
          <w:p w14:paraId="1A8A4EB9" w14:textId="77777777" w:rsidR="00C2572E" w:rsidRPr="00B21FAC" w:rsidRDefault="00C2572E" w:rsidP="00BA7E3E">
            <w:pPr>
              <w:kinsoku w:val="0"/>
              <w:overflowPunct w:val="0"/>
              <w:autoSpaceDE w:val="0"/>
              <w:autoSpaceDN w:val="0"/>
              <w:adjustRightInd w:val="0"/>
              <w:spacing w:after="0"/>
              <w:ind w:left="795"/>
              <w:rPr>
                <w:rFonts w:ascii="Calibri" w:hAnsi="Calibri" w:cs="Calibri"/>
                <w:b/>
                <w:bCs/>
                <w:sz w:val="9"/>
                <w:szCs w:val="9"/>
              </w:rPr>
            </w:pPr>
            <w:r w:rsidRPr="00B21FAC">
              <w:rPr>
                <w:rFonts w:ascii="Calibri" w:hAnsi="Calibri" w:cs="Calibri"/>
                <w:b/>
                <w:bCs/>
                <w:sz w:val="9"/>
                <w:szCs w:val="9"/>
              </w:rPr>
              <w:t>EVENREDIGE</w:t>
            </w:r>
            <w:r w:rsidRPr="00B21FAC">
              <w:rPr>
                <w:rFonts w:ascii="Calibri" w:hAnsi="Calibri" w:cs="Calibri"/>
                <w:b/>
                <w:bCs/>
                <w:spacing w:val="2"/>
                <w:sz w:val="9"/>
                <w:szCs w:val="9"/>
              </w:rPr>
              <w:t xml:space="preserve"> </w:t>
            </w:r>
            <w:r w:rsidRPr="00B21FAC">
              <w:rPr>
                <w:rFonts w:ascii="Calibri" w:hAnsi="Calibri" w:cs="Calibri"/>
                <w:b/>
                <w:bCs/>
                <w:sz w:val="9"/>
                <w:szCs w:val="9"/>
              </w:rPr>
              <w:t>TARIEVEN</w:t>
            </w:r>
          </w:p>
        </w:tc>
      </w:tr>
      <w:tr w:rsidR="008E4E2A" w:rsidRPr="00B21FAC" w14:paraId="794FEDDC" w14:textId="77777777" w:rsidTr="00C32F5B">
        <w:trPr>
          <w:trHeight w:val="100"/>
        </w:trPr>
        <w:tc>
          <w:tcPr>
            <w:tcW w:w="4924" w:type="dxa"/>
            <w:tcBorders>
              <w:top w:val="single" w:sz="8" w:space="0" w:color="000000"/>
              <w:left w:val="single" w:sz="8" w:space="0" w:color="000000"/>
              <w:bottom w:val="single" w:sz="8" w:space="0" w:color="000000"/>
              <w:right w:val="single" w:sz="8" w:space="0" w:color="000000"/>
            </w:tcBorders>
          </w:tcPr>
          <w:p w14:paraId="0F245B44" w14:textId="4079C558" w:rsidR="008E4E2A" w:rsidRPr="00B21FAC" w:rsidRDefault="008E4E2A" w:rsidP="00BA7E3E">
            <w:pPr>
              <w:kinsoku w:val="0"/>
              <w:overflowPunct w:val="0"/>
              <w:autoSpaceDE w:val="0"/>
              <w:autoSpaceDN w:val="0"/>
              <w:adjustRightInd w:val="0"/>
              <w:spacing w:after="0"/>
              <w:ind w:left="19"/>
              <w:rPr>
                <w:rFonts w:ascii="Calibri" w:hAnsi="Calibri" w:cs="Calibri"/>
                <w:sz w:val="9"/>
                <w:szCs w:val="9"/>
              </w:rPr>
            </w:pPr>
          </w:p>
        </w:tc>
        <w:tc>
          <w:tcPr>
            <w:tcW w:w="4924" w:type="dxa"/>
            <w:gridSpan w:val="2"/>
            <w:vMerge w:val="restart"/>
            <w:tcBorders>
              <w:top w:val="single" w:sz="8" w:space="0" w:color="000000"/>
              <w:left w:val="single" w:sz="8" w:space="0" w:color="000000"/>
              <w:bottom w:val="none" w:sz="6" w:space="0" w:color="auto"/>
              <w:right w:val="none" w:sz="6" w:space="0" w:color="auto"/>
            </w:tcBorders>
          </w:tcPr>
          <w:p w14:paraId="00CDFC2D" w14:textId="77777777" w:rsidR="008E4E2A" w:rsidRPr="00B21FAC" w:rsidRDefault="008E4E2A" w:rsidP="00BA7E3E">
            <w:pPr>
              <w:kinsoku w:val="0"/>
              <w:overflowPunct w:val="0"/>
              <w:autoSpaceDE w:val="0"/>
              <w:autoSpaceDN w:val="0"/>
              <w:adjustRightInd w:val="0"/>
              <w:spacing w:after="0"/>
              <w:rPr>
                <w:rFonts w:ascii="Times New Roman" w:hAnsi="Times New Roman" w:cs="Times New Roman"/>
                <w:sz w:val="8"/>
                <w:szCs w:val="8"/>
              </w:rPr>
            </w:pPr>
          </w:p>
        </w:tc>
      </w:tr>
      <w:tr w:rsidR="00C2572E" w:rsidRPr="00B21FAC" w14:paraId="0F31D97D" w14:textId="77777777" w:rsidTr="00FB3500">
        <w:trPr>
          <w:trHeight w:val="104"/>
        </w:trPr>
        <w:tc>
          <w:tcPr>
            <w:tcW w:w="4924" w:type="dxa"/>
            <w:tcBorders>
              <w:top w:val="single" w:sz="8" w:space="0" w:color="000000"/>
              <w:left w:val="single" w:sz="8" w:space="0" w:color="000000"/>
              <w:bottom w:val="single" w:sz="8" w:space="0" w:color="000000"/>
              <w:right w:val="single" w:sz="8" w:space="0" w:color="000000"/>
            </w:tcBorders>
            <w:shd w:val="clear" w:color="auto" w:fill="00AFEF"/>
          </w:tcPr>
          <w:p w14:paraId="0A6514E0" w14:textId="41856EBD" w:rsidR="00C2572E" w:rsidRPr="00B21FAC" w:rsidRDefault="00C2572E" w:rsidP="00BA7E3E">
            <w:pPr>
              <w:kinsoku w:val="0"/>
              <w:overflowPunct w:val="0"/>
              <w:autoSpaceDE w:val="0"/>
              <w:autoSpaceDN w:val="0"/>
              <w:adjustRightInd w:val="0"/>
              <w:spacing w:after="0"/>
              <w:ind w:left="949"/>
              <w:rPr>
                <w:rFonts w:ascii="Calibri" w:hAnsi="Calibri" w:cs="Calibri"/>
                <w:sz w:val="9"/>
                <w:szCs w:val="9"/>
              </w:rPr>
            </w:pPr>
            <w:r w:rsidRPr="00B21FAC">
              <w:rPr>
                <w:rFonts w:ascii="Calibri" w:hAnsi="Calibri" w:cs="Calibri"/>
                <w:spacing w:val="3"/>
                <w:sz w:val="9"/>
                <w:szCs w:val="9"/>
              </w:rPr>
              <w:t xml:space="preserve"> </w:t>
            </w:r>
            <w:r w:rsidR="008E4E2A">
              <w:rPr>
                <w:rFonts w:ascii="Calibri" w:hAnsi="Calibri" w:cs="Calibri"/>
                <w:spacing w:val="3"/>
                <w:sz w:val="9"/>
                <w:szCs w:val="9"/>
              </w:rPr>
              <w:t xml:space="preserve">                        </w:t>
            </w:r>
            <w:r w:rsidRPr="00B21FAC">
              <w:rPr>
                <w:rFonts w:ascii="Calibri" w:hAnsi="Calibri" w:cs="Calibri"/>
                <w:sz w:val="9"/>
                <w:szCs w:val="9"/>
              </w:rPr>
              <w:t>GEZINSFISCALITEIT</w:t>
            </w:r>
            <w:r w:rsidRPr="00B21FAC">
              <w:rPr>
                <w:rFonts w:ascii="Calibri" w:hAnsi="Calibri" w:cs="Calibri"/>
                <w:spacing w:val="3"/>
                <w:sz w:val="9"/>
                <w:szCs w:val="9"/>
              </w:rPr>
              <w:t xml:space="preserve"> </w:t>
            </w:r>
            <w:r w:rsidRPr="00B21FAC">
              <w:rPr>
                <w:rFonts w:ascii="Calibri" w:hAnsi="Calibri" w:cs="Calibri"/>
                <w:sz w:val="9"/>
                <w:szCs w:val="9"/>
              </w:rPr>
              <w:t>(basisbedrag</w:t>
            </w:r>
            <w:r w:rsidRPr="00B21FAC">
              <w:rPr>
                <w:rFonts w:ascii="Calibri" w:hAnsi="Calibri" w:cs="Calibri"/>
                <w:spacing w:val="2"/>
                <w:sz w:val="9"/>
                <w:szCs w:val="9"/>
              </w:rPr>
              <w:t xml:space="preserve"> </w:t>
            </w:r>
            <w:r w:rsidRPr="00B21FAC">
              <w:rPr>
                <w:rFonts w:ascii="Calibri" w:hAnsi="Calibri" w:cs="Calibri"/>
                <w:sz w:val="9"/>
                <w:szCs w:val="9"/>
              </w:rPr>
              <w:t>+</w:t>
            </w:r>
            <w:r w:rsidRPr="00B21FAC">
              <w:rPr>
                <w:rFonts w:ascii="Calibri" w:hAnsi="Calibri" w:cs="Calibri"/>
                <w:spacing w:val="1"/>
                <w:sz w:val="9"/>
                <w:szCs w:val="9"/>
              </w:rPr>
              <w:t xml:space="preserve"> </w:t>
            </w:r>
            <w:r w:rsidRPr="00B21FAC">
              <w:rPr>
                <w:rFonts w:ascii="Calibri" w:hAnsi="Calibri" w:cs="Calibri"/>
                <w:sz w:val="9"/>
                <w:szCs w:val="9"/>
              </w:rPr>
              <w:t>toeslagen)</w:t>
            </w:r>
          </w:p>
        </w:tc>
        <w:tc>
          <w:tcPr>
            <w:tcW w:w="4924" w:type="dxa"/>
            <w:gridSpan w:val="2"/>
            <w:vMerge/>
            <w:tcBorders>
              <w:top w:val="nil"/>
              <w:left w:val="single" w:sz="8" w:space="0" w:color="000000"/>
              <w:bottom w:val="none" w:sz="6" w:space="0" w:color="auto"/>
              <w:right w:val="none" w:sz="6" w:space="0" w:color="auto"/>
            </w:tcBorders>
          </w:tcPr>
          <w:p w14:paraId="62DE8F71" w14:textId="77777777" w:rsidR="00C2572E" w:rsidRPr="00B21FAC" w:rsidRDefault="00C2572E" w:rsidP="00BA7E3E">
            <w:pPr>
              <w:kinsoku w:val="0"/>
              <w:overflowPunct w:val="0"/>
              <w:autoSpaceDE w:val="0"/>
              <w:autoSpaceDN w:val="0"/>
              <w:adjustRightInd w:val="0"/>
              <w:spacing w:before="8" w:after="0"/>
              <w:rPr>
                <w:rFonts w:ascii="Times New Roman" w:hAnsi="Times New Roman" w:cs="Times New Roman"/>
                <w:sz w:val="2"/>
                <w:szCs w:val="2"/>
              </w:rPr>
            </w:pPr>
          </w:p>
        </w:tc>
      </w:tr>
      <w:tr w:rsidR="00C2572E" w:rsidRPr="00B21FAC" w14:paraId="209BC726" w14:textId="77777777" w:rsidTr="00FB3500">
        <w:trPr>
          <w:trHeight w:val="104"/>
        </w:trPr>
        <w:tc>
          <w:tcPr>
            <w:tcW w:w="4924" w:type="dxa"/>
            <w:tcBorders>
              <w:top w:val="single" w:sz="8" w:space="0" w:color="000000"/>
              <w:left w:val="single" w:sz="8" w:space="0" w:color="000000"/>
              <w:bottom w:val="single" w:sz="8" w:space="0" w:color="000000"/>
              <w:right w:val="single" w:sz="8" w:space="0" w:color="000000"/>
            </w:tcBorders>
          </w:tcPr>
          <w:p w14:paraId="0671586C" w14:textId="765ED7F6" w:rsidR="00C2572E" w:rsidRPr="00B21FAC" w:rsidRDefault="00C2572E" w:rsidP="00BA7E3E">
            <w:pPr>
              <w:kinsoku w:val="0"/>
              <w:overflowPunct w:val="0"/>
              <w:autoSpaceDE w:val="0"/>
              <w:autoSpaceDN w:val="0"/>
              <w:adjustRightInd w:val="0"/>
              <w:spacing w:after="0"/>
              <w:ind w:left="1154"/>
              <w:rPr>
                <w:rFonts w:ascii="Calibri" w:hAnsi="Calibri" w:cs="Calibri"/>
                <w:sz w:val="9"/>
                <w:szCs w:val="9"/>
              </w:rPr>
            </w:pPr>
            <w:r w:rsidRPr="00B21FAC">
              <w:rPr>
                <w:rFonts w:ascii="Calibri" w:hAnsi="Calibri" w:cs="Calibri"/>
                <w:sz w:val="9"/>
                <w:szCs w:val="9"/>
              </w:rPr>
              <w:t>Doelgerichte</w:t>
            </w:r>
            <w:r w:rsidRPr="00B21FAC">
              <w:rPr>
                <w:rFonts w:ascii="Calibri" w:hAnsi="Calibri" w:cs="Calibri"/>
                <w:spacing w:val="1"/>
                <w:sz w:val="9"/>
                <w:szCs w:val="9"/>
              </w:rPr>
              <w:t xml:space="preserve"> </w:t>
            </w:r>
            <w:r w:rsidRPr="00B21FAC">
              <w:rPr>
                <w:rFonts w:ascii="Calibri" w:hAnsi="Calibri" w:cs="Calibri"/>
                <w:sz w:val="9"/>
                <w:szCs w:val="9"/>
              </w:rPr>
              <w:t>belastingverminderingen</w:t>
            </w:r>
            <w:r w:rsidRPr="00B21FAC">
              <w:rPr>
                <w:rFonts w:ascii="Calibri" w:hAnsi="Calibri" w:cs="Calibri"/>
                <w:spacing w:val="2"/>
                <w:sz w:val="9"/>
                <w:szCs w:val="9"/>
              </w:rPr>
              <w:t xml:space="preserve"> </w:t>
            </w:r>
            <w:r w:rsidRPr="00B21FAC">
              <w:rPr>
                <w:rFonts w:ascii="Calibri" w:hAnsi="Calibri" w:cs="Calibri"/>
                <w:sz w:val="9"/>
                <w:szCs w:val="9"/>
              </w:rPr>
              <w:t>mits</w:t>
            </w:r>
            <w:r w:rsidRPr="00B21FAC">
              <w:rPr>
                <w:rFonts w:ascii="Calibri" w:hAnsi="Calibri" w:cs="Calibri"/>
                <w:spacing w:val="1"/>
                <w:sz w:val="9"/>
                <w:szCs w:val="9"/>
              </w:rPr>
              <w:t xml:space="preserve"> </w:t>
            </w:r>
            <w:r w:rsidRPr="00B21FAC">
              <w:rPr>
                <w:rFonts w:ascii="Calibri" w:hAnsi="Calibri" w:cs="Calibri"/>
                <w:sz w:val="9"/>
                <w:szCs w:val="9"/>
              </w:rPr>
              <w:t>efficiëntietoets</w:t>
            </w:r>
          </w:p>
        </w:tc>
        <w:tc>
          <w:tcPr>
            <w:tcW w:w="4924" w:type="dxa"/>
            <w:gridSpan w:val="2"/>
            <w:vMerge/>
            <w:tcBorders>
              <w:top w:val="nil"/>
              <w:left w:val="single" w:sz="8" w:space="0" w:color="000000"/>
              <w:bottom w:val="none" w:sz="6" w:space="0" w:color="auto"/>
              <w:right w:val="none" w:sz="6" w:space="0" w:color="auto"/>
            </w:tcBorders>
          </w:tcPr>
          <w:p w14:paraId="4559C9B4" w14:textId="77777777" w:rsidR="00C2572E" w:rsidRPr="00B21FAC" w:rsidRDefault="00C2572E" w:rsidP="00BA7E3E">
            <w:pPr>
              <w:kinsoku w:val="0"/>
              <w:overflowPunct w:val="0"/>
              <w:autoSpaceDE w:val="0"/>
              <w:autoSpaceDN w:val="0"/>
              <w:adjustRightInd w:val="0"/>
              <w:spacing w:before="8" w:after="0"/>
              <w:rPr>
                <w:rFonts w:ascii="Times New Roman" w:hAnsi="Times New Roman" w:cs="Times New Roman"/>
                <w:sz w:val="2"/>
                <w:szCs w:val="2"/>
              </w:rPr>
            </w:pPr>
          </w:p>
        </w:tc>
      </w:tr>
    </w:tbl>
    <w:p w14:paraId="284D07BC" w14:textId="77EE05A0" w:rsidR="0097349F" w:rsidRDefault="0097349F" w:rsidP="00BA7E3E">
      <w:pPr>
        <w:spacing w:after="0"/>
      </w:pPr>
    </w:p>
    <w:p w14:paraId="015ACE8E" w14:textId="77777777" w:rsidR="009037A4" w:rsidRDefault="009037A4" w:rsidP="00BA7E3E">
      <w:pPr>
        <w:spacing w:after="0"/>
      </w:pPr>
    </w:p>
    <w:p w14:paraId="3FCCD447" w14:textId="51A57A7E" w:rsidR="00C61722" w:rsidRDefault="00B876FC" w:rsidP="00BA7E3E">
      <w:pPr>
        <w:spacing w:after="0"/>
        <w:jc w:val="both"/>
      </w:pPr>
      <w:r>
        <w:t>PM:</w:t>
      </w:r>
      <w:r w:rsidR="00A02772">
        <w:t xml:space="preserve"> </w:t>
      </w:r>
      <w:r w:rsidR="003202E1">
        <w:t>Het nut en de opportuniteit van d</w:t>
      </w:r>
      <w:r w:rsidR="00E6355C">
        <w:t xml:space="preserve">e diverse federale heffingen die </w:t>
      </w:r>
      <w:r w:rsidR="003202E1">
        <w:t>als aparte belasting werden ingevoerd, waaronder de belastingen op het bezit van vermogen</w:t>
      </w:r>
      <w:r w:rsidR="007B26F3">
        <w:t xml:space="preserve"> of op vermogenstransacties</w:t>
      </w:r>
      <w:r w:rsidR="003202E1">
        <w:t xml:space="preserve">, zal </w:t>
      </w:r>
      <w:r w:rsidR="00913F5F">
        <w:t xml:space="preserve">ook het voorwerp moeten uitmaken van een nadere reflectie. In de Algemene Visienota </w:t>
      </w:r>
      <w:r w:rsidR="001829AB">
        <w:t xml:space="preserve">komt </w:t>
      </w:r>
      <w:r w:rsidR="00913F5F">
        <w:t>di</w:t>
      </w:r>
      <w:r w:rsidR="00F61E7C">
        <w:t xml:space="preserve">t vraagstuk zijdelings </w:t>
      </w:r>
      <w:r w:rsidR="008C2668">
        <w:t>aan bod</w:t>
      </w:r>
      <w:r w:rsidR="00F61E7C">
        <w:t>.</w:t>
      </w:r>
    </w:p>
    <w:p w14:paraId="3052A96E" w14:textId="64E9343B" w:rsidR="00301FF2" w:rsidRDefault="00301FF2">
      <w:r>
        <w:br w:type="page"/>
      </w:r>
    </w:p>
    <w:p w14:paraId="6185AB60" w14:textId="77777777" w:rsidR="00682CD2" w:rsidRDefault="00682CD2">
      <w:pPr>
        <w:spacing w:after="0"/>
      </w:pPr>
    </w:p>
    <w:p w14:paraId="3C15156E" w14:textId="77777777" w:rsidR="00682CD2" w:rsidRDefault="00682CD2" w:rsidP="00BA7E3E">
      <w:pPr>
        <w:spacing w:after="0"/>
      </w:pPr>
    </w:p>
    <w:p w14:paraId="764042F9" w14:textId="6834DFEB" w:rsidR="00C61722" w:rsidRDefault="00912194" w:rsidP="00BA7E3E">
      <w:pPr>
        <w:pStyle w:val="Kop2"/>
        <w:numPr>
          <w:ilvl w:val="2"/>
          <w:numId w:val="11"/>
        </w:numPr>
        <w:ind w:left="709"/>
      </w:pPr>
      <w:bookmarkStart w:id="144" w:name="_Toc107210885"/>
      <w:r>
        <w:t>De bouwstenen</w:t>
      </w:r>
      <w:bookmarkEnd w:id="144"/>
    </w:p>
    <w:p w14:paraId="12A74CC7" w14:textId="77777777" w:rsidR="00283961" w:rsidRPr="00B21FAC" w:rsidRDefault="00283961" w:rsidP="00283961">
      <w:pPr>
        <w:spacing w:after="0"/>
        <w:jc w:val="both"/>
      </w:pPr>
    </w:p>
    <w:p w14:paraId="37391ABA" w14:textId="77777777" w:rsidR="00283961" w:rsidRPr="00B21FAC" w:rsidRDefault="00283961" w:rsidP="00283961">
      <w:pPr>
        <w:spacing w:after="0"/>
        <w:jc w:val="both"/>
      </w:pPr>
    </w:p>
    <w:p w14:paraId="6EA41506" w14:textId="479D0034" w:rsidR="00842574" w:rsidRDefault="000149D4" w:rsidP="00283961">
      <w:pPr>
        <w:spacing w:after="0"/>
        <w:jc w:val="both"/>
      </w:pPr>
      <w:r>
        <w:t xml:space="preserve">Aan deze </w:t>
      </w:r>
      <w:r w:rsidR="007E1E7B">
        <w:t>architectuur</w:t>
      </w:r>
      <w:r>
        <w:t xml:space="preserve"> moet verdere invulling worden gegeven</w:t>
      </w:r>
      <w:r w:rsidR="007D3FFF">
        <w:t xml:space="preserve">, met als doel </w:t>
      </w:r>
      <w:r w:rsidR="007D3FFF" w:rsidRPr="007D3FFF">
        <w:t>geconcretiseerde en (finaal) zelfs detailmaatregelen te kunnen voorstellen.</w:t>
      </w:r>
      <w:r w:rsidR="007D3FFF">
        <w:t xml:space="preserve"> De </w:t>
      </w:r>
      <w:r>
        <w:t>hoger genoemde uitgangspunten (</w:t>
      </w:r>
      <w:r w:rsidR="00273A33">
        <w:t xml:space="preserve">efficiëntie en </w:t>
      </w:r>
      <w:r w:rsidR="00842574">
        <w:t xml:space="preserve">neutraliteit, herverdeling, </w:t>
      </w:r>
      <w:r w:rsidR="00273A33">
        <w:t xml:space="preserve">eenvoud en rechtszekerheid) </w:t>
      </w:r>
      <w:r w:rsidR="007D3FFF">
        <w:t xml:space="preserve">moeten hier </w:t>
      </w:r>
      <w:r w:rsidR="001D4866">
        <w:t xml:space="preserve">steeds centraal </w:t>
      </w:r>
      <w:r w:rsidR="007D3FFF">
        <w:t>blijven</w:t>
      </w:r>
      <w:r w:rsidR="001D4866">
        <w:t xml:space="preserve"> staan.</w:t>
      </w:r>
    </w:p>
    <w:p w14:paraId="6CBE9FD3" w14:textId="77777777" w:rsidR="00283961" w:rsidRPr="00B21FAC" w:rsidRDefault="00283961" w:rsidP="00283961">
      <w:pPr>
        <w:spacing w:after="0"/>
        <w:jc w:val="both"/>
      </w:pPr>
    </w:p>
    <w:p w14:paraId="57ECD8D7" w14:textId="3ADFAFC0" w:rsidR="005C722A" w:rsidRDefault="00283961" w:rsidP="00283961">
      <w:pPr>
        <w:spacing w:after="0"/>
        <w:jc w:val="both"/>
      </w:pPr>
      <w:r w:rsidRPr="00B21FAC">
        <w:t xml:space="preserve">Ofschoon de nadere en uiteindelijke invulling van </w:t>
      </w:r>
      <w:r w:rsidR="00DC3B6A">
        <w:t xml:space="preserve">de </w:t>
      </w:r>
      <w:r w:rsidR="00075832">
        <w:t>regelgeving</w:t>
      </w:r>
      <w:r w:rsidRPr="00B21FAC">
        <w:t xml:space="preserve"> in belangrijke mate een beleidsafweging zal vergen, binnen een budgettair haalbare ruimte, </w:t>
      </w:r>
      <w:r w:rsidR="00EF352D">
        <w:t xml:space="preserve">lijkt het dan toch van belang om </w:t>
      </w:r>
      <w:r w:rsidR="00901572">
        <w:t xml:space="preserve">op zijn minst de bouwstenen op te lijsten die gebruikt worden </w:t>
      </w:r>
      <w:r w:rsidR="005C722A">
        <w:t>om aan de hervorming een verdere invulling te geven, en waarvan redelijkerwijze kan gesteld worden dat zij aansluiten op de hoger genoemde uitgangspunten.</w:t>
      </w:r>
    </w:p>
    <w:p w14:paraId="1EEF0650" w14:textId="77777777" w:rsidR="005C722A" w:rsidRDefault="005C722A" w:rsidP="00283961">
      <w:pPr>
        <w:spacing w:after="0"/>
        <w:jc w:val="both"/>
      </w:pPr>
    </w:p>
    <w:p w14:paraId="11198710" w14:textId="620BBF0C" w:rsidR="00283961" w:rsidRDefault="00283961" w:rsidP="00CD787A">
      <w:pPr>
        <w:spacing w:after="0"/>
        <w:jc w:val="both"/>
      </w:pPr>
      <w:r w:rsidRPr="00B21FAC">
        <w:t>De</w:t>
      </w:r>
      <w:r w:rsidR="005C722A">
        <w:t>ze</w:t>
      </w:r>
      <w:r w:rsidRPr="00B21FAC">
        <w:t xml:space="preserve"> </w:t>
      </w:r>
      <w:r w:rsidR="005C722A">
        <w:t>bouwstenen</w:t>
      </w:r>
      <w:r w:rsidR="009037A4">
        <w:t xml:space="preserve"> worden </w:t>
      </w:r>
      <w:r w:rsidRPr="00B21FAC">
        <w:t>hierna opgelijst</w:t>
      </w:r>
      <w:r w:rsidR="00CD787A">
        <w:t xml:space="preserve"> </w:t>
      </w:r>
      <w:r w:rsidR="009037A4">
        <w:t>en</w:t>
      </w:r>
      <w:r w:rsidRPr="00B21FAC">
        <w:t xml:space="preserve"> gegroepeerd rond de ‘belastbare eenheid’, ‘belaste bestanddelen’, de ‘niet-belaste bestanddelen’, de ‘tariefstructuur, de ‘heffingsprincipes’ en ‘de wisselwerking met de deelentiteiten’</w:t>
      </w:r>
      <w:r w:rsidR="00CD787A">
        <w:t xml:space="preserve">. </w:t>
      </w:r>
    </w:p>
    <w:p w14:paraId="1B5F3AFE" w14:textId="3248AE56" w:rsidR="00283961" w:rsidRDefault="00283961" w:rsidP="00DE1F99">
      <w:pPr>
        <w:spacing w:after="0"/>
        <w:jc w:val="both"/>
      </w:pPr>
      <w:r w:rsidRPr="00B21FAC">
        <w:t xml:space="preserve">Voor zover als nuttig wordt een verdere differentiatie gemaakt in functie van de belastbare materie die (in dit stadium) gegroepeerd wordt rond het ‘activiteitsinkomen’, het ‘vermogen, m.i.v. de vermogensinkomsten’ en de ‘consumptie’. Het geheel aan eventuele maatregelen m.b.t. de duurzaamheidsfiscaliteit zit hierin verweven, wat uiteraard niet uitsluit dat </w:t>
      </w:r>
      <w:r>
        <w:t>in dit kader</w:t>
      </w:r>
      <w:r w:rsidRPr="00B21FAC">
        <w:t xml:space="preserve"> ook specifieke belastbare materie kan worden onderzocht (bv. CO2-heffingen).</w:t>
      </w:r>
    </w:p>
    <w:p w14:paraId="1BE001D9" w14:textId="77777777" w:rsidR="00283961" w:rsidRPr="00B21FAC" w:rsidRDefault="00283961" w:rsidP="00283961">
      <w:pPr>
        <w:spacing w:after="0"/>
        <w:jc w:val="both"/>
      </w:pPr>
    </w:p>
    <w:p w14:paraId="7BB3AE7B" w14:textId="77777777" w:rsidR="00283961" w:rsidRPr="00B21FAC" w:rsidRDefault="00283961" w:rsidP="00283961">
      <w:pPr>
        <w:spacing w:after="0"/>
        <w:jc w:val="both"/>
      </w:pPr>
    </w:p>
    <w:p w14:paraId="37399DEB" w14:textId="005E2832" w:rsidR="00283961" w:rsidRPr="00B21FAC" w:rsidRDefault="00283961" w:rsidP="00BA7E3E">
      <w:pPr>
        <w:pStyle w:val="Kop3"/>
        <w:numPr>
          <w:ilvl w:val="0"/>
          <w:numId w:val="100"/>
        </w:numPr>
      </w:pPr>
      <w:bookmarkStart w:id="145" w:name="_Toc107210886"/>
      <w:r w:rsidRPr="00B21FAC">
        <w:t>Belastbare eenheid</w:t>
      </w:r>
      <w:bookmarkEnd w:id="145"/>
    </w:p>
    <w:p w14:paraId="386C1651" w14:textId="77777777" w:rsidR="00283961" w:rsidRPr="00B21FAC" w:rsidRDefault="00283961" w:rsidP="00283961">
      <w:pPr>
        <w:spacing w:after="0"/>
        <w:jc w:val="both"/>
      </w:pPr>
    </w:p>
    <w:p w14:paraId="25A0E204" w14:textId="77777777" w:rsidR="00283961" w:rsidRPr="00B21FAC" w:rsidRDefault="00283961" w:rsidP="00283961">
      <w:pPr>
        <w:spacing w:after="0"/>
        <w:jc w:val="both"/>
      </w:pPr>
    </w:p>
    <w:p w14:paraId="280B7CF6" w14:textId="1D05D8B3" w:rsidR="00283961" w:rsidRPr="00B21FAC" w:rsidRDefault="00283961" w:rsidP="00283961">
      <w:pPr>
        <w:spacing w:after="0"/>
        <w:jc w:val="both"/>
      </w:pPr>
      <w:r w:rsidRPr="00B21FAC">
        <w:t>Onder de notie ‘belastbare eenheid’ wordt het geheel aan maatregelen begrepen die betrekking hebben op de wijze waarop het fiscaal stelsel al dan niet rekening houdt met het ‘huishouden’ waartoe een individu behoort.</w:t>
      </w:r>
    </w:p>
    <w:p w14:paraId="5BC5A41C" w14:textId="77777777" w:rsidR="00283961" w:rsidRPr="00B21FAC" w:rsidRDefault="00283961" w:rsidP="00283961">
      <w:pPr>
        <w:spacing w:after="0"/>
        <w:jc w:val="both"/>
      </w:pPr>
    </w:p>
    <w:p w14:paraId="4835AF99" w14:textId="77777777" w:rsidR="00283961" w:rsidRPr="00B21FAC" w:rsidRDefault="00283961" w:rsidP="00283961">
      <w:pPr>
        <w:numPr>
          <w:ilvl w:val="0"/>
          <w:numId w:val="12"/>
        </w:numPr>
        <w:spacing w:after="0"/>
        <w:jc w:val="both"/>
      </w:pPr>
      <w:r w:rsidRPr="00B21FAC">
        <w:t>De belastingberekening gebeurt maximaal op het niveau van het individu, hetgeen o.m. impliceert dat de inkomsten in de personenbelasting zoveel als mogelijk gedecumuleerd worden belast. Deze keuze sluit aan op het huidige belastingregime.</w:t>
      </w:r>
    </w:p>
    <w:p w14:paraId="4E9E49DD" w14:textId="7AE69875" w:rsidR="00283961" w:rsidRPr="00B21FAC" w:rsidRDefault="00283961" w:rsidP="00283961">
      <w:pPr>
        <w:numPr>
          <w:ilvl w:val="0"/>
          <w:numId w:val="12"/>
        </w:numPr>
        <w:spacing w:after="0"/>
        <w:jc w:val="both"/>
      </w:pPr>
      <w:r w:rsidRPr="00B21FAC">
        <w:t xml:space="preserve">Het principe van de fiscale neutraliteit van de </w:t>
      </w:r>
      <w:r w:rsidR="009037A4">
        <w:t xml:space="preserve">keuze van de </w:t>
      </w:r>
      <w:r w:rsidRPr="00B21FAC">
        <w:t xml:space="preserve">samenlevingsvorm wordt maximaal geëerbiedigd. </w:t>
      </w:r>
    </w:p>
    <w:p w14:paraId="29846F7D" w14:textId="77777777" w:rsidR="00283961" w:rsidRPr="00B21FAC" w:rsidRDefault="00283961" w:rsidP="00283961">
      <w:pPr>
        <w:numPr>
          <w:ilvl w:val="0"/>
          <w:numId w:val="12"/>
        </w:numPr>
        <w:spacing w:after="0"/>
        <w:jc w:val="both"/>
      </w:pPr>
      <w:r w:rsidRPr="00B21FAC">
        <w:t xml:space="preserve">De belastingvrije som in de personenbelasting wordt meer in lijn gebracht met het leefloon. Daarbij wordt (rekening houdend met het draagkrachtprincipe) een onderscheid gemaakt tussen de ‘werkelijk alleenstaande’ enerzijds en de gehuwden, wettelijk en feitelijk samenwonden anderzijds. </w:t>
      </w:r>
    </w:p>
    <w:p w14:paraId="58B5DDD5" w14:textId="77777777" w:rsidR="00283961" w:rsidRPr="00B21FAC" w:rsidRDefault="00283961" w:rsidP="00283961">
      <w:pPr>
        <w:numPr>
          <w:ilvl w:val="0"/>
          <w:numId w:val="12"/>
        </w:numPr>
        <w:spacing w:after="0"/>
        <w:jc w:val="both"/>
      </w:pPr>
      <w:r w:rsidRPr="00B21FAC">
        <w:t xml:space="preserve">De mate waarin met de gezinssamenstelling en inzonderheid ook met het aantal personen ten laste rekening wordt gehouden, wordt drastisch vereenvoudigd en gemoderniseerd. De nadruk komt te liggen op de (financiële) noden die een bepaalde persoon/kind </w:t>
      </w:r>
      <w:r>
        <w:t>heeft</w:t>
      </w:r>
      <w:r w:rsidRPr="00B21FAC">
        <w:t xml:space="preserve">. </w:t>
      </w:r>
    </w:p>
    <w:p w14:paraId="540C22E6" w14:textId="58AF44EE" w:rsidR="00301FF2" w:rsidRDefault="00301FF2">
      <w:r>
        <w:br w:type="page"/>
      </w:r>
    </w:p>
    <w:p w14:paraId="56F43620" w14:textId="77777777" w:rsidR="00283961" w:rsidRPr="00B21FAC" w:rsidRDefault="00283961" w:rsidP="00283961">
      <w:pPr>
        <w:spacing w:after="0"/>
        <w:jc w:val="both"/>
      </w:pPr>
    </w:p>
    <w:p w14:paraId="70A3A852" w14:textId="77777777" w:rsidR="00283961" w:rsidRPr="00B21FAC" w:rsidRDefault="00283961" w:rsidP="00283961">
      <w:pPr>
        <w:spacing w:after="0"/>
        <w:jc w:val="both"/>
      </w:pPr>
    </w:p>
    <w:p w14:paraId="517D38AA" w14:textId="381AE39B" w:rsidR="00283961" w:rsidRPr="00B21FAC" w:rsidRDefault="00283961" w:rsidP="00BA7E3E">
      <w:pPr>
        <w:pStyle w:val="Kop3"/>
        <w:numPr>
          <w:ilvl w:val="0"/>
          <w:numId w:val="100"/>
        </w:numPr>
      </w:pPr>
      <w:bookmarkStart w:id="146" w:name="_Toc107210887"/>
      <w:r w:rsidRPr="00B21FAC">
        <w:t>Belaste bestanddelen</w:t>
      </w:r>
      <w:bookmarkEnd w:id="146"/>
    </w:p>
    <w:p w14:paraId="4BF3BABB" w14:textId="77777777" w:rsidR="00283961" w:rsidRPr="00B21FAC" w:rsidRDefault="00283961" w:rsidP="00283961">
      <w:pPr>
        <w:spacing w:after="0"/>
        <w:jc w:val="both"/>
      </w:pPr>
    </w:p>
    <w:p w14:paraId="604F8421" w14:textId="77777777" w:rsidR="00283961" w:rsidRPr="00B21FAC" w:rsidRDefault="00283961" w:rsidP="00283961">
      <w:pPr>
        <w:spacing w:after="0"/>
        <w:jc w:val="both"/>
      </w:pPr>
    </w:p>
    <w:p w14:paraId="658CCAEA" w14:textId="43A2415A" w:rsidR="00283961" w:rsidRPr="00B21FAC" w:rsidRDefault="00283961" w:rsidP="00283961">
      <w:pPr>
        <w:spacing w:after="0"/>
        <w:jc w:val="both"/>
      </w:pPr>
      <w:r>
        <w:t>O</w:t>
      </w:r>
      <w:r w:rsidRPr="00B21FAC">
        <w:t xml:space="preserve">nder de notie ‘belaste bestanddelen’ </w:t>
      </w:r>
      <w:r>
        <w:t xml:space="preserve">wordt </w:t>
      </w:r>
      <w:r w:rsidRPr="00B21FAC">
        <w:t xml:space="preserve">het geheel aan ‘positieve belastingelementen’ bedoeld. Dit valt fiscaaltechnisch samen met de bruto belastbare grondslag. Eventuele aftrekken, die de netto belastbare grondslag zullen bepalen, vallen hier niet onder, maar worden gevat onder het (ruimere) geheel aan maatregelen die </w:t>
      </w:r>
      <w:r>
        <w:t xml:space="preserve">verder </w:t>
      </w:r>
      <w:r w:rsidRPr="00B21FAC">
        <w:t>aangeduid worden onder de noemer ‘niet-belaste bestanddelen’.</w:t>
      </w:r>
    </w:p>
    <w:p w14:paraId="6551668C" w14:textId="77777777" w:rsidR="00283961" w:rsidRPr="00B21FAC" w:rsidRDefault="00283961" w:rsidP="00283961">
      <w:pPr>
        <w:spacing w:after="0"/>
        <w:jc w:val="both"/>
      </w:pPr>
    </w:p>
    <w:p w14:paraId="7ED7E624" w14:textId="77777777" w:rsidR="00283961" w:rsidRPr="00B21FAC" w:rsidRDefault="00283961" w:rsidP="00283961">
      <w:pPr>
        <w:spacing w:after="0"/>
        <w:jc w:val="both"/>
      </w:pPr>
      <w:r w:rsidRPr="00B21FAC">
        <w:t>Een belangrijke doelstelling bestaat er in de belastbare grondslag zoveel als mogelijk op een neutrale wijze in te vullen.</w:t>
      </w:r>
    </w:p>
    <w:p w14:paraId="3BA4F8C0" w14:textId="77777777" w:rsidR="00283961" w:rsidRPr="00B21FAC" w:rsidRDefault="00283961" w:rsidP="00283961">
      <w:pPr>
        <w:spacing w:after="0"/>
        <w:jc w:val="both"/>
      </w:pPr>
    </w:p>
    <w:p w14:paraId="42E7B963" w14:textId="77777777" w:rsidR="00283961" w:rsidRPr="00B21FAC" w:rsidRDefault="00283961" w:rsidP="00283961">
      <w:pPr>
        <w:spacing w:after="0"/>
        <w:jc w:val="both"/>
      </w:pPr>
      <w:r w:rsidRPr="00B21FAC">
        <w:t>Dit leidt (o.m.) tot de volgende meer geconcretiseerde doelstellingen.</w:t>
      </w:r>
    </w:p>
    <w:p w14:paraId="4EBFEA6C" w14:textId="77777777" w:rsidR="00283961" w:rsidRPr="00B21FAC" w:rsidRDefault="00283961" w:rsidP="00283961">
      <w:pPr>
        <w:spacing w:after="0"/>
        <w:jc w:val="both"/>
      </w:pPr>
    </w:p>
    <w:p w14:paraId="33911ACF" w14:textId="77777777" w:rsidR="00283961" w:rsidRPr="00B21FAC" w:rsidRDefault="00283961" w:rsidP="00283961">
      <w:pPr>
        <w:spacing w:after="0"/>
        <w:jc w:val="both"/>
        <w:rPr>
          <w:u w:val="single"/>
        </w:rPr>
      </w:pPr>
      <w:r w:rsidRPr="00B21FAC">
        <w:rPr>
          <w:u w:val="single"/>
        </w:rPr>
        <w:t>Activiteitsinkomsten</w:t>
      </w:r>
    </w:p>
    <w:p w14:paraId="60BE4E6A" w14:textId="77777777" w:rsidR="00283961" w:rsidRPr="00B21FAC" w:rsidRDefault="00283961" w:rsidP="00283961">
      <w:pPr>
        <w:pStyle w:val="Lijstalinea"/>
        <w:numPr>
          <w:ilvl w:val="0"/>
          <w:numId w:val="12"/>
        </w:numPr>
        <w:spacing w:after="0"/>
        <w:jc w:val="both"/>
      </w:pPr>
      <w:r>
        <w:t>E</w:t>
      </w:r>
      <w:r w:rsidRPr="00B21FAC">
        <w:t xml:space="preserve">lke vorm van vergoeding voor arbeid (onafhankelijk van het statuut, de benaming of de juridische ondernemingsvorm) </w:t>
      </w:r>
      <w:r>
        <w:t xml:space="preserve">wordt </w:t>
      </w:r>
      <w:r w:rsidRPr="00B21FAC">
        <w:t>op dezelfde wijze belast. Dit omhelst o.m. dat:</w:t>
      </w:r>
    </w:p>
    <w:p w14:paraId="7FD322D4" w14:textId="77777777" w:rsidR="00283961" w:rsidRPr="00B21FAC" w:rsidRDefault="00283961" w:rsidP="00283961">
      <w:pPr>
        <w:pStyle w:val="Lijstalinea"/>
        <w:numPr>
          <w:ilvl w:val="1"/>
          <w:numId w:val="12"/>
        </w:numPr>
        <w:spacing w:after="0"/>
        <w:ind w:left="1560" w:hanging="284"/>
        <w:jc w:val="both"/>
      </w:pPr>
      <w:r w:rsidRPr="00B21FAC">
        <w:t>duidelijk moet gedefinieerd worden wat begrepen wordt onder ‘arbeid’, teneinde het onderscheid te kunnen maken met inkomsten uit ‘vermogen’;</w:t>
      </w:r>
    </w:p>
    <w:p w14:paraId="61EC158D" w14:textId="77777777" w:rsidR="00283961" w:rsidRPr="00B21FAC" w:rsidRDefault="00283961" w:rsidP="00283961">
      <w:pPr>
        <w:pStyle w:val="Lijstalinea"/>
        <w:numPr>
          <w:ilvl w:val="1"/>
          <w:numId w:val="12"/>
        </w:numPr>
        <w:spacing w:after="0"/>
        <w:ind w:left="1560" w:hanging="284"/>
        <w:jc w:val="both"/>
      </w:pPr>
      <w:r w:rsidRPr="00B21FAC">
        <w:t>de fiscale en de sociale loonbegrippen maximaal worden gelijkgeschakeld;</w:t>
      </w:r>
    </w:p>
    <w:p w14:paraId="3903A9D9" w14:textId="0A81F03F" w:rsidR="00283961" w:rsidRPr="00B21FAC" w:rsidRDefault="00750942" w:rsidP="00283961">
      <w:pPr>
        <w:pStyle w:val="Lijstalinea"/>
        <w:numPr>
          <w:ilvl w:val="1"/>
          <w:numId w:val="12"/>
        </w:numPr>
        <w:spacing w:after="0"/>
        <w:ind w:left="1560" w:hanging="284"/>
        <w:jc w:val="both"/>
      </w:pPr>
      <w:r>
        <w:t>h</w:t>
      </w:r>
      <w:r w:rsidR="00283961" w:rsidRPr="00B21FAC">
        <w:t>et onderscheid tussen ‘winst’ en ‘baten’ wordt opgeheven;</w:t>
      </w:r>
    </w:p>
    <w:p w14:paraId="5C97CBB0" w14:textId="118E90F8" w:rsidR="00283961" w:rsidRPr="00B21FAC" w:rsidRDefault="00283961" w:rsidP="00283961">
      <w:pPr>
        <w:pStyle w:val="Lijstalinea"/>
        <w:numPr>
          <w:ilvl w:val="1"/>
          <w:numId w:val="12"/>
        </w:numPr>
        <w:spacing w:after="0"/>
        <w:ind w:left="1560" w:hanging="284"/>
        <w:jc w:val="both"/>
      </w:pPr>
      <w:r w:rsidRPr="00B21FAC">
        <w:t xml:space="preserve">de vergoedingen in cash conceptueel op dezelfde wijze worden belast als de </w:t>
      </w:r>
      <w:r w:rsidR="0080336C">
        <w:t>alternatieve verloningsvormen</w:t>
      </w:r>
      <w:r w:rsidRPr="00B21FAC">
        <w:t>;</w:t>
      </w:r>
    </w:p>
    <w:p w14:paraId="466E0151" w14:textId="77777777" w:rsidR="00283961" w:rsidRPr="00B21FAC" w:rsidRDefault="00283961" w:rsidP="00283961">
      <w:pPr>
        <w:pStyle w:val="Lijstalinea"/>
        <w:numPr>
          <w:ilvl w:val="1"/>
          <w:numId w:val="12"/>
        </w:numPr>
        <w:spacing w:after="0"/>
        <w:ind w:left="1560" w:hanging="284"/>
        <w:jc w:val="both"/>
      </w:pPr>
      <w:r w:rsidRPr="00B21FAC">
        <w:t>vergoedingen voor arbeid op een marktconforme wijze moeten worden toegerekend aan de natuurlijke persoon die de arbeidsprestaties levert en dienovereenkomstig moeten worden belast, zelfs indien deze prestaties geleverd worden via een rechtspersoon.</w:t>
      </w:r>
    </w:p>
    <w:p w14:paraId="05356D3A" w14:textId="77777777" w:rsidR="00283961" w:rsidRPr="00B21FAC" w:rsidRDefault="00283961" w:rsidP="00283961">
      <w:pPr>
        <w:spacing w:after="0"/>
        <w:jc w:val="both"/>
      </w:pPr>
    </w:p>
    <w:p w14:paraId="6DABF3A7" w14:textId="77777777" w:rsidR="00283961" w:rsidRPr="00B21FAC" w:rsidRDefault="00283961" w:rsidP="00283961">
      <w:pPr>
        <w:spacing w:after="0"/>
        <w:jc w:val="both"/>
        <w:rPr>
          <w:u w:val="single"/>
        </w:rPr>
      </w:pPr>
      <w:r w:rsidRPr="00B21FAC">
        <w:rPr>
          <w:u w:val="single"/>
        </w:rPr>
        <w:t>Vermogensinkomsten</w:t>
      </w:r>
    </w:p>
    <w:p w14:paraId="78AF4699" w14:textId="32663896" w:rsidR="00283961" w:rsidRPr="00B21FAC" w:rsidRDefault="00283961" w:rsidP="00283961">
      <w:pPr>
        <w:pStyle w:val="Lijstalinea"/>
        <w:numPr>
          <w:ilvl w:val="0"/>
          <w:numId w:val="12"/>
        </w:numPr>
        <w:spacing w:after="0"/>
        <w:jc w:val="both"/>
      </w:pPr>
      <w:r>
        <w:t>E</w:t>
      </w:r>
      <w:r w:rsidRPr="00B21FAC">
        <w:t xml:space="preserve">lke vorm van vergoeding voor een aangewend of gerealiseerd vermogen </w:t>
      </w:r>
      <w:r>
        <w:t xml:space="preserve">wordt </w:t>
      </w:r>
      <w:r w:rsidRPr="00B21FAC">
        <w:t>op dezelfde wijze belast. Dit omhelst o.m. dat:</w:t>
      </w:r>
    </w:p>
    <w:p w14:paraId="77346260" w14:textId="77777777" w:rsidR="00283961" w:rsidRPr="00B21FAC" w:rsidRDefault="00283961" w:rsidP="00283961">
      <w:pPr>
        <w:pStyle w:val="Lijstalinea"/>
        <w:numPr>
          <w:ilvl w:val="1"/>
          <w:numId w:val="12"/>
        </w:numPr>
        <w:spacing w:after="0"/>
        <w:ind w:left="1560"/>
        <w:jc w:val="both"/>
      </w:pPr>
      <w:r w:rsidRPr="00B21FAC">
        <w:t xml:space="preserve">de neutraliteit t.a.v. inkomens uit diverse activa wordt nagestreefd. Hierbij moet rekening gehouden worden met verschillende belastingen op een bepaald activum. Ook met het bestaan van de diverse heffingen op regionaal niveau wordt er rekening gehouden, met dien verstande dat </w:t>
      </w:r>
      <w:r>
        <w:t xml:space="preserve">uitgegaan wordt van </w:t>
      </w:r>
      <w:r w:rsidRPr="00B21FAC">
        <w:t>de bestaande bevoegdheidsverdeling (zie hoger);</w:t>
      </w:r>
    </w:p>
    <w:p w14:paraId="2FAEF463" w14:textId="1695922F" w:rsidR="00283961" w:rsidRPr="00B21FAC" w:rsidRDefault="00283961" w:rsidP="00283961">
      <w:pPr>
        <w:pStyle w:val="Lijstalinea"/>
        <w:numPr>
          <w:ilvl w:val="1"/>
          <w:numId w:val="12"/>
        </w:numPr>
        <w:spacing w:after="0"/>
        <w:ind w:left="1560"/>
        <w:jc w:val="both"/>
      </w:pPr>
      <w:r w:rsidRPr="00B21FAC">
        <w:t>de vergoedingen die verband houden met vermogensgerelateerde investeringen ook als</w:t>
      </w:r>
      <w:r>
        <w:t xml:space="preserve"> </w:t>
      </w:r>
      <w:r w:rsidRPr="00B21FAC">
        <w:t xml:space="preserve">dusdanig moeten worden belast, zelfs indien dit vermogen professioneel geaffecteerd is, hetgeen zich inzonderheid vertaalt in (i) de erkenning van een vermogensrendement t.a.v. éénmanszaken en (ii) het minimaliseren van het risico op conversie van arbeidsvergoedingen in </w:t>
      </w:r>
      <w:r w:rsidR="00052222">
        <w:t>vermogens</w:t>
      </w:r>
      <w:r w:rsidR="00052222" w:rsidRPr="00B21FAC">
        <w:t>inkomsten</w:t>
      </w:r>
      <w:r w:rsidRPr="00B21FAC">
        <w:t>.</w:t>
      </w:r>
    </w:p>
    <w:p w14:paraId="3517EA22" w14:textId="064F6DF8" w:rsidR="00173458" w:rsidRDefault="00173458">
      <w:r>
        <w:br w:type="page"/>
      </w:r>
    </w:p>
    <w:p w14:paraId="303A87F4" w14:textId="77777777" w:rsidR="00283961" w:rsidRPr="00B21FAC" w:rsidRDefault="00283961" w:rsidP="00283961">
      <w:pPr>
        <w:spacing w:after="0"/>
        <w:jc w:val="both"/>
      </w:pPr>
    </w:p>
    <w:p w14:paraId="717DDF5C" w14:textId="77777777" w:rsidR="00283961" w:rsidRPr="00B21FAC" w:rsidRDefault="00283961" w:rsidP="00283961">
      <w:pPr>
        <w:spacing w:after="0"/>
        <w:jc w:val="both"/>
        <w:rPr>
          <w:u w:val="single"/>
        </w:rPr>
      </w:pPr>
      <w:r w:rsidRPr="00B21FAC">
        <w:rPr>
          <w:u w:val="single"/>
        </w:rPr>
        <w:t>Consumptie</w:t>
      </w:r>
    </w:p>
    <w:p w14:paraId="04EEB16E" w14:textId="77777777" w:rsidR="00283961" w:rsidRPr="00B21FAC" w:rsidRDefault="00283961" w:rsidP="00283961">
      <w:pPr>
        <w:pStyle w:val="Lijstalinea"/>
        <w:numPr>
          <w:ilvl w:val="0"/>
          <w:numId w:val="12"/>
        </w:numPr>
        <w:spacing w:after="0"/>
        <w:jc w:val="both"/>
      </w:pPr>
      <w:r w:rsidRPr="00B21FAC">
        <w:t>Er moet zoveel als mogelijk een gelijke consumptiebelasting nagestreefd worden op verschillende goederen en diensten</w:t>
      </w:r>
      <w:r>
        <w:t>, onder voorbehoud van indirecte belastingen die indirecte effecten neutraliseren (bv. milieubelastingen, tabak, alcohol,…)</w:t>
      </w:r>
      <w:r w:rsidRPr="00B21FAC">
        <w:t>.</w:t>
      </w:r>
    </w:p>
    <w:p w14:paraId="541976BE" w14:textId="77777777" w:rsidR="00283961" w:rsidRPr="00B21FAC" w:rsidRDefault="00283961" w:rsidP="00283961">
      <w:pPr>
        <w:spacing w:after="0"/>
        <w:jc w:val="both"/>
      </w:pPr>
    </w:p>
    <w:p w14:paraId="6FED302F" w14:textId="77777777" w:rsidR="00283961" w:rsidRPr="00B21FAC" w:rsidRDefault="00283961" w:rsidP="00283961">
      <w:pPr>
        <w:spacing w:after="0"/>
        <w:jc w:val="both"/>
      </w:pPr>
    </w:p>
    <w:p w14:paraId="795E811E" w14:textId="72951F7A" w:rsidR="00283961" w:rsidRPr="00B21FAC" w:rsidRDefault="00283961" w:rsidP="00BA7E3E">
      <w:pPr>
        <w:pStyle w:val="Kop3"/>
        <w:numPr>
          <w:ilvl w:val="0"/>
          <w:numId w:val="100"/>
        </w:numPr>
      </w:pPr>
      <w:bookmarkStart w:id="147" w:name="_Toc107210888"/>
      <w:r w:rsidRPr="00B21FAC">
        <w:t>Niet-belaste bestanddelen</w:t>
      </w:r>
      <w:bookmarkEnd w:id="147"/>
    </w:p>
    <w:p w14:paraId="398C5A74" w14:textId="77777777" w:rsidR="00283961" w:rsidRPr="00B21FAC" w:rsidRDefault="00283961" w:rsidP="00283961">
      <w:pPr>
        <w:spacing w:after="0"/>
        <w:jc w:val="both"/>
      </w:pPr>
    </w:p>
    <w:p w14:paraId="5876E609" w14:textId="77777777" w:rsidR="00283961" w:rsidRPr="00B21FAC" w:rsidRDefault="00283961" w:rsidP="00283961">
      <w:pPr>
        <w:spacing w:after="0"/>
        <w:jc w:val="both"/>
      </w:pPr>
    </w:p>
    <w:p w14:paraId="6463D590" w14:textId="77777777" w:rsidR="00283961" w:rsidRPr="00B21FAC" w:rsidRDefault="00283961" w:rsidP="00283961">
      <w:pPr>
        <w:spacing w:after="0"/>
        <w:jc w:val="both"/>
      </w:pPr>
      <w:r>
        <w:t>H</w:t>
      </w:r>
      <w:r w:rsidRPr="00B21FAC">
        <w:t>et begrip ‘niet-belaste bestanddelen’</w:t>
      </w:r>
      <w:r>
        <w:t xml:space="preserve"> omvat</w:t>
      </w:r>
      <w:r w:rsidRPr="00B21FAC">
        <w:t xml:space="preserve"> het geheel aan maatregelen die fiscaaltechnisch bestempeld worden als aftrekken, vrijstellingen, verminderingen,…</w:t>
      </w:r>
    </w:p>
    <w:p w14:paraId="6504DD89" w14:textId="77777777" w:rsidR="00283961" w:rsidRPr="00B21FAC" w:rsidRDefault="00283961" w:rsidP="00283961">
      <w:pPr>
        <w:spacing w:after="0"/>
        <w:jc w:val="both"/>
      </w:pPr>
    </w:p>
    <w:p w14:paraId="06B3C403" w14:textId="77777777" w:rsidR="00283961" w:rsidRPr="00D200EA" w:rsidRDefault="00283961" w:rsidP="00283961">
      <w:pPr>
        <w:spacing w:after="0"/>
        <w:jc w:val="both"/>
      </w:pPr>
      <w:r w:rsidRPr="00B21FAC">
        <w:t>De neutraliteit vereist dat met het invoeren van ‘niet-belaste bestanddelen’ omzichtig moet worden omgesprongen. De invoering van ‘niet-belaste bestanddelen’ moet dan ook veeleer als een te verantwoorden uitzondering worden beschouwd, waarbij telkenmale een specifieke en nuttige doelstelling moet worden gerealiseerd</w:t>
      </w:r>
      <w:r>
        <w:t xml:space="preserve"> en het bereiken ervan moet kunnen worden opgevolgd</w:t>
      </w:r>
      <w:r w:rsidRPr="00B21FAC">
        <w:t>.</w:t>
      </w:r>
      <w:r>
        <w:t xml:space="preserve"> Bovendien moet telkenmale worden nagegaan of de fiscaliteit wel het meest aangewezen instrument vormt om de vooropgestelde doelstelling te bereiken.</w:t>
      </w:r>
    </w:p>
    <w:p w14:paraId="39736881" w14:textId="77777777" w:rsidR="00283961" w:rsidRPr="00B21FAC" w:rsidRDefault="00283961" w:rsidP="00283961">
      <w:pPr>
        <w:spacing w:after="0"/>
        <w:jc w:val="both"/>
      </w:pPr>
    </w:p>
    <w:p w14:paraId="1B7CE64C" w14:textId="77777777" w:rsidR="00283961" w:rsidRPr="00B21FAC" w:rsidRDefault="00283961" w:rsidP="00283961">
      <w:pPr>
        <w:spacing w:after="0"/>
        <w:jc w:val="both"/>
      </w:pPr>
      <w:r w:rsidRPr="00B21FAC">
        <w:t xml:space="preserve">De doelstellingen kunnen daarbij als volgt worden opgedeeld. </w:t>
      </w:r>
    </w:p>
    <w:p w14:paraId="219BA563" w14:textId="77777777" w:rsidR="00283961" w:rsidRPr="00B21FAC" w:rsidRDefault="00283961" w:rsidP="00283961">
      <w:pPr>
        <w:spacing w:after="0"/>
        <w:jc w:val="both"/>
      </w:pPr>
    </w:p>
    <w:p w14:paraId="6B248E25" w14:textId="77777777" w:rsidR="00283961" w:rsidRPr="00B21FAC" w:rsidRDefault="00283961" w:rsidP="00283961">
      <w:pPr>
        <w:spacing w:after="0"/>
        <w:jc w:val="both"/>
      </w:pPr>
      <w:r w:rsidRPr="00B21FAC">
        <w:t xml:space="preserve">Een eerste reeks aan doelstellingen houdt verband met de </w:t>
      </w:r>
      <w:r w:rsidRPr="00B21FAC">
        <w:rPr>
          <w:u w:val="single"/>
        </w:rPr>
        <w:t>eigenheid van de belasting/heffing</w:t>
      </w:r>
      <w:r w:rsidRPr="00B21FAC">
        <w:t xml:space="preserve"> zelf:</w:t>
      </w:r>
    </w:p>
    <w:p w14:paraId="746E10B5" w14:textId="0315D7B1" w:rsidR="00283961" w:rsidRPr="00B21FAC" w:rsidRDefault="00283961" w:rsidP="00283961">
      <w:pPr>
        <w:pStyle w:val="Lijstalinea"/>
        <w:numPr>
          <w:ilvl w:val="0"/>
          <w:numId w:val="12"/>
        </w:numPr>
        <w:spacing w:after="0"/>
        <w:jc w:val="both"/>
      </w:pPr>
      <w:r w:rsidRPr="00B21FAC">
        <w:t>De belastingheffing moet zoveel als mogelijk aansluiten op het belastbaar voorwerp. Dit vereist o.m. dat</w:t>
      </w:r>
      <w:r w:rsidR="00EC55FF">
        <w:t>:</w:t>
      </w:r>
    </w:p>
    <w:p w14:paraId="3D83E5EB" w14:textId="3F2453BF" w:rsidR="00283961" w:rsidRPr="00B21FAC" w:rsidRDefault="00283961" w:rsidP="00283961">
      <w:pPr>
        <w:pStyle w:val="Lijstalinea"/>
        <w:numPr>
          <w:ilvl w:val="1"/>
          <w:numId w:val="12"/>
        </w:numPr>
        <w:spacing w:after="0"/>
        <w:ind w:left="1560"/>
        <w:jc w:val="both"/>
      </w:pPr>
      <w:r w:rsidRPr="00B21FAC">
        <w:t>in het kader van de inkomstenbelasting</w:t>
      </w:r>
      <w:r w:rsidR="00C23C53">
        <w:t>en</w:t>
      </w:r>
      <w:r w:rsidRPr="00B21FAC">
        <w:t xml:space="preserve"> de werkelijke kosten aangerekend moeten kunnen worden op het belastbaar inkomen en dat verliezen (minstens voor een beperkte termijn) fiscaal </w:t>
      </w:r>
      <w:r w:rsidR="00085315">
        <w:t>in aanmerking moeten worden genomen</w:t>
      </w:r>
      <w:r w:rsidRPr="00B21FAC">
        <w:t>. Om reden van vereenvoudiging kan het niettemin aangewezen zijn om t.a.v. bepaalde categorieën van inkomsten of t.a.v. bepaalde categorieën van kosten de reële aftrek uit te sluiten. Dit kan eveneens aangewezen zijn t.a.v. kosten waarvan de band met het onderliggend inkomen niet altijd duidelijk aantoonbaar is.</w:t>
      </w:r>
    </w:p>
    <w:p w14:paraId="08182D16" w14:textId="24ED46D8" w:rsidR="00283961" w:rsidRPr="00B21FAC" w:rsidRDefault="00283961" w:rsidP="00283961">
      <w:pPr>
        <w:pStyle w:val="Lijstalinea"/>
        <w:numPr>
          <w:ilvl w:val="1"/>
          <w:numId w:val="12"/>
        </w:numPr>
        <w:spacing w:after="0"/>
        <w:ind w:left="1560"/>
        <w:jc w:val="both"/>
      </w:pPr>
      <w:r w:rsidRPr="00B21FAC">
        <w:t xml:space="preserve">er rekening moet worden gehouden met een inflatiecorrectie, inkomsten die betrekking hebben op meerdere jaren, …. </w:t>
      </w:r>
    </w:p>
    <w:p w14:paraId="228647C3" w14:textId="780040C5" w:rsidR="00283961" w:rsidRPr="00B21FAC" w:rsidRDefault="00283961" w:rsidP="00283961">
      <w:pPr>
        <w:pStyle w:val="Lijstalinea"/>
        <w:numPr>
          <w:ilvl w:val="1"/>
          <w:numId w:val="12"/>
        </w:numPr>
        <w:spacing w:after="0"/>
        <w:ind w:left="1560"/>
        <w:jc w:val="both"/>
      </w:pPr>
      <w:r w:rsidRPr="00B21FAC">
        <w:t xml:space="preserve">in voorkomend geval het tijdstip van </w:t>
      </w:r>
      <w:bookmarkStart w:id="148" w:name="_Hlk94880827"/>
      <w:r w:rsidRPr="00B21FAC">
        <w:t xml:space="preserve">belastbaarstelling (traditioneel </w:t>
      </w:r>
      <w:r>
        <w:t xml:space="preserve">het ontstaan van de vordering, dan wel </w:t>
      </w:r>
      <w:r w:rsidRPr="00B21FAC">
        <w:t xml:space="preserve">de toekenning of betaalbaarstelling) geherevalueerd moet worden en dat eventuele andere tijdstippen van belastbaarstelling in overweging </w:t>
      </w:r>
      <w:r>
        <w:t>k</w:t>
      </w:r>
      <w:r w:rsidR="0080167A">
        <w:t>unne</w:t>
      </w:r>
      <w:r>
        <w:t>n</w:t>
      </w:r>
      <w:r w:rsidRPr="00B21FAC">
        <w:t xml:space="preserve"> worden genomen (bv. m.b.t. een feitelijke universaliteit of ‘generieke goederen’, zoals cryptoassets, beleggingsportefeuilles,….)</w:t>
      </w:r>
      <w:bookmarkEnd w:id="148"/>
      <w:r w:rsidRPr="00B21FAC">
        <w:t>;</w:t>
      </w:r>
    </w:p>
    <w:p w14:paraId="147BC21C" w14:textId="77777777" w:rsidR="00283961" w:rsidRPr="00B21FAC" w:rsidRDefault="00283961" w:rsidP="00283961">
      <w:pPr>
        <w:pStyle w:val="Lijstalinea"/>
        <w:numPr>
          <w:ilvl w:val="0"/>
          <w:numId w:val="12"/>
        </w:numPr>
        <w:spacing w:after="0"/>
        <w:jc w:val="both"/>
      </w:pPr>
      <w:r w:rsidRPr="00B21FAC">
        <w:t>Het belastingstelsel kan of moet (bv. ingevolge internationale verdragen of op grond van de BFW) maatregelen voorzien die rekening houden met de eventualiteit van een juridische en/of economische dubbele belasting.</w:t>
      </w:r>
    </w:p>
    <w:p w14:paraId="6AD25D79" w14:textId="76F3AD63" w:rsidR="00DE35C7" w:rsidRDefault="00DE35C7">
      <w:r>
        <w:br w:type="page"/>
      </w:r>
    </w:p>
    <w:p w14:paraId="7D4F9FCE" w14:textId="77777777" w:rsidR="00283961" w:rsidRPr="00B21FAC" w:rsidRDefault="00283961" w:rsidP="00283961">
      <w:pPr>
        <w:spacing w:after="0"/>
        <w:jc w:val="both"/>
      </w:pPr>
    </w:p>
    <w:p w14:paraId="2358D8BB" w14:textId="77777777" w:rsidR="00283961" w:rsidRPr="00B21FAC" w:rsidRDefault="00283961" w:rsidP="00283961">
      <w:pPr>
        <w:spacing w:after="0"/>
        <w:jc w:val="both"/>
      </w:pPr>
      <w:r w:rsidRPr="00B21FAC">
        <w:t xml:space="preserve">Een tweede reeks aan doelstellingen houdt verband met de </w:t>
      </w:r>
      <w:r w:rsidRPr="00B21FAC">
        <w:rPr>
          <w:u w:val="single"/>
        </w:rPr>
        <w:t>expliciet gewenste neveneffecten</w:t>
      </w:r>
      <w:r>
        <w:rPr>
          <w:u w:val="single"/>
        </w:rPr>
        <w:t xml:space="preserve"> die het best via een fiscale maatregel kunnen worden bereikt</w:t>
      </w:r>
      <w:r w:rsidRPr="00B21FAC">
        <w:t xml:space="preserve">. </w:t>
      </w:r>
    </w:p>
    <w:p w14:paraId="227F3575" w14:textId="77777777" w:rsidR="00283961" w:rsidRPr="00B21FAC" w:rsidRDefault="00283961" w:rsidP="00283961">
      <w:pPr>
        <w:pStyle w:val="Lijstalinea"/>
        <w:numPr>
          <w:ilvl w:val="0"/>
          <w:numId w:val="12"/>
        </w:numPr>
        <w:spacing w:after="0"/>
        <w:jc w:val="both"/>
      </w:pPr>
      <w:r w:rsidRPr="00B21FAC">
        <w:t>De in het licht hiervan genomen specifieke maatregelen moeten:</w:t>
      </w:r>
    </w:p>
    <w:p w14:paraId="053293D6" w14:textId="77777777" w:rsidR="00283961" w:rsidRPr="00B21FAC" w:rsidRDefault="00283961" w:rsidP="00283961">
      <w:pPr>
        <w:pStyle w:val="Lijstalinea"/>
        <w:numPr>
          <w:ilvl w:val="1"/>
          <w:numId w:val="12"/>
        </w:numPr>
        <w:spacing w:after="0"/>
        <w:ind w:left="1560"/>
        <w:jc w:val="both"/>
      </w:pPr>
      <w:r>
        <w:t>o</w:t>
      </w:r>
      <w:r w:rsidRPr="00B21FAC">
        <w:t>p bijzondere wijze verantwoord worden;</w:t>
      </w:r>
    </w:p>
    <w:p w14:paraId="005E336A" w14:textId="77777777" w:rsidR="00283961" w:rsidRPr="00B21FAC" w:rsidRDefault="00283961" w:rsidP="00283961">
      <w:pPr>
        <w:pStyle w:val="Lijstalinea"/>
        <w:numPr>
          <w:ilvl w:val="1"/>
          <w:numId w:val="12"/>
        </w:numPr>
        <w:spacing w:after="0"/>
        <w:ind w:left="1560"/>
        <w:jc w:val="both"/>
      </w:pPr>
      <w:r>
        <w:t>d</w:t>
      </w:r>
      <w:r w:rsidRPr="00B21FAC">
        <w:t>oelgericht, rechtlijnig en specifiek zijn;</w:t>
      </w:r>
    </w:p>
    <w:p w14:paraId="38E7259A" w14:textId="77777777" w:rsidR="00283961" w:rsidRPr="00B21FAC" w:rsidRDefault="00283961" w:rsidP="00283961">
      <w:pPr>
        <w:pStyle w:val="Lijstalinea"/>
        <w:numPr>
          <w:ilvl w:val="1"/>
          <w:numId w:val="12"/>
        </w:numPr>
        <w:spacing w:after="0"/>
        <w:ind w:left="1560"/>
        <w:jc w:val="both"/>
      </w:pPr>
      <w:r>
        <w:t>r</w:t>
      </w:r>
      <w:r w:rsidRPr="00B21FAC">
        <w:t>ecurrent geherevalueerd worden.</w:t>
      </w:r>
    </w:p>
    <w:p w14:paraId="2413DFB6" w14:textId="77777777" w:rsidR="00283961" w:rsidRDefault="00283961" w:rsidP="00283961">
      <w:pPr>
        <w:spacing w:after="0"/>
        <w:jc w:val="both"/>
      </w:pPr>
    </w:p>
    <w:p w14:paraId="3955FA8C" w14:textId="77777777" w:rsidR="00283961" w:rsidRPr="00B21FAC" w:rsidRDefault="00283961" w:rsidP="00283961">
      <w:pPr>
        <w:spacing w:after="0"/>
        <w:jc w:val="both"/>
      </w:pPr>
      <w:r w:rsidRPr="00B21FAC">
        <w:t>Volgende doelstellingen worden in ieder geval nagestreefd:</w:t>
      </w:r>
    </w:p>
    <w:p w14:paraId="32799B03" w14:textId="77777777" w:rsidR="00283961" w:rsidRPr="00B21FAC" w:rsidRDefault="00283961" w:rsidP="00283961">
      <w:pPr>
        <w:pStyle w:val="Lijstalinea"/>
        <w:numPr>
          <w:ilvl w:val="0"/>
          <w:numId w:val="12"/>
        </w:numPr>
        <w:spacing w:after="0"/>
        <w:jc w:val="both"/>
      </w:pPr>
      <w:r>
        <w:t>Bijdragen</w:t>
      </w:r>
      <w:r w:rsidRPr="00B21FAC">
        <w:t xml:space="preserve"> aan de verwezenlijking van de in het Regeerakkoord opgenomen klimaat- en milieudoelstellingen, rekening houdend met de evoluties in </w:t>
      </w:r>
      <w:r w:rsidRPr="00B21FAC">
        <w:rPr>
          <w:bCs/>
        </w:rPr>
        <w:t>het Europese klimaat- en energiebeleid;</w:t>
      </w:r>
    </w:p>
    <w:p w14:paraId="7E3C86DF" w14:textId="77777777" w:rsidR="00283961" w:rsidRPr="00B21FAC" w:rsidRDefault="00283961" w:rsidP="00283961">
      <w:pPr>
        <w:pStyle w:val="Lijstalinea"/>
        <w:numPr>
          <w:ilvl w:val="0"/>
          <w:numId w:val="12"/>
        </w:numPr>
        <w:spacing w:after="0"/>
        <w:jc w:val="both"/>
      </w:pPr>
      <w:r>
        <w:t>De bestendiging van de m</w:t>
      </w:r>
      <w:r w:rsidRPr="00B21FAC">
        <w:t xml:space="preserve">aatregelen die ertoe strekken het ‘collectief sparen’ aan te moedigen (inzonderheid de tweede pensioenpijler), </w:t>
      </w:r>
      <w:r>
        <w:t xml:space="preserve">mits </w:t>
      </w:r>
      <w:r w:rsidRPr="00B21FAC">
        <w:t>grondig</w:t>
      </w:r>
      <w:r>
        <w:t>e</w:t>
      </w:r>
      <w:r w:rsidRPr="00B21FAC">
        <w:t xml:space="preserve"> herevalu</w:t>
      </w:r>
      <w:r>
        <w:t>atie</w:t>
      </w:r>
      <w:r w:rsidRPr="00B21FAC">
        <w:t>, teneinde o.m. het geheel meer neutraal te maken en mogelijke ongewenste effecten uit te sluiten;</w:t>
      </w:r>
    </w:p>
    <w:p w14:paraId="730F0F78" w14:textId="3CC1AA7F" w:rsidR="00283961" w:rsidRPr="00B21FAC" w:rsidRDefault="00283961" w:rsidP="00283961">
      <w:pPr>
        <w:pStyle w:val="Lijstalinea"/>
        <w:numPr>
          <w:ilvl w:val="0"/>
          <w:numId w:val="12"/>
        </w:numPr>
        <w:spacing w:after="0"/>
        <w:jc w:val="both"/>
      </w:pPr>
      <w:r>
        <w:t>S</w:t>
      </w:r>
      <w:r w:rsidRPr="00B21FAC">
        <w:t xml:space="preserve">timuleren </w:t>
      </w:r>
      <w:r>
        <w:t xml:space="preserve">van investeringen </w:t>
      </w:r>
      <w:r w:rsidRPr="00B21FAC">
        <w:t>en</w:t>
      </w:r>
      <w:r>
        <w:t xml:space="preserve"> aanmoediging van</w:t>
      </w:r>
      <w:r w:rsidRPr="00B21FAC">
        <w:t xml:space="preserve"> het ondernemerschap, zoals in het Regeerakkoord vooropgesteld.</w:t>
      </w:r>
    </w:p>
    <w:p w14:paraId="23D1758B" w14:textId="77777777" w:rsidR="00283961" w:rsidRPr="00B21FAC" w:rsidRDefault="00283961" w:rsidP="00283961">
      <w:pPr>
        <w:spacing w:after="0"/>
        <w:jc w:val="both"/>
      </w:pPr>
    </w:p>
    <w:p w14:paraId="35970E38" w14:textId="77777777" w:rsidR="00283961" w:rsidRPr="00B21FAC" w:rsidRDefault="00283961" w:rsidP="00283961">
      <w:pPr>
        <w:spacing w:after="0"/>
        <w:jc w:val="both"/>
      </w:pPr>
      <w:r w:rsidRPr="00B21FAC">
        <w:t xml:space="preserve">Een derde reeks aan doelstellingen houdt verband met de beoogde </w:t>
      </w:r>
      <w:r w:rsidRPr="00B21FAC">
        <w:rPr>
          <w:u w:val="single"/>
        </w:rPr>
        <w:t>herverdeling</w:t>
      </w:r>
      <w:r w:rsidRPr="00B21FAC">
        <w:t>, in acht genomen de draagkracht van de betrokken belastingplichtigen:</w:t>
      </w:r>
    </w:p>
    <w:p w14:paraId="7F094113" w14:textId="77777777" w:rsidR="00283961" w:rsidRPr="00B21FAC" w:rsidRDefault="00283961" w:rsidP="00283961">
      <w:pPr>
        <w:pStyle w:val="Lijstalinea"/>
        <w:numPr>
          <w:ilvl w:val="0"/>
          <w:numId w:val="12"/>
        </w:numPr>
        <w:spacing w:after="0"/>
        <w:jc w:val="both"/>
      </w:pPr>
      <w:r>
        <w:t xml:space="preserve">Herverdeling via de fiscaliteit wordt </w:t>
      </w:r>
      <w:r w:rsidRPr="00B21FAC">
        <w:t>zoveel als mogelijk nagestreefd in de personenbelasting</w:t>
      </w:r>
      <w:r>
        <w:t>, in acht genomen de in het Regeerakkoord vooropgestelde engagementen om de armoede te bestrijden en de gezinnen te ondersteunen</w:t>
      </w:r>
      <w:r w:rsidRPr="00B21FAC">
        <w:t>.</w:t>
      </w:r>
    </w:p>
    <w:p w14:paraId="211261BA" w14:textId="77777777" w:rsidR="00283961" w:rsidRPr="00B21FAC" w:rsidRDefault="00283961" w:rsidP="00283961">
      <w:pPr>
        <w:spacing w:after="0"/>
        <w:jc w:val="both"/>
      </w:pPr>
    </w:p>
    <w:p w14:paraId="593BDEBB" w14:textId="77777777" w:rsidR="00283961" w:rsidRPr="00B21FAC" w:rsidRDefault="00283961" w:rsidP="00283961">
      <w:pPr>
        <w:spacing w:after="0"/>
        <w:jc w:val="both"/>
      </w:pPr>
    </w:p>
    <w:p w14:paraId="68DC94AE" w14:textId="57344DBB" w:rsidR="00283961" w:rsidRPr="00B21FAC" w:rsidRDefault="00283961" w:rsidP="00BA7E3E">
      <w:pPr>
        <w:pStyle w:val="Kop3"/>
        <w:numPr>
          <w:ilvl w:val="0"/>
          <w:numId w:val="100"/>
        </w:numPr>
      </w:pPr>
      <w:bookmarkStart w:id="149" w:name="_Toc107210889"/>
      <w:r w:rsidRPr="00B21FAC">
        <w:t>Tariefstructuur</w:t>
      </w:r>
      <w:bookmarkEnd w:id="149"/>
    </w:p>
    <w:p w14:paraId="7140D4DD" w14:textId="77777777" w:rsidR="00283961" w:rsidRPr="00B21FAC" w:rsidRDefault="00283961" w:rsidP="00283961">
      <w:pPr>
        <w:spacing w:after="0"/>
        <w:jc w:val="both"/>
      </w:pPr>
    </w:p>
    <w:p w14:paraId="5F331393" w14:textId="77777777" w:rsidR="00283961" w:rsidRPr="00B21FAC" w:rsidRDefault="00283961" w:rsidP="00283961">
      <w:pPr>
        <w:spacing w:after="0"/>
        <w:jc w:val="both"/>
      </w:pPr>
    </w:p>
    <w:p w14:paraId="4582E0D1" w14:textId="77777777" w:rsidR="00283961" w:rsidRPr="00B21FAC" w:rsidRDefault="00283961" w:rsidP="00283961">
      <w:pPr>
        <w:spacing w:after="0"/>
        <w:jc w:val="both"/>
        <w:rPr>
          <w:u w:val="single"/>
        </w:rPr>
      </w:pPr>
      <w:r w:rsidRPr="00B21FAC">
        <w:rPr>
          <w:u w:val="single"/>
        </w:rPr>
        <w:t>Algemeen</w:t>
      </w:r>
    </w:p>
    <w:p w14:paraId="48F799C7" w14:textId="77777777" w:rsidR="00283961" w:rsidRPr="00B21FAC" w:rsidRDefault="00283961" w:rsidP="00283961">
      <w:pPr>
        <w:pStyle w:val="Lijstalinea"/>
        <w:numPr>
          <w:ilvl w:val="0"/>
          <w:numId w:val="12"/>
        </w:numPr>
        <w:spacing w:after="0"/>
        <w:jc w:val="both"/>
      </w:pPr>
      <w:r w:rsidRPr="00B21FAC">
        <w:t xml:space="preserve">Binnen een bepaalde belastingvorm wordt </w:t>
      </w:r>
      <w:r>
        <w:t>gebruik gemaakt van een uniforme (progressieve dan wel evenredige) tariefstructuur. H</w:t>
      </w:r>
      <w:r w:rsidRPr="00B21FAC">
        <w:t xml:space="preserve">et gebruik van gedifferentieerde tarieven </w:t>
      </w:r>
      <w:r>
        <w:t xml:space="preserve">wordt dus </w:t>
      </w:r>
      <w:r w:rsidRPr="00B21FAC">
        <w:t>zoveel als mogelijk vermeden, tenzij het afwijkend tarief een specifieke doelstelling beoogt, zoals opgenomen onder het luik ‘Niet-belaste bestanddelen’.</w:t>
      </w:r>
    </w:p>
    <w:p w14:paraId="5DD337B1" w14:textId="77777777" w:rsidR="00283961" w:rsidRPr="00B21FAC" w:rsidRDefault="00283961" w:rsidP="00283961">
      <w:pPr>
        <w:spacing w:after="0"/>
        <w:jc w:val="both"/>
      </w:pPr>
    </w:p>
    <w:p w14:paraId="0B0C5752" w14:textId="1D0AD67C" w:rsidR="00283961" w:rsidRPr="00B21FAC" w:rsidRDefault="00283961" w:rsidP="00283961">
      <w:pPr>
        <w:spacing w:after="0"/>
        <w:jc w:val="both"/>
        <w:rPr>
          <w:u w:val="single"/>
        </w:rPr>
      </w:pPr>
      <w:r w:rsidRPr="00B21FAC">
        <w:rPr>
          <w:u w:val="single"/>
        </w:rPr>
        <w:t>A</w:t>
      </w:r>
      <w:r w:rsidR="009907CD">
        <w:rPr>
          <w:u w:val="single"/>
        </w:rPr>
        <w:t>ctiviteitsinkomsten</w:t>
      </w:r>
    </w:p>
    <w:p w14:paraId="737EAC58" w14:textId="77777777" w:rsidR="00283961" w:rsidRPr="00B21FAC" w:rsidRDefault="00283961" w:rsidP="00283961">
      <w:pPr>
        <w:pStyle w:val="Lijstalinea"/>
        <w:numPr>
          <w:ilvl w:val="0"/>
          <w:numId w:val="12"/>
        </w:numPr>
        <w:spacing w:after="0"/>
        <w:jc w:val="both"/>
      </w:pPr>
      <w:r>
        <w:t>Een p</w:t>
      </w:r>
      <w:r w:rsidRPr="00B21FAC">
        <w:t xml:space="preserve">rogressieve tariefstructuur, met dien verstande dat het wel de betrachting is om het gemiddeld tarief te laten zakken, hetgeen bewerkstelligd kan worden middels een daling van de tarieven en/of een verbreding van de tariefschijven. </w:t>
      </w:r>
    </w:p>
    <w:p w14:paraId="5DA697B7" w14:textId="77777777" w:rsidR="00283961" w:rsidRPr="00B21FAC" w:rsidRDefault="00283961" w:rsidP="00283961">
      <w:pPr>
        <w:pStyle w:val="Lijstalinea"/>
        <w:numPr>
          <w:ilvl w:val="0"/>
          <w:numId w:val="12"/>
        </w:numPr>
        <w:spacing w:after="0"/>
        <w:jc w:val="both"/>
      </w:pPr>
      <w:r>
        <w:t>E</w:t>
      </w:r>
      <w:r w:rsidRPr="00B21FAC">
        <w:t xml:space="preserve">en verdere verlaging van de participatiebelastingvoeten (die bv. na de Tax Shift Michel toch nog steeds 63% bedragen voor kortstondig werklozen met 2/3 van het gemiddeld loon). </w:t>
      </w:r>
    </w:p>
    <w:p w14:paraId="5B17291C" w14:textId="77777777" w:rsidR="00283961" w:rsidRPr="00B21FAC" w:rsidRDefault="00283961" w:rsidP="00283961">
      <w:pPr>
        <w:pStyle w:val="Lijstalinea"/>
        <w:numPr>
          <w:ilvl w:val="0"/>
          <w:numId w:val="12"/>
        </w:numPr>
        <w:spacing w:after="0"/>
        <w:jc w:val="both"/>
      </w:pPr>
      <w:r>
        <w:t>E</w:t>
      </w:r>
      <w:r w:rsidRPr="00B21FAC">
        <w:t xml:space="preserve">en verlaging van de hoge </w:t>
      </w:r>
      <w:r>
        <w:t xml:space="preserve">effectieve </w:t>
      </w:r>
      <w:r w:rsidRPr="00B21FAC">
        <w:t>marginale belastingvoeten (&gt; 80%) in de range van 0,5 tot 0.7 maal het gemiddeld loon.</w:t>
      </w:r>
    </w:p>
    <w:p w14:paraId="22910B03" w14:textId="77777777" w:rsidR="00283961" w:rsidRPr="00B21FAC" w:rsidRDefault="00283961" w:rsidP="00283961">
      <w:pPr>
        <w:spacing w:after="0"/>
        <w:jc w:val="both"/>
      </w:pPr>
    </w:p>
    <w:p w14:paraId="316044E3" w14:textId="016BBB52" w:rsidR="00283961" w:rsidRPr="009907CD" w:rsidRDefault="00283961" w:rsidP="00283961">
      <w:pPr>
        <w:spacing w:after="0"/>
        <w:jc w:val="both"/>
        <w:rPr>
          <w:u w:val="single"/>
        </w:rPr>
      </w:pPr>
      <w:r w:rsidRPr="00B21FAC">
        <w:rPr>
          <w:u w:val="single"/>
        </w:rPr>
        <w:t>Vermogens</w:t>
      </w:r>
      <w:r w:rsidR="009907CD">
        <w:rPr>
          <w:u w:val="single"/>
        </w:rPr>
        <w:t>inkomsten</w:t>
      </w:r>
      <w:r w:rsidRPr="00B21FAC">
        <w:rPr>
          <w:i/>
          <w:iCs/>
          <w:u w:val="single"/>
        </w:rPr>
        <w:t xml:space="preserve"> </w:t>
      </w:r>
    </w:p>
    <w:p w14:paraId="553F874A" w14:textId="77777777" w:rsidR="00283961" w:rsidRPr="00B21FAC" w:rsidRDefault="00283961" w:rsidP="00283961">
      <w:pPr>
        <w:pStyle w:val="Lijstalinea"/>
        <w:numPr>
          <w:ilvl w:val="0"/>
          <w:numId w:val="12"/>
        </w:numPr>
        <w:spacing w:after="0"/>
        <w:jc w:val="both"/>
      </w:pPr>
      <w:r>
        <w:t xml:space="preserve">Een tariefstructuur die aangepast is aan de eigenheid van vermogensinkomsten, theoretisch samengesteld uit (maximaal) drie componenten, te weten (i) het risicovrije rendement, (ii) de vergoeding voor het risico en (iii) de pure economische rente. </w:t>
      </w:r>
    </w:p>
    <w:p w14:paraId="0135FF06" w14:textId="77777777" w:rsidR="00283961" w:rsidRPr="00B21FAC" w:rsidRDefault="00283961" w:rsidP="00283961">
      <w:pPr>
        <w:spacing w:after="0"/>
        <w:jc w:val="both"/>
      </w:pPr>
    </w:p>
    <w:p w14:paraId="0F853431" w14:textId="28B48FD7" w:rsidR="00283961" w:rsidRPr="00B21FAC" w:rsidRDefault="00283961" w:rsidP="00283961">
      <w:pPr>
        <w:spacing w:after="0"/>
        <w:jc w:val="both"/>
        <w:rPr>
          <w:u w:val="single"/>
        </w:rPr>
      </w:pPr>
      <w:r w:rsidRPr="00B21FAC">
        <w:rPr>
          <w:u w:val="single"/>
        </w:rPr>
        <w:t>Consumptie</w:t>
      </w:r>
    </w:p>
    <w:p w14:paraId="042FF952" w14:textId="77777777" w:rsidR="00283961" w:rsidRPr="00B21FAC" w:rsidRDefault="00283961" w:rsidP="00283961">
      <w:pPr>
        <w:pStyle w:val="Lijstalinea"/>
        <w:numPr>
          <w:ilvl w:val="0"/>
          <w:numId w:val="12"/>
        </w:numPr>
        <w:spacing w:after="0"/>
        <w:jc w:val="both"/>
      </w:pPr>
      <w:r>
        <w:t>Een evenredige tariefstructuur, die (voor zover van toepassing) toelaat om de</w:t>
      </w:r>
      <w:r w:rsidRPr="00B21FAC">
        <w:t xml:space="preserve"> externe effecten van productie en consumptie door te rekenen in de prijzen.</w:t>
      </w:r>
    </w:p>
    <w:p w14:paraId="599E5A15" w14:textId="77777777" w:rsidR="00283961" w:rsidRPr="00B21FAC" w:rsidRDefault="00283961" w:rsidP="00283961">
      <w:pPr>
        <w:spacing w:after="0"/>
        <w:jc w:val="both"/>
      </w:pPr>
    </w:p>
    <w:p w14:paraId="26AC801E" w14:textId="77777777" w:rsidR="00283961" w:rsidRPr="00B21FAC" w:rsidRDefault="00283961" w:rsidP="00283961">
      <w:pPr>
        <w:spacing w:after="0"/>
        <w:jc w:val="both"/>
      </w:pPr>
    </w:p>
    <w:p w14:paraId="42BBD969" w14:textId="1D6F2440" w:rsidR="00283961" w:rsidRPr="00B21FAC" w:rsidRDefault="00283961" w:rsidP="00BA7E3E">
      <w:pPr>
        <w:pStyle w:val="Kop3"/>
        <w:numPr>
          <w:ilvl w:val="0"/>
          <w:numId w:val="100"/>
        </w:numPr>
      </w:pPr>
      <w:bookmarkStart w:id="150" w:name="_Toc107210890"/>
      <w:r w:rsidRPr="00B21FAC">
        <w:t>Heffingsprincipes</w:t>
      </w:r>
      <w:bookmarkEnd w:id="150"/>
    </w:p>
    <w:p w14:paraId="3B907B2B" w14:textId="77777777" w:rsidR="00283961" w:rsidRPr="00B21FAC" w:rsidRDefault="00283961" w:rsidP="00283961">
      <w:pPr>
        <w:spacing w:after="0"/>
        <w:jc w:val="both"/>
      </w:pPr>
    </w:p>
    <w:p w14:paraId="30D1FB49" w14:textId="77777777" w:rsidR="00283961" w:rsidRPr="00B21FAC" w:rsidRDefault="00283961" w:rsidP="00283961">
      <w:pPr>
        <w:spacing w:after="0"/>
        <w:jc w:val="both"/>
      </w:pPr>
    </w:p>
    <w:p w14:paraId="02A1F11F" w14:textId="77777777" w:rsidR="00283961" w:rsidRPr="00B21FAC" w:rsidRDefault="00283961" w:rsidP="00283961">
      <w:pPr>
        <w:pStyle w:val="Lijstalinea"/>
        <w:numPr>
          <w:ilvl w:val="0"/>
          <w:numId w:val="12"/>
        </w:numPr>
        <w:spacing w:after="0"/>
        <w:jc w:val="both"/>
      </w:pPr>
      <w:r w:rsidRPr="00B21FAC">
        <w:t>Het uitgewerkte stelsel moet fraudebestendig zijn.</w:t>
      </w:r>
    </w:p>
    <w:p w14:paraId="19ABDE52" w14:textId="77777777" w:rsidR="00283961" w:rsidRPr="00B21FAC" w:rsidRDefault="00283961" w:rsidP="00283961">
      <w:pPr>
        <w:pStyle w:val="Lijstalinea"/>
        <w:numPr>
          <w:ilvl w:val="0"/>
          <w:numId w:val="12"/>
        </w:numPr>
        <w:spacing w:after="0"/>
        <w:jc w:val="both"/>
      </w:pPr>
      <w:r w:rsidRPr="00B21FAC">
        <w:t xml:space="preserve">Voor zover en in de mate bepaalde doelstellingen op diverse manieren kunnen bereikt worden, wordt bij de afweging steeds een bijzonder gewicht toegekend aan de meest eenvoudige. </w:t>
      </w:r>
    </w:p>
    <w:p w14:paraId="717CC223" w14:textId="77777777" w:rsidR="00283961" w:rsidRPr="00B21FAC" w:rsidRDefault="00283961" w:rsidP="00283961">
      <w:pPr>
        <w:pStyle w:val="Lijstalinea"/>
        <w:numPr>
          <w:ilvl w:val="0"/>
          <w:numId w:val="12"/>
        </w:numPr>
        <w:spacing w:after="0"/>
        <w:jc w:val="both"/>
      </w:pPr>
      <w:r w:rsidRPr="00B21FAC">
        <w:t>De heffingen worden zoveel als mogelijk, desgevallend gefragmenteerd, aan de bron of via tussenpersonen geïnd.</w:t>
      </w:r>
      <w:r w:rsidRPr="00B21FAC">
        <w:rPr>
          <w:i/>
          <w:iCs/>
          <w:color w:val="ED7D31" w:themeColor="accent2"/>
        </w:rPr>
        <w:t xml:space="preserve"> </w:t>
      </w:r>
    </w:p>
    <w:p w14:paraId="5A309B18" w14:textId="77777777" w:rsidR="00283961" w:rsidRPr="00B21FAC" w:rsidRDefault="00283961" w:rsidP="00283961">
      <w:pPr>
        <w:pStyle w:val="Lijstalinea"/>
        <w:numPr>
          <w:ilvl w:val="0"/>
          <w:numId w:val="12"/>
        </w:numPr>
        <w:spacing w:after="0"/>
        <w:jc w:val="both"/>
      </w:pPr>
      <w:r w:rsidRPr="00B21FAC">
        <w:t>Hiermee samenhangend wordt maximaal ingezet op het minimaliseren van de actieve aangifteverplichtingen in hoofde van de individuele burger.</w:t>
      </w:r>
    </w:p>
    <w:p w14:paraId="15BAD498" w14:textId="77777777" w:rsidR="00283961" w:rsidRPr="00B21FAC" w:rsidRDefault="00283961" w:rsidP="00283961">
      <w:pPr>
        <w:spacing w:after="0"/>
        <w:jc w:val="both"/>
      </w:pPr>
    </w:p>
    <w:p w14:paraId="3B7A7BC6" w14:textId="77777777" w:rsidR="00283961" w:rsidRPr="00B21FAC" w:rsidRDefault="00283961" w:rsidP="00283961">
      <w:pPr>
        <w:spacing w:after="0"/>
        <w:jc w:val="both"/>
      </w:pPr>
    </w:p>
    <w:p w14:paraId="64EB2961" w14:textId="44E51F25" w:rsidR="00283961" w:rsidRPr="00B21FAC" w:rsidRDefault="00283961" w:rsidP="00BA7E3E">
      <w:pPr>
        <w:pStyle w:val="Kop3"/>
        <w:numPr>
          <w:ilvl w:val="0"/>
          <w:numId w:val="100"/>
        </w:numPr>
      </w:pPr>
      <w:bookmarkStart w:id="151" w:name="_Toc107210891"/>
      <w:r w:rsidRPr="00B21FAC">
        <w:t>Wisselwerking met de deelentiteiten</w:t>
      </w:r>
      <w:bookmarkEnd w:id="151"/>
    </w:p>
    <w:p w14:paraId="2C9F4EE6" w14:textId="77777777" w:rsidR="00283961" w:rsidRPr="00B21FAC" w:rsidRDefault="00283961" w:rsidP="00283961">
      <w:pPr>
        <w:spacing w:after="0"/>
        <w:jc w:val="both"/>
      </w:pPr>
    </w:p>
    <w:p w14:paraId="76A28D2A" w14:textId="77777777" w:rsidR="00283961" w:rsidRPr="00B21FAC" w:rsidRDefault="00283961" w:rsidP="00283961">
      <w:pPr>
        <w:spacing w:after="0"/>
        <w:jc w:val="both"/>
      </w:pPr>
    </w:p>
    <w:p w14:paraId="550E8CA0" w14:textId="77777777" w:rsidR="00283961" w:rsidRPr="00B21FAC" w:rsidRDefault="00283961" w:rsidP="00283961">
      <w:pPr>
        <w:pStyle w:val="Lijstalinea"/>
        <w:numPr>
          <w:ilvl w:val="0"/>
          <w:numId w:val="12"/>
        </w:numPr>
        <w:spacing w:after="0"/>
        <w:jc w:val="both"/>
      </w:pPr>
      <w:r>
        <w:t>F</w:t>
      </w:r>
      <w:r w:rsidRPr="00B21FAC">
        <w:t>ederale belastinguitgaven in bevoegdheidsdomeinen die behoren tot de gemeenschappen of de gewesten, word</w:t>
      </w:r>
      <w:r>
        <w:t>en</w:t>
      </w:r>
      <w:r w:rsidRPr="00B21FAC">
        <w:t xml:space="preserve"> afgebouwd.</w:t>
      </w:r>
    </w:p>
    <w:p w14:paraId="2A35C672" w14:textId="77777777" w:rsidR="00283961" w:rsidRPr="00B21FAC" w:rsidRDefault="00283961" w:rsidP="00283961">
      <w:pPr>
        <w:pStyle w:val="Lijstalinea"/>
        <w:numPr>
          <w:ilvl w:val="0"/>
          <w:numId w:val="12"/>
        </w:numPr>
        <w:spacing w:after="0"/>
        <w:jc w:val="both"/>
      </w:pPr>
      <w:r>
        <w:t xml:space="preserve">Regionale heffingen worden in aanmerking genomen, zonder afbreuk te doen aan </w:t>
      </w:r>
      <w:r w:rsidRPr="00B21FAC">
        <w:t>de bestaande bevoegdheidsverdeling en financiële evenwichten.</w:t>
      </w:r>
    </w:p>
    <w:p w14:paraId="0E1041A8" w14:textId="5FE1C220" w:rsidR="00F61E7C" w:rsidRDefault="00F61E7C">
      <w:pPr>
        <w:spacing w:after="0"/>
      </w:pPr>
    </w:p>
    <w:p w14:paraId="72E11FD6" w14:textId="44BE30C5" w:rsidR="00F61E7C" w:rsidRDefault="00F61E7C">
      <w:r>
        <w:br w:type="page"/>
      </w:r>
    </w:p>
    <w:p w14:paraId="2AF1C1C2" w14:textId="27EC28D8" w:rsidR="00F61E7C" w:rsidRDefault="00F61E7C">
      <w:pPr>
        <w:spacing w:after="0"/>
      </w:pPr>
    </w:p>
    <w:p w14:paraId="29E7BB70" w14:textId="77777777" w:rsidR="00F61E7C" w:rsidRPr="00B21FAC" w:rsidRDefault="00F61E7C" w:rsidP="00BA7E3E">
      <w:pPr>
        <w:spacing w:after="0"/>
      </w:pPr>
    </w:p>
    <w:p w14:paraId="60359F7F" w14:textId="193D8065" w:rsidR="00234CFC" w:rsidRPr="00B21FAC" w:rsidRDefault="00C8527B" w:rsidP="002D349C">
      <w:pPr>
        <w:pStyle w:val="Kop1"/>
        <w:numPr>
          <w:ilvl w:val="0"/>
          <w:numId w:val="32"/>
        </w:numPr>
        <w:rPr>
          <w:smallCaps/>
        </w:rPr>
      </w:pPr>
      <w:bookmarkStart w:id="152" w:name="_Toc107210892"/>
      <w:r w:rsidRPr="00B21FAC">
        <w:rPr>
          <w:smallCaps/>
        </w:rPr>
        <w:t>Fiscaliteit van de samenlevingsvormen</w:t>
      </w:r>
      <w:bookmarkEnd w:id="152"/>
    </w:p>
    <w:p w14:paraId="3695FA5B" w14:textId="5C4783EF" w:rsidR="00CA5812" w:rsidRPr="00B21FAC" w:rsidRDefault="00CA5812" w:rsidP="00BA7E3E">
      <w:pPr>
        <w:spacing w:after="0"/>
        <w:jc w:val="both"/>
      </w:pPr>
    </w:p>
    <w:p w14:paraId="15D7E9A3" w14:textId="461770A7" w:rsidR="00234CFC" w:rsidRDefault="00234CFC">
      <w:pPr>
        <w:spacing w:after="0"/>
        <w:jc w:val="both"/>
      </w:pPr>
    </w:p>
    <w:p w14:paraId="1DFB0901" w14:textId="78EC42EE" w:rsidR="00E719D3" w:rsidRPr="00E719D3" w:rsidRDefault="00891420" w:rsidP="00E719D3">
      <w:pPr>
        <w:spacing w:after="0"/>
        <w:jc w:val="both"/>
      </w:pPr>
      <w:bookmarkStart w:id="153" w:name="_Hlk94083855"/>
      <w:r>
        <w:t xml:space="preserve">Onder deze hoofding wordt </w:t>
      </w:r>
      <w:r w:rsidR="00C20723">
        <w:t>nader ingegaan op de f</w:t>
      </w:r>
      <w:r w:rsidRPr="00D84734">
        <w:t>iscaliteit van de samenlevingsvormen</w:t>
      </w:r>
      <w:r w:rsidR="003219F6">
        <w:t>. Zoals hoger aangegeven wordt hieronder begrepen</w:t>
      </w:r>
      <w:r w:rsidRPr="00D84734">
        <w:t xml:space="preserve"> </w:t>
      </w:r>
      <w:r w:rsidR="00C20723">
        <w:t>‘</w:t>
      </w:r>
      <w:r w:rsidRPr="00D84734">
        <w:t xml:space="preserve">het geheel aan maatregelen die betrekking hebben op </w:t>
      </w:r>
      <w:r w:rsidR="001421C0" w:rsidRPr="001421C0">
        <w:t xml:space="preserve">de wijze waarop het fiscaal stelsel al dan niet rekening houdt met het ‘huishouden’ waartoe een individu behoort </w:t>
      </w:r>
      <w:r w:rsidR="00C430DD">
        <w:t>(</w:t>
      </w:r>
      <w:r w:rsidRPr="00D84734">
        <w:t>de belastbare eenheid</w:t>
      </w:r>
      <w:r w:rsidR="00C430DD">
        <w:t>)</w:t>
      </w:r>
      <w:r w:rsidR="00B257D6">
        <w:t>'</w:t>
      </w:r>
      <w:r w:rsidRPr="00D84734">
        <w:t>.</w:t>
      </w:r>
      <w:r w:rsidR="00E719D3" w:rsidRPr="00E719D3">
        <w:t xml:space="preserve"> </w:t>
      </w:r>
    </w:p>
    <w:p w14:paraId="0C498978" w14:textId="26D8F40B" w:rsidR="00891420" w:rsidRDefault="00891420">
      <w:pPr>
        <w:spacing w:after="0"/>
        <w:jc w:val="both"/>
      </w:pPr>
    </w:p>
    <w:p w14:paraId="6C171D04" w14:textId="2AD54A9E" w:rsidR="00C430DD" w:rsidRDefault="004F77B4">
      <w:pPr>
        <w:spacing w:after="0"/>
        <w:jc w:val="both"/>
      </w:pPr>
      <w:r>
        <w:t>Rekening houdend met de algemene uitgangspunten van de hervorming, werden daarbij de volgende bouwstenen voorgesteld:</w:t>
      </w:r>
    </w:p>
    <w:p w14:paraId="1E1FD7B7" w14:textId="77777777" w:rsidR="00690D25" w:rsidRPr="00B21FAC" w:rsidRDefault="00690D25" w:rsidP="00690D25">
      <w:pPr>
        <w:spacing w:after="0"/>
        <w:jc w:val="both"/>
      </w:pPr>
    </w:p>
    <w:p w14:paraId="46A34D6D" w14:textId="77777777" w:rsidR="00690D25" w:rsidRPr="00B21FAC" w:rsidRDefault="00690D25" w:rsidP="00690D25">
      <w:pPr>
        <w:numPr>
          <w:ilvl w:val="0"/>
          <w:numId w:val="102"/>
        </w:numPr>
        <w:spacing w:after="0"/>
        <w:jc w:val="both"/>
      </w:pPr>
      <w:r w:rsidRPr="00B21FAC">
        <w:t>De belastingberekening gebeurt maximaal op het niveau van het individu, hetgeen o.m. impliceert dat de inkomsten in de personenbelasting zoveel als mogelijk gedecumuleerd worden belast. Deze keuze sluit aan op het huidige belastingregime.</w:t>
      </w:r>
    </w:p>
    <w:p w14:paraId="01DE2ACD" w14:textId="1B9E0EA9" w:rsidR="00690D25" w:rsidRPr="00B21FAC" w:rsidRDefault="00690D25" w:rsidP="00690D25">
      <w:pPr>
        <w:numPr>
          <w:ilvl w:val="0"/>
          <w:numId w:val="102"/>
        </w:numPr>
        <w:spacing w:after="0"/>
        <w:jc w:val="both"/>
      </w:pPr>
      <w:r w:rsidRPr="00B21FAC">
        <w:t xml:space="preserve">Het principe van de fiscale neutraliteit van de </w:t>
      </w:r>
      <w:r w:rsidR="009037A4">
        <w:t xml:space="preserve">keuze van de </w:t>
      </w:r>
      <w:r w:rsidRPr="00B21FAC">
        <w:t xml:space="preserve">samenlevingsvorm wordt maximaal geëerbiedigd. </w:t>
      </w:r>
    </w:p>
    <w:p w14:paraId="431CAE53" w14:textId="77777777" w:rsidR="00690D25" w:rsidRPr="00B21FAC" w:rsidRDefault="00690D25" w:rsidP="00690D25">
      <w:pPr>
        <w:numPr>
          <w:ilvl w:val="0"/>
          <w:numId w:val="102"/>
        </w:numPr>
        <w:spacing w:after="0"/>
        <w:jc w:val="both"/>
      </w:pPr>
      <w:r w:rsidRPr="00B21FAC">
        <w:t xml:space="preserve">De belastingvrije som in de personenbelasting wordt meer in lijn gebracht met het leefloon. Daarbij wordt (rekening houdend met het draagkrachtprincipe) een onderscheid gemaakt tussen de ‘werkelijk alleenstaande’ enerzijds en de gehuwden, wettelijk en feitelijk samenwonden anderzijds. </w:t>
      </w:r>
    </w:p>
    <w:p w14:paraId="3E58744E" w14:textId="77777777" w:rsidR="00690D25" w:rsidRPr="00B21FAC" w:rsidRDefault="00690D25" w:rsidP="00690D25">
      <w:pPr>
        <w:numPr>
          <w:ilvl w:val="0"/>
          <w:numId w:val="102"/>
        </w:numPr>
        <w:spacing w:after="0"/>
        <w:jc w:val="both"/>
      </w:pPr>
      <w:r w:rsidRPr="00B21FAC">
        <w:t xml:space="preserve">De mate waarin met de gezinssamenstelling en inzonderheid ook met het aantal personen ten laste rekening wordt gehouden, wordt drastisch vereenvoudigd en gemoderniseerd. De nadruk komt te liggen op de (financiële) noden die een bepaalde persoon/kind </w:t>
      </w:r>
      <w:r>
        <w:t>heeft</w:t>
      </w:r>
      <w:r w:rsidRPr="00B21FAC">
        <w:t xml:space="preserve">. </w:t>
      </w:r>
    </w:p>
    <w:p w14:paraId="6427BABD" w14:textId="4F8A1AF2" w:rsidR="00891420" w:rsidRDefault="00891420">
      <w:pPr>
        <w:spacing w:after="0"/>
        <w:jc w:val="both"/>
      </w:pPr>
    </w:p>
    <w:p w14:paraId="40E65130" w14:textId="78F7F5D8" w:rsidR="00864F88" w:rsidRDefault="00C5338E">
      <w:pPr>
        <w:spacing w:after="0"/>
        <w:jc w:val="both"/>
      </w:pPr>
      <w:r>
        <w:t>Deze bouwstenen worden hierna verder geconcretiseerd. De focus ligt daarbij op de personenbelasting</w:t>
      </w:r>
      <w:r w:rsidR="002F3B4E">
        <w:t xml:space="preserve"> (m.i.v. de daarop inhakende BBSZ)</w:t>
      </w:r>
      <w:r>
        <w:t>.</w:t>
      </w:r>
    </w:p>
    <w:bookmarkEnd w:id="153"/>
    <w:p w14:paraId="67E71B3D" w14:textId="77777777" w:rsidR="00C5338E" w:rsidRDefault="00C5338E">
      <w:pPr>
        <w:spacing w:after="0"/>
        <w:jc w:val="both"/>
      </w:pPr>
    </w:p>
    <w:p w14:paraId="68CCB7BE" w14:textId="77777777" w:rsidR="00891420" w:rsidRPr="00B21FAC" w:rsidRDefault="00891420" w:rsidP="00BA7E3E">
      <w:pPr>
        <w:spacing w:after="0"/>
        <w:jc w:val="both"/>
      </w:pPr>
    </w:p>
    <w:p w14:paraId="7D05652C" w14:textId="06834B51" w:rsidR="00CA5812" w:rsidRPr="00B21FAC" w:rsidRDefault="005451B7" w:rsidP="00BA7E3E">
      <w:pPr>
        <w:pStyle w:val="Kop2"/>
        <w:numPr>
          <w:ilvl w:val="0"/>
          <w:numId w:val="47"/>
        </w:numPr>
        <w:jc w:val="both"/>
      </w:pPr>
      <w:bookmarkStart w:id="154" w:name="_Toc107210893"/>
      <w:r w:rsidRPr="00B21FAC">
        <w:t>Algemene toelichting</w:t>
      </w:r>
      <w:bookmarkEnd w:id="154"/>
    </w:p>
    <w:p w14:paraId="0E253859" w14:textId="77777777" w:rsidR="00C8527B" w:rsidRPr="00B21FAC" w:rsidRDefault="00C8527B" w:rsidP="00BA7E3E">
      <w:pPr>
        <w:spacing w:after="0"/>
        <w:jc w:val="both"/>
      </w:pPr>
    </w:p>
    <w:p w14:paraId="68E6F633" w14:textId="77777777" w:rsidR="005451B7" w:rsidRPr="00B21FAC" w:rsidRDefault="005451B7" w:rsidP="00BA7E3E">
      <w:pPr>
        <w:spacing w:after="0"/>
        <w:jc w:val="both"/>
      </w:pPr>
    </w:p>
    <w:p w14:paraId="5307467D" w14:textId="3AD07828" w:rsidR="00CA5812" w:rsidRPr="00B21FAC" w:rsidRDefault="005451B7" w:rsidP="00BA7E3E">
      <w:pPr>
        <w:spacing w:after="0"/>
        <w:jc w:val="both"/>
      </w:pPr>
      <w:r w:rsidRPr="00B21FAC">
        <w:t xml:space="preserve">Het verdient aanbeveling om bij het uitwerken van een stelsel inzake de personenbelasting </w:t>
      </w:r>
      <w:r w:rsidR="00BC401C" w:rsidRPr="00B21FAC">
        <w:t xml:space="preserve">voldoende aandacht te besteden aan </w:t>
      </w:r>
      <w:r w:rsidR="00CA5812" w:rsidRPr="00B21FAC">
        <w:t>het verlies aan draagkracht of verdienvermogen, veroorzaakt door de gezinssituatie. Daarbij wordt inzonderheid rekening gehouden met de situatie van:</w:t>
      </w:r>
    </w:p>
    <w:p w14:paraId="59280CD7" w14:textId="77777777" w:rsidR="00CA5812" w:rsidRPr="00B21FAC" w:rsidRDefault="00CA5812" w:rsidP="00BA7E3E">
      <w:pPr>
        <w:numPr>
          <w:ilvl w:val="0"/>
          <w:numId w:val="25"/>
        </w:numPr>
        <w:spacing w:after="0"/>
        <w:jc w:val="both"/>
      </w:pPr>
      <w:r w:rsidRPr="00B21FAC">
        <w:t>alleenstaanden die bepaalde kosten alleen moeten dragen en vanuit dat opzicht, in termen van draagkracht, een nadeel ondervinden t.o.v. zij die deze kosten kunnen delen;</w:t>
      </w:r>
    </w:p>
    <w:p w14:paraId="70816F5E" w14:textId="62E323E5" w:rsidR="00CA5812" w:rsidRPr="00B21FAC" w:rsidRDefault="00CA5812" w:rsidP="00BA7E3E">
      <w:pPr>
        <w:numPr>
          <w:ilvl w:val="0"/>
          <w:numId w:val="25"/>
        </w:numPr>
        <w:spacing w:after="0"/>
        <w:jc w:val="both"/>
      </w:pPr>
      <w:r w:rsidRPr="00B21FAC">
        <w:t>zij die (desgevallend uitsluitend financieel) moeten instaan voor de zorg en/of de opvoeding van anderen.</w:t>
      </w:r>
    </w:p>
    <w:p w14:paraId="71B3003A" w14:textId="77777777" w:rsidR="00454080" w:rsidRPr="00B21FAC" w:rsidRDefault="00454080" w:rsidP="00BA7E3E">
      <w:pPr>
        <w:spacing w:after="0"/>
        <w:jc w:val="both"/>
      </w:pPr>
    </w:p>
    <w:p w14:paraId="28A70AAB" w14:textId="374A2DA5" w:rsidR="00557C3D" w:rsidRDefault="00CA5812">
      <w:pPr>
        <w:spacing w:after="0"/>
        <w:jc w:val="both"/>
      </w:pPr>
      <w:r w:rsidRPr="00B21FAC">
        <w:t xml:space="preserve">Een passend instrument om met </w:t>
      </w:r>
      <w:r w:rsidR="00D62765">
        <w:t>he</w:t>
      </w:r>
      <w:r w:rsidR="00D62765" w:rsidRPr="00B21FAC">
        <w:t xml:space="preserve">t </w:t>
      </w:r>
      <w:r w:rsidRPr="00B21FAC">
        <w:t xml:space="preserve">verlies aan draagkracht </w:t>
      </w:r>
      <w:r w:rsidR="00D62765">
        <w:t xml:space="preserve">of verdienvermogen </w:t>
      </w:r>
      <w:r w:rsidRPr="00B21FAC">
        <w:t>rekening te houden, bestaat erin om aan de betrokken belastingplichtige(n) een belastingvrije som toe te kennen. Deze belastingvrije som wordt thans fiscaaltechnisch toegekend middels een belastingvermindering, waarbij de hoogte van de belastingvrije som berekend wordt, rekening houdend met de belastingschijven vermeld in artikel 134 WIB92</w:t>
      </w:r>
      <w:r w:rsidR="00557C3D">
        <w:t>, die afwijken van de basis</w:t>
      </w:r>
      <w:r w:rsidR="00D541D8">
        <w:t>belastingschijven opgenomen in artikel 130 WIB92.</w:t>
      </w:r>
    </w:p>
    <w:p w14:paraId="0CE9F5EA" w14:textId="77777777" w:rsidR="00557C3D" w:rsidRDefault="00557C3D">
      <w:pPr>
        <w:spacing w:after="0"/>
        <w:jc w:val="both"/>
      </w:pPr>
    </w:p>
    <w:p w14:paraId="6F1B57FF" w14:textId="21892262" w:rsidR="004607C8" w:rsidRDefault="00DB66AD" w:rsidP="00BA7E3E">
      <w:pPr>
        <w:spacing w:after="0"/>
        <w:jc w:val="both"/>
      </w:pPr>
      <w:r>
        <w:t xml:space="preserve">Er wordt alvast voorgesteld om </w:t>
      </w:r>
      <w:r w:rsidR="00271BB7">
        <w:t>deze tweespalt ongedaan te maken</w:t>
      </w:r>
      <w:r w:rsidR="003E5503">
        <w:t>.</w:t>
      </w:r>
      <w:r w:rsidR="003E35AB">
        <w:t xml:space="preserve"> </w:t>
      </w:r>
      <w:bookmarkStart w:id="155" w:name="_Hlk94636826"/>
      <w:r w:rsidR="003E35AB">
        <w:t xml:space="preserve">Bijkomend kan overwogen worden om de </w:t>
      </w:r>
      <w:r w:rsidR="00CA5812" w:rsidRPr="00B21FAC">
        <w:t xml:space="preserve">belastingvrije som </w:t>
      </w:r>
      <w:r w:rsidR="00072495">
        <w:t>(</w:t>
      </w:r>
      <w:r w:rsidR="00B168AC">
        <w:t xml:space="preserve">desgevallend beperkt tot het basisbedrag) </w:t>
      </w:r>
      <w:r w:rsidR="002226DC">
        <w:t xml:space="preserve">fiscaaltechnisch </w:t>
      </w:r>
      <w:r w:rsidR="00891420">
        <w:t xml:space="preserve">te concretiseren </w:t>
      </w:r>
      <w:r w:rsidR="003B67F7">
        <w:t xml:space="preserve">middels de invoering van een 0%-schijf of </w:t>
      </w:r>
      <w:r w:rsidR="00891420">
        <w:t xml:space="preserve">middels </w:t>
      </w:r>
      <w:r w:rsidR="00CA5812" w:rsidRPr="00303355">
        <w:t>een forfaitaire heffingskorting</w:t>
      </w:r>
      <w:r w:rsidR="00CA5812" w:rsidRPr="00B21FAC">
        <w:t xml:space="preserve">. </w:t>
      </w:r>
    </w:p>
    <w:p w14:paraId="69F428A4" w14:textId="77777777" w:rsidR="004607C8" w:rsidRDefault="004607C8" w:rsidP="00BA7E3E">
      <w:pPr>
        <w:spacing w:after="0"/>
        <w:jc w:val="both"/>
      </w:pPr>
    </w:p>
    <w:p w14:paraId="309A4C21" w14:textId="714A4660" w:rsidR="00CA5812" w:rsidRPr="00B21FAC" w:rsidRDefault="00CA5812" w:rsidP="00BA7E3E">
      <w:pPr>
        <w:spacing w:after="0"/>
        <w:jc w:val="both"/>
      </w:pPr>
      <w:r w:rsidRPr="00B21FAC">
        <w:t xml:space="preserve">Fiscaaltechnisch is </w:t>
      </w:r>
      <w:r w:rsidR="003B67F7">
        <w:t xml:space="preserve">een forfaitaire heffingskorting </w:t>
      </w:r>
      <w:r w:rsidRPr="00B21FAC">
        <w:t>eveneens een belastingvermindering, met dat verschil dat hierbij gewerkt wordt met vaste bedragen. Dit leidt tot een aanzienlijke administratieve vereenvoudiging.</w:t>
      </w:r>
      <w:r w:rsidR="000077B2">
        <w:t xml:space="preserve"> </w:t>
      </w:r>
      <w:r w:rsidR="0045390B">
        <w:t>Dergelijke wijziging moet wel inpasbaar zijn in de huidige BFW (artikel 5/</w:t>
      </w:r>
      <w:r w:rsidR="00EE0F8B">
        <w:t xml:space="preserve">2, § 2, 3°), hetgeen concreet impliceert dat de korting op zich de resultante moet zijn van een concrete belastingberekening op een </w:t>
      </w:r>
      <w:r w:rsidR="009D4694">
        <w:t>gedetermineerde belastingvrije som.</w:t>
      </w:r>
      <w:r w:rsidR="00DE67F9">
        <w:t xml:space="preserve"> Het uiteindelijk beoogde belastingvoordeel moet uiteraard op deze technische </w:t>
      </w:r>
      <w:r w:rsidR="00DA6D3D">
        <w:t xml:space="preserve">aspecten </w:t>
      </w:r>
      <w:r w:rsidR="00DE67F9">
        <w:t>worden afgestemd.</w:t>
      </w:r>
    </w:p>
    <w:bookmarkEnd w:id="155"/>
    <w:p w14:paraId="1DDD03A2" w14:textId="77777777" w:rsidR="00533405" w:rsidRPr="00B21FAC" w:rsidRDefault="00533405" w:rsidP="00BA7E3E">
      <w:pPr>
        <w:spacing w:after="0"/>
        <w:jc w:val="both"/>
      </w:pPr>
    </w:p>
    <w:p w14:paraId="2A6765E1" w14:textId="44F1AC94" w:rsidR="00CA5812" w:rsidRPr="00B21FAC" w:rsidRDefault="00CA5812" w:rsidP="00BA7E3E">
      <w:pPr>
        <w:spacing w:after="0"/>
        <w:jc w:val="both"/>
      </w:pPr>
      <w:r w:rsidRPr="00B21FAC">
        <w:t xml:space="preserve">Deze </w:t>
      </w:r>
      <w:r w:rsidR="00E446E1">
        <w:t>(</w:t>
      </w:r>
      <w:r w:rsidRPr="00B21FAC">
        <w:t>forfaitaire</w:t>
      </w:r>
      <w:r w:rsidR="00E446E1">
        <w:t>)</w:t>
      </w:r>
      <w:r w:rsidRPr="00B21FAC">
        <w:t xml:space="preserve"> </w:t>
      </w:r>
      <w:r w:rsidR="00E2576B">
        <w:t>heffings</w:t>
      </w:r>
      <w:r w:rsidR="00E2576B" w:rsidRPr="00B21FAC">
        <w:t xml:space="preserve">korting </w:t>
      </w:r>
      <w:r w:rsidRPr="00B21FAC">
        <w:t>kan gedifferentieerd worden in functie van (i) de situatie van de betrokken belastingplichtige zelf (al dan niet alleenstaand) en van (ii) de zorgbehoevendheid van de personen waarvoor de betrokken belastingplichtige moet instaan, waarbij o.m. rekening kan worden gehouden met de nood aan ‘opvang’.</w:t>
      </w:r>
    </w:p>
    <w:p w14:paraId="4EE9DA9E" w14:textId="77777777" w:rsidR="00533405" w:rsidRPr="00B21FAC" w:rsidRDefault="00533405" w:rsidP="00BA7E3E">
      <w:pPr>
        <w:spacing w:after="0"/>
        <w:jc w:val="both"/>
      </w:pPr>
    </w:p>
    <w:p w14:paraId="27D309BA" w14:textId="385F96DC" w:rsidR="00533405" w:rsidRPr="00B21FAC" w:rsidRDefault="00A074F6" w:rsidP="00BA7E3E">
      <w:pPr>
        <w:spacing w:after="0"/>
        <w:jc w:val="both"/>
      </w:pPr>
      <w:r w:rsidRPr="00B21FAC">
        <w:rPr>
          <w:u w:val="single"/>
        </w:rPr>
        <w:t>PM:</w:t>
      </w:r>
      <w:r w:rsidRPr="00B21FAC">
        <w:t xml:space="preserve"> </w:t>
      </w:r>
      <w:r w:rsidR="00CA5812" w:rsidRPr="00B21FAC">
        <w:t xml:space="preserve">Ook andere beleidsdomeinen en andere overheden nemen de ‘zorgbehoevendheid’ in aanmerking bij het toekennen van financiële tegemoetkomingen. Dit gebeurt op het federale niveau, o.m. middels de ‘integratietegemoetkoming’ die er toe strekt een compensatie te verlenen voor de bijkomende kosten die een persoon met een handicap moet dragen om deel te kunnen nemen aan het maatschappelijk leven. Het zorg- en gezinsbeleid is </w:t>
      </w:r>
      <w:r w:rsidR="00EA765D">
        <w:t xml:space="preserve">overwegend </w:t>
      </w:r>
      <w:r w:rsidR="00CA5812" w:rsidRPr="00B21FAC">
        <w:t xml:space="preserve">een gemeenschapsbevoegdheid. Het is </w:t>
      </w:r>
      <w:r w:rsidR="00DB1132" w:rsidRPr="00B21FAC">
        <w:t>bijgevolg</w:t>
      </w:r>
      <w:r w:rsidR="00CA5812" w:rsidRPr="00B21FAC">
        <w:t xml:space="preserve"> geen evidentie dat in het federaal fiscaal recht met de gezinssamenstelling en/of de kosten voor zorg en/of opvang rekening wordt gehouden. Vooralsnog wordt er evenwel vanuit gegaan dat de bestaande differentiaties worden aangehouden, hetgeen verder onderzoek omtrent de opportuniteit van latere ‘overdrachten’ en nieuwe </w:t>
      </w:r>
      <w:r w:rsidR="00B472B7" w:rsidRPr="00B21FAC">
        <w:t xml:space="preserve">afbakeningen </w:t>
      </w:r>
      <w:r w:rsidR="00CA5812" w:rsidRPr="00B21FAC">
        <w:t>van de federale bevoegdheden</w:t>
      </w:r>
      <w:r w:rsidR="00B472B7" w:rsidRPr="00B21FAC">
        <w:t xml:space="preserve">, </w:t>
      </w:r>
      <w:r w:rsidR="00CA5812" w:rsidRPr="00B21FAC">
        <w:t>in het kader van een volgende staatshervorming</w:t>
      </w:r>
      <w:r w:rsidR="00EA5038" w:rsidRPr="00B21FAC">
        <w:t>,</w:t>
      </w:r>
      <w:r w:rsidR="00CA5812" w:rsidRPr="00B21FAC">
        <w:t xml:space="preserve"> niet uitsluit.</w:t>
      </w:r>
    </w:p>
    <w:p w14:paraId="121E026E" w14:textId="7B9B0A71" w:rsidR="00301FF2" w:rsidRDefault="00301FF2">
      <w:r>
        <w:br w:type="page"/>
      </w:r>
    </w:p>
    <w:p w14:paraId="05EC953A" w14:textId="77777777" w:rsidR="00533405" w:rsidRPr="00B21FAC" w:rsidRDefault="00533405" w:rsidP="00BA7E3E">
      <w:pPr>
        <w:spacing w:after="0"/>
        <w:jc w:val="both"/>
      </w:pPr>
    </w:p>
    <w:p w14:paraId="6A446364" w14:textId="5CA5EA76" w:rsidR="00A074F6" w:rsidRPr="00B21FAC" w:rsidRDefault="00A074F6" w:rsidP="00BA7E3E">
      <w:pPr>
        <w:spacing w:after="0"/>
        <w:jc w:val="both"/>
      </w:pPr>
    </w:p>
    <w:p w14:paraId="6420A9BA" w14:textId="17A13E7B" w:rsidR="00A074F6" w:rsidRPr="00B21FAC" w:rsidRDefault="00A074F6" w:rsidP="00275FEB">
      <w:pPr>
        <w:pStyle w:val="Kop2"/>
        <w:numPr>
          <w:ilvl w:val="0"/>
          <w:numId w:val="47"/>
        </w:numPr>
      </w:pPr>
      <w:bookmarkStart w:id="156" w:name="_Toc107210894"/>
      <w:r w:rsidRPr="00B21FAC">
        <w:t>Voorgestelde wijzigingen</w:t>
      </w:r>
      <w:bookmarkEnd w:id="156"/>
    </w:p>
    <w:p w14:paraId="55B354B8" w14:textId="77777777" w:rsidR="00A074F6" w:rsidRPr="00B21FAC" w:rsidRDefault="00A074F6" w:rsidP="00BA7E3E">
      <w:pPr>
        <w:spacing w:after="0"/>
        <w:jc w:val="both"/>
      </w:pPr>
    </w:p>
    <w:p w14:paraId="60B1D52B" w14:textId="77777777" w:rsidR="00CA5812" w:rsidRPr="00B21FAC" w:rsidRDefault="00CA5812" w:rsidP="00BA7E3E">
      <w:pPr>
        <w:spacing w:after="0"/>
        <w:jc w:val="both"/>
      </w:pPr>
    </w:p>
    <w:p w14:paraId="214BBD79" w14:textId="43D71AFF" w:rsidR="00CA5812" w:rsidRPr="00B21FAC" w:rsidRDefault="00CA5812" w:rsidP="00BA7E3E">
      <w:pPr>
        <w:spacing w:after="0"/>
        <w:jc w:val="both"/>
      </w:pPr>
      <w:r w:rsidRPr="00B21FAC">
        <w:t xml:space="preserve">De </w:t>
      </w:r>
      <w:r w:rsidRPr="00B21FAC">
        <w:rPr>
          <w:u w:val="single"/>
        </w:rPr>
        <w:t xml:space="preserve">belangrijkste </w:t>
      </w:r>
      <w:r w:rsidR="00C95117">
        <w:rPr>
          <w:u w:val="single"/>
        </w:rPr>
        <w:t xml:space="preserve">voorgestelde </w:t>
      </w:r>
      <w:r w:rsidRPr="00B21FAC">
        <w:rPr>
          <w:u w:val="single"/>
        </w:rPr>
        <w:t>wijzigingen</w:t>
      </w:r>
      <w:r w:rsidRPr="00B21FAC">
        <w:t xml:space="preserve"> t.o.v. het huidige stelsel, bestaan erin dat:</w:t>
      </w:r>
    </w:p>
    <w:p w14:paraId="5AD2FD3C" w14:textId="77777777" w:rsidR="00D83120" w:rsidRPr="00B21FAC" w:rsidRDefault="00D83120" w:rsidP="00BA7E3E">
      <w:pPr>
        <w:spacing w:after="0"/>
        <w:jc w:val="both"/>
      </w:pPr>
    </w:p>
    <w:p w14:paraId="71B07F2E" w14:textId="70F5C0F9" w:rsidR="00CA5812" w:rsidRPr="00B21FAC" w:rsidRDefault="00CA5812" w:rsidP="00BA7E3E">
      <w:pPr>
        <w:numPr>
          <w:ilvl w:val="0"/>
          <w:numId w:val="26"/>
        </w:numPr>
        <w:spacing w:after="0"/>
        <w:jc w:val="both"/>
      </w:pPr>
      <w:r w:rsidRPr="00B21FAC">
        <w:t xml:space="preserve">een veralgemeend onderscheid wordt ingevoerd tussen de </w:t>
      </w:r>
      <w:r w:rsidR="002A5F1A">
        <w:t>belastingvrije som</w:t>
      </w:r>
      <w:r w:rsidRPr="00B21FAC">
        <w:t xml:space="preserve"> toegekend aan de alleenstaande enerzijds, en de </w:t>
      </w:r>
      <w:r w:rsidR="002A5F1A">
        <w:t>belastingvrije som</w:t>
      </w:r>
      <w:r w:rsidRPr="00B21FAC">
        <w:t xml:space="preserve"> toegekend aan de samenwonende anderzijds, met dien verstande dat de categorie aan ‘samenwonenden’ wordt uitgebreid tot de feitelijk samenwonenden, teneinde alle samenlevingsvormen zo neutraal als mogelijk te behandelen;</w:t>
      </w:r>
    </w:p>
    <w:p w14:paraId="100DC1AC" w14:textId="77777777" w:rsidR="00B67995" w:rsidRPr="00B21FAC" w:rsidRDefault="00B67995" w:rsidP="00BA7E3E">
      <w:pPr>
        <w:spacing w:after="0"/>
        <w:jc w:val="both"/>
      </w:pPr>
    </w:p>
    <w:p w14:paraId="1B0BF8B5" w14:textId="1EF8FE4E" w:rsidR="00CA5812" w:rsidRPr="00B21FAC" w:rsidRDefault="00CA5812" w:rsidP="00BA7E3E">
      <w:pPr>
        <w:numPr>
          <w:ilvl w:val="0"/>
          <w:numId w:val="26"/>
        </w:numPr>
        <w:spacing w:after="0"/>
        <w:jc w:val="both"/>
      </w:pPr>
      <w:r w:rsidRPr="00B21FAC">
        <w:t xml:space="preserve">de toeslagen op de </w:t>
      </w:r>
      <w:r w:rsidR="002A5F1A">
        <w:t>belastingvrije som</w:t>
      </w:r>
      <w:r w:rsidRPr="00B21FAC">
        <w:t xml:space="preserve"> voor iedere persoon ten laste nog uitsluitend bepaald wordt in functie van de zorgbehoevendheid van de betrokken persoon, zonder dat nog rekening gehouden wordt met het aantal personen (inzonderheid kinderen) ten laste;</w:t>
      </w:r>
    </w:p>
    <w:p w14:paraId="70C41D84" w14:textId="77777777" w:rsidR="00B67995" w:rsidRPr="00B21FAC" w:rsidRDefault="00B67995" w:rsidP="00BA7E3E">
      <w:pPr>
        <w:spacing w:after="0"/>
        <w:jc w:val="both"/>
      </w:pPr>
    </w:p>
    <w:p w14:paraId="3550E7EF" w14:textId="61DDA901" w:rsidR="00CA5812" w:rsidRPr="00B21FAC" w:rsidRDefault="00CA5812" w:rsidP="00BA7E3E">
      <w:pPr>
        <w:numPr>
          <w:ilvl w:val="0"/>
          <w:numId w:val="26"/>
        </w:numPr>
        <w:spacing w:after="0"/>
        <w:jc w:val="both"/>
      </w:pPr>
      <w:r w:rsidRPr="00B21FAC">
        <w:t xml:space="preserve">de toeslagen op de </w:t>
      </w:r>
      <w:r w:rsidR="002A5F1A">
        <w:t>belastingvrije som</w:t>
      </w:r>
      <w:r w:rsidRPr="00B21FAC">
        <w:t xml:space="preserve"> ook toegekend worden aan zij die de kinderen louter financieel ten laste nemen. </w:t>
      </w:r>
    </w:p>
    <w:p w14:paraId="55DFA25D" w14:textId="77777777" w:rsidR="00060C61" w:rsidRPr="00B21FAC" w:rsidRDefault="00060C61" w:rsidP="00BA7E3E">
      <w:pPr>
        <w:spacing w:after="0"/>
        <w:ind w:left="709"/>
        <w:jc w:val="both"/>
      </w:pPr>
    </w:p>
    <w:p w14:paraId="7BDE8DCB" w14:textId="332E8A39" w:rsidR="00CA5812" w:rsidRPr="00B21FAC" w:rsidRDefault="00CA5812" w:rsidP="00BA7E3E">
      <w:pPr>
        <w:spacing w:after="0"/>
        <w:ind w:left="709"/>
        <w:jc w:val="both"/>
      </w:pPr>
      <w:r w:rsidRPr="00B21FAC">
        <w:t xml:space="preserve">De voorwaarde dat het kind deel moet uitmaken van het gezin zou dus komen te vervallen. Hiermee wordt betracht een meer coherent stelsel te introduceren. Een dergelijke benadering is overigens ook </w:t>
      </w:r>
      <w:r w:rsidR="00860BF2" w:rsidRPr="00B21FAC">
        <w:t xml:space="preserve">neutraler </w:t>
      </w:r>
      <w:r w:rsidRPr="00B21FAC">
        <w:t xml:space="preserve">dan het huidige stelsel waarbij </w:t>
      </w:r>
      <w:r w:rsidRPr="00B21FAC">
        <w:rPr>
          <w:b/>
          <w:bCs/>
        </w:rPr>
        <w:t>onderhoudsuitkeringen</w:t>
      </w:r>
      <w:r w:rsidRPr="00B21FAC">
        <w:t xml:space="preserve"> in aftrek kunnen worden gebracht, in die zin dat deze aftrek meer fiscaal voordeel oplevert aan zij die in de hoogste belastingschijven belast worden dan aan zij die in de lagere belastingschijven belast worden.</w:t>
      </w:r>
    </w:p>
    <w:p w14:paraId="563E9C42" w14:textId="77777777" w:rsidR="00060C61" w:rsidRPr="00B21FAC" w:rsidRDefault="00060C61" w:rsidP="00BA7E3E">
      <w:pPr>
        <w:spacing w:after="0"/>
        <w:ind w:left="709"/>
        <w:jc w:val="both"/>
      </w:pPr>
    </w:p>
    <w:p w14:paraId="23F29A03" w14:textId="1B796AAD" w:rsidR="00CA5812" w:rsidRPr="00B21FAC" w:rsidRDefault="00CA5812" w:rsidP="00BA7E3E">
      <w:pPr>
        <w:spacing w:after="0"/>
        <w:ind w:left="709"/>
        <w:jc w:val="both"/>
      </w:pPr>
      <w:r w:rsidRPr="00B21FAC">
        <w:t xml:space="preserve">T.a.v. de andere personen ten laste zou de voorwaarde dat de betrokkene deel moet uitmaken van het gezin, wel behouden worden. Dit sluit aan bij de ‘mantelzorg’-idee opgenomen in het Regeerakkoord en lijkt </w:t>
      </w:r>
      <w:r w:rsidR="001F2E82" w:rsidRPr="00B21FAC">
        <w:t xml:space="preserve">daarnaast </w:t>
      </w:r>
      <w:r w:rsidRPr="00B21FAC">
        <w:t>vereist teneinde mogelijke misbruiken uit te sluiten.</w:t>
      </w:r>
    </w:p>
    <w:p w14:paraId="61A21043" w14:textId="77777777" w:rsidR="00B67995" w:rsidRPr="00B21FAC" w:rsidRDefault="00B67995" w:rsidP="00BA7E3E">
      <w:pPr>
        <w:spacing w:after="0"/>
        <w:ind w:left="709"/>
        <w:jc w:val="both"/>
      </w:pPr>
    </w:p>
    <w:p w14:paraId="2D0B22E8" w14:textId="01F6BC30" w:rsidR="00CA5812" w:rsidRPr="00B21FAC" w:rsidRDefault="0033250A" w:rsidP="00BA7E3E">
      <w:pPr>
        <w:numPr>
          <w:ilvl w:val="0"/>
          <w:numId w:val="26"/>
        </w:numPr>
        <w:spacing w:after="0"/>
        <w:jc w:val="both"/>
      </w:pPr>
      <w:r>
        <w:t xml:space="preserve">een partnertoeslag wordt toegekend aan de </w:t>
      </w:r>
      <w:r w:rsidR="007D4938">
        <w:t>d</w:t>
      </w:r>
      <w:r>
        <w:t>i</w:t>
      </w:r>
      <w:r w:rsidR="007D4938">
        <w:t>e</w:t>
      </w:r>
      <w:r>
        <w:t>gene wiens partner onvoldoende eigen inkomsten heeft</w:t>
      </w:r>
      <w:r w:rsidR="00CA5812" w:rsidRPr="00B21FAC">
        <w:t xml:space="preserve">. </w:t>
      </w:r>
    </w:p>
    <w:p w14:paraId="4AA4B68E" w14:textId="77777777" w:rsidR="00B67995" w:rsidRPr="00B21FAC" w:rsidRDefault="00B67995" w:rsidP="00BA7E3E">
      <w:pPr>
        <w:spacing w:after="0"/>
        <w:ind w:left="709"/>
        <w:jc w:val="both"/>
      </w:pPr>
    </w:p>
    <w:p w14:paraId="1F46F281" w14:textId="2EAD550E" w:rsidR="00CA5812" w:rsidRPr="00B21FAC" w:rsidRDefault="00CA5812" w:rsidP="00BA7E3E">
      <w:pPr>
        <w:spacing w:after="0"/>
        <w:ind w:left="709"/>
        <w:jc w:val="both"/>
      </w:pPr>
      <w:r w:rsidRPr="00B21FAC">
        <w:t xml:space="preserve">Een dergelijk stelsel komt in de plaats van het thans bestaande </w:t>
      </w:r>
      <w:r w:rsidRPr="00B21FAC">
        <w:rPr>
          <w:b/>
          <w:bCs/>
        </w:rPr>
        <w:t>huwelijksquotiënt</w:t>
      </w:r>
      <w:r w:rsidRPr="00B21FAC">
        <w:t>. De historische idee van dit quotiënt (de financiële afhankelijkheid en de valorisatie van de gezinstaken van (</w:t>
      </w:r>
      <w:r w:rsidRPr="00B21FAC">
        <w:rPr>
          <w:i/>
          <w:iCs/>
        </w:rPr>
        <w:t>de facto</w:t>
      </w:r>
      <w:r w:rsidRPr="00B21FAC">
        <w:t>) de vrouw) valt op vandaag nog moeilijk te verrechtvaardigen en strijdt met de doelstelling om de tewerkstellingsgraad te verhogen. Bovendien is het voordeel van het huwelijksquotiënt groter naarmate het inkomen van de (meest) verdienende partner in de hogere marginale belastingschijven valt.</w:t>
      </w:r>
    </w:p>
    <w:p w14:paraId="04B5C5D2" w14:textId="77777777" w:rsidR="00B67995" w:rsidRPr="00B21FAC" w:rsidRDefault="00B67995" w:rsidP="00BA7E3E">
      <w:pPr>
        <w:spacing w:after="0"/>
        <w:ind w:left="709"/>
        <w:jc w:val="both"/>
      </w:pPr>
    </w:p>
    <w:p w14:paraId="664EA26A" w14:textId="77777777" w:rsidR="00422190" w:rsidRDefault="00CA5812" w:rsidP="00BA7E3E">
      <w:pPr>
        <w:spacing w:after="0"/>
        <w:ind w:left="709"/>
        <w:jc w:val="both"/>
      </w:pPr>
      <w:r w:rsidRPr="00B21FAC">
        <w:t xml:space="preserve">Een en ander verhindert niet dat </w:t>
      </w:r>
      <w:r w:rsidR="00890631">
        <w:t xml:space="preserve">er op bijzondere wijze rekening </w:t>
      </w:r>
      <w:r w:rsidR="00890631" w:rsidRPr="00AF12C8">
        <w:rPr>
          <w:u w:val="single"/>
        </w:rPr>
        <w:t>kan</w:t>
      </w:r>
      <w:r w:rsidR="00890631">
        <w:t xml:space="preserve"> worden gehouden met de situatie waarbij </w:t>
      </w:r>
      <w:r w:rsidR="00D57ED1">
        <w:t xml:space="preserve">één van de partners geen inkomen of slechts een zeer bescheiden inkomen heeft. </w:t>
      </w:r>
      <w:r w:rsidR="00490B2A">
        <w:t xml:space="preserve">Een dergelijke situatie verrechtvaardigt een zogenaamde partnertoeslag, waarmee meteen een gelijkheid wordt nagestreefd </w:t>
      </w:r>
      <w:r w:rsidR="00FC3B2C">
        <w:t xml:space="preserve">met de werkelijk alleenstaande </w:t>
      </w:r>
      <w:r w:rsidR="004557A0">
        <w:t xml:space="preserve">die samenwoont met </w:t>
      </w:r>
      <w:r w:rsidR="00422190">
        <w:t xml:space="preserve">personen of kinderen ten laste. </w:t>
      </w:r>
    </w:p>
    <w:p w14:paraId="2BF915BB" w14:textId="77777777" w:rsidR="00422190" w:rsidRDefault="00422190" w:rsidP="00BA7E3E">
      <w:pPr>
        <w:spacing w:after="0"/>
        <w:ind w:left="709"/>
        <w:jc w:val="both"/>
      </w:pPr>
    </w:p>
    <w:p w14:paraId="7FD1F8A1" w14:textId="716E241E" w:rsidR="00CA5812" w:rsidRPr="00B21FAC" w:rsidRDefault="00422190" w:rsidP="00BA7E3E">
      <w:pPr>
        <w:spacing w:after="0"/>
        <w:ind w:left="709"/>
        <w:jc w:val="both"/>
      </w:pPr>
      <w:r>
        <w:t>Er kan overwogen worden om de partnertoeslag</w:t>
      </w:r>
      <w:r w:rsidR="00CA5812" w:rsidRPr="00B21FAC">
        <w:t xml:space="preserve"> uitsluitend voor te behouden aan echtgenoten/wettelijk samenwonenden vanuit de redenering dat zij de wettelijke verplichting hebben om elkaar (ook financieel) te ondersteunen (zie verder in deze nota voor nadere duiding).</w:t>
      </w:r>
    </w:p>
    <w:p w14:paraId="67FFE58A" w14:textId="77777777" w:rsidR="00B67995" w:rsidRPr="00B21FAC" w:rsidRDefault="00B67995" w:rsidP="00BA7E3E">
      <w:pPr>
        <w:spacing w:after="0"/>
        <w:jc w:val="both"/>
      </w:pPr>
    </w:p>
    <w:p w14:paraId="353C3A6A" w14:textId="15BB03D5" w:rsidR="00CA5812" w:rsidRPr="00B21FAC" w:rsidRDefault="00CA5812" w:rsidP="00BA7E3E">
      <w:pPr>
        <w:spacing w:after="0"/>
        <w:jc w:val="both"/>
      </w:pPr>
      <w:r w:rsidRPr="00B21FAC">
        <w:t xml:space="preserve">Teneinde dit nieuwe stelsel praktisch te implementeren, moet bijzondere aandacht besteed worden aan de wijze van heffing. </w:t>
      </w:r>
      <w:r w:rsidR="00E34386">
        <w:t>Voor zover</w:t>
      </w:r>
      <w:r w:rsidR="00E34386" w:rsidRPr="00B21FAC">
        <w:t xml:space="preserve"> </w:t>
      </w:r>
      <w:r w:rsidRPr="00B21FAC">
        <w:t xml:space="preserve">het stelsel van de </w:t>
      </w:r>
      <w:r w:rsidRPr="00B21FAC">
        <w:rPr>
          <w:b/>
          <w:bCs/>
          <w:u w:val="single"/>
        </w:rPr>
        <w:t>gemeenschappelijke aanslagen</w:t>
      </w:r>
      <w:r w:rsidRPr="00B21FAC">
        <w:t xml:space="preserve"> </w:t>
      </w:r>
      <w:r w:rsidR="00E34386">
        <w:t>zou</w:t>
      </w:r>
      <w:r w:rsidR="00E34386" w:rsidRPr="00B21FAC">
        <w:t xml:space="preserve"> </w:t>
      </w:r>
      <w:r w:rsidRPr="00B21FAC">
        <w:t xml:space="preserve">gehandhaafd blijven, is het aangewezen om in de wet te expliciteren dat de gebeurlijke vestiging van </w:t>
      </w:r>
      <w:r w:rsidRPr="00B21FAC">
        <w:rPr>
          <w:b/>
          <w:bCs/>
          <w:u w:val="single"/>
        </w:rPr>
        <w:t>afzonderlijke aanslagen</w:t>
      </w:r>
      <w:r w:rsidRPr="00B21FAC">
        <w:t xml:space="preserve"> geen afbreuk kan doen aan de kwalificatie als ‘partner’. Het vestigen van gemeenschappelijke aanslagen in hoofde van feitelijk samenwonenden zou dus hoogstens een optiestelsel worden, waarbij </w:t>
      </w:r>
      <w:r w:rsidR="003B506A">
        <w:t>bepaalde</w:t>
      </w:r>
      <w:r w:rsidR="003B506A" w:rsidRPr="00B21FAC">
        <w:t xml:space="preserve"> </w:t>
      </w:r>
      <w:r w:rsidRPr="00B21FAC">
        <w:t xml:space="preserve">feitelijk samenwonenden zelf te kennen </w:t>
      </w:r>
      <w:r w:rsidR="003B506A">
        <w:t>kunnen</w:t>
      </w:r>
      <w:r w:rsidR="003B506A" w:rsidRPr="00B21FAC">
        <w:t xml:space="preserve"> </w:t>
      </w:r>
      <w:r w:rsidRPr="00B21FAC">
        <w:t xml:space="preserve">geven of zij een dergelijke gemeenschappelijke aanslag (en aangifte) wensen (zie hierna). </w:t>
      </w:r>
      <w:r w:rsidR="00906CD7">
        <w:t xml:space="preserve">Het is natuurlijk maar al te zeer de vraag of de introductie van een dergelijk optiestelsel </w:t>
      </w:r>
      <w:r w:rsidR="00497136">
        <w:t>vanuit</w:t>
      </w:r>
      <w:r w:rsidR="00622D41">
        <w:t xml:space="preserve"> administratief </w:t>
      </w:r>
      <w:r w:rsidR="00497136">
        <w:t>oogpunt haalbaar</w:t>
      </w:r>
      <w:r w:rsidR="00622D41">
        <w:t xml:space="preserve"> is en niet zou leiden tot een bijkomende complexiteit.</w:t>
      </w:r>
    </w:p>
    <w:p w14:paraId="60770DD7" w14:textId="77777777" w:rsidR="00B67995" w:rsidRPr="00B21FAC" w:rsidRDefault="00B67995" w:rsidP="00BA7E3E">
      <w:pPr>
        <w:spacing w:after="0"/>
        <w:jc w:val="both"/>
      </w:pPr>
    </w:p>
    <w:p w14:paraId="6299CD25" w14:textId="12065EF3" w:rsidR="00CA5812" w:rsidRPr="00B21FAC" w:rsidRDefault="00CA5812" w:rsidP="00BA7E3E">
      <w:pPr>
        <w:spacing w:after="0"/>
        <w:jc w:val="both"/>
      </w:pPr>
      <w:r w:rsidRPr="00B21FAC">
        <w:t>Een dergelijke benadering</w:t>
      </w:r>
      <w:r w:rsidR="005649EF">
        <w:t>, met in voorkomend geval het behoud van de gemeenschappelijke aanslagen</w:t>
      </w:r>
      <w:r w:rsidR="002845B8">
        <w:t xml:space="preserve"> in hoofde van gehuwden en wettelijk samenwonenden</w:t>
      </w:r>
      <w:r w:rsidR="005649EF">
        <w:t>,</w:t>
      </w:r>
      <w:r w:rsidRPr="00B21FAC">
        <w:t xml:space="preserve"> biedt het voordeel dat:</w:t>
      </w:r>
    </w:p>
    <w:p w14:paraId="41600013" w14:textId="77777777" w:rsidR="00CA5812" w:rsidRPr="00B21FAC" w:rsidRDefault="00CA5812" w:rsidP="00BA7E3E">
      <w:pPr>
        <w:numPr>
          <w:ilvl w:val="0"/>
          <w:numId w:val="26"/>
        </w:numPr>
        <w:spacing w:after="0"/>
        <w:jc w:val="both"/>
      </w:pPr>
      <w:r w:rsidRPr="00B21FAC">
        <w:t>het niet in eerste instantie aan de fiscale administratie toekomt om de feitelijk samenwonenden te detecteren teneinde na te gaan of van meet af aan in hun hoofde gemeenschappelijke aanslagen zouden moeten gevestigd worden;</w:t>
      </w:r>
    </w:p>
    <w:p w14:paraId="1AEFA781" w14:textId="428EBE19" w:rsidR="00CA5812" w:rsidRPr="00B21FAC" w:rsidRDefault="00CA5812" w:rsidP="00BA7E3E">
      <w:pPr>
        <w:numPr>
          <w:ilvl w:val="0"/>
          <w:numId w:val="26"/>
        </w:numPr>
        <w:spacing w:after="0"/>
        <w:jc w:val="both"/>
      </w:pPr>
      <w:r w:rsidRPr="00B21FAC">
        <w:t xml:space="preserve">het praktisch probleem om </w:t>
      </w:r>
      <w:r w:rsidR="001B7AF2">
        <w:t xml:space="preserve">gebeurlijk </w:t>
      </w:r>
      <w:r w:rsidRPr="00B21FAC">
        <w:t>gemeenschappelijke aanslagen te vestigen</w:t>
      </w:r>
      <w:r w:rsidR="001B7AF2">
        <w:t xml:space="preserve"> in hoofde van </w:t>
      </w:r>
      <w:r w:rsidRPr="00B21FAC">
        <w:t xml:space="preserve">meer dan 2 personen </w:t>
      </w:r>
      <w:r w:rsidR="001B7AF2">
        <w:t xml:space="preserve">die </w:t>
      </w:r>
      <w:r w:rsidRPr="00B21FAC">
        <w:t>feitelijk samenwonen, zich niet stelt.</w:t>
      </w:r>
    </w:p>
    <w:p w14:paraId="074B9BA9" w14:textId="77777777" w:rsidR="00F45DD2" w:rsidRPr="00B21FAC" w:rsidRDefault="00F45DD2" w:rsidP="00BA7E3E">
      <w:pPr>
        <w:spacing w:after="0"/>
        <w:jc w:val="both"/>
      </w:pPr>
    </w:p>
    <w:p w14:paraId="01F17B13" w14:textId="77777777" w:rsidR="00F0766A" w:rsidRDefault="00CA5812" w:rsidP="00BA7E3E">
      <w:pPr>
        <w:spacing w:after="0"/>
        <w:jc w:val="both"/>
      </w:pPr>
      <w:r w:rsidRPr="00B21FAC">
        <w:t xml:space="preserve">Het stelsel van de afzonderlijke aanslagen t.o.v. de feitelijk samenwonenden en de wens om de samenlevingsvormen zo neutraal als mogelijk te behandelen, impliceert uiteraard wel een verdere individualisering </w:t>
      </w:r>
      <w:r w:rsidRPr="004E1BD4">
        <w:t xml:space="preserve">van de </w:t>
      </w:r>
      <w:r w:rsidR="00B46C75" w:rsidRPr="004E1BD4">
        <w:t>belasting</w:t>
      </w:r>
      <w:r w:rsidR="00B46C75">
        <w:t>berekening</w:t>
      </w:r>
      <w:r w:rsidRPr="004E1BD4">
        <w:t xml:space="preserve">. Dit lijkt op zich niet zeer problematisch, gelet op de thans bestaande doorgedreven decumulregeling. </w:t>
      </w:r>
    </w:p>
    <w:p w14:paraId="71929993" w14:textId="09AC3C89" w:rsidR="00A2539D" w:rsidRPr="004E1BD4" w:rsidRDefault="00E5317D" w:rsidP="00BA7E3E">
      <w:pPr>
        <w:spacing w:after="0"/>
        <w:jc w:val="both"/>
      </w:pPr>
      <w:r w:rsidRPr="00BA7E3E">
        <w:rPr>
          <w:u w:val="single"/>
        </w:rPr>
        <w:t>PM:</w:t>
      </w:r>
      <w:r w:rsidRPr="004E1BD4">
        <w:t xml:space="preserve"> </w:t>
      </w:r>
      <w:r w:rsidR="00E37416" w:rsidRPr="00BA7E3E">
        <w:t>Wat die decumulregeling betreft, kan wel worden opgemerkt dat deze</w:t>
      </w:r>
      <w:r w:rsidRPr="00BA7E3E">
        <w:t xml:space="preserve">, wat de beroepsinkomsten betreft, geen </w:t>
      </w:r>
      <w:r w:rsidR="00E37416" w:rsidRPr="00BA7E3E">
        <w:t>rekening houdt met het gekozen huwelijksvermogensstelsel</w:t>
      </w:r>
      <w:r w:rsidR="004E1BD4" w:rsidRPr="00BA7E3E">
        <w:t>.</w:t>
      </w:r>
    </w:p>
    <w:p w14:paraId="0C640374" w14:textId="77777777" w:rsidR="00E5317D" w:rsidRPr="004E1BD4" w:rsidRDefault="00E5317D" w:rsidP="00BA7E3E">
      <w:pPr>
        <w:spacing w:after="0"/>
        <w:jc w:val="both"/>
      </w:pPr>
    </w:p>
    <w:p w14:paraId="76F9C817" w14:textId="7086A66B" w:rsidR="00CA5812" w:rsidRPr="00B21FAC" w:rsidRDefault="00CA5812" w:rsidP="00BA7E3E">
      <w:pPr>
        <w:spacing w:after="0"/>
        <w:jc w:val="both"/>
      </w:pPr>
      <w:r w:rsidRPr="00B21FAC">
        <w:t xml:space="preserve">Een aantal ‘overhevelingsmechanismes’ (zoals bv. voor de verliezen) zouden wel verdwijnen. Het enige verschil tussen de ‘afzonderlijke’ aanslag en de </w:t>
      </w:r>
      <w:r w:rsidR="00B14A8A">
        <w:t xml:space="preserve">(gebeurlijke) </w:t>
      </w:r>
      <w:r w:rsidRPr="00B21FAC">
        <w:t>‘gemeenschappelijke’ aanslag zou dan ook betrekking hebben op het lot van de belastingkredieten (zie verder).</w:t>
      </w:r>
    </w:p>
    <w:p w14:paraId="677E1E74" w14:textId="5661FC27" w:rsidR="00CA5812" w:rsidRPr="00B21FAC" w:rsidRDefault="00CA5812" w:rsidP="00BA7E3E">
      <w:pPr>
        <w:spacing w:after="0"/>
        <w:jc w:val="both"/>
      </w:pPr>
      <w:r w:rsidRPr="00B21FAC">
        <w:rPr>
          <w:u w:val="single"/>
        </w:rPr>
        <w:t>PM:</w:t>
      </w:r>
      <w:r w:rsidRPr="00B21FAC">
        <w:t xml:space="preserve"> Een alternatief zou erin kunnen bestaan deze ‘overhevelingsmechanismen’ nog uitsluitend voor te behouden in het geval van een gemeenschappelijke aanslag (waartoe de feitelijk samenwonenden dan optioneel kunnen toetreden). Het probleem bij het aanbieden van een dergelijk optioneel stelsel is dat maatschappelijk zwakkeren vaak niet weten welk alternatief voor hen het meest gunstig is. Dit laatste kan weliswaar opgevangen worden door de administratie te verplichten de meest gunstige berekening uit te voeren. Dit leidt echter opnieuw tot een toename van de administratieve verwerkingslast. Om deze reden wordt (bij wijze van werkhypothese) uitgegaan van het principe dat de bestaande overhevelingsmechanismen grotendeels zouden verdwijnen. </w:t>
      </w:r>
    </w:p>
    <w:p w14:paraId="6C632AF8" w14:textId="77777777" w:rsidR="00CA5812" w:rsidRPr="00B21FAC" w:rsidRDefault="00CA5812" w:rsidP="00BA7E3E">
      <w:pPr>
        <w:spacing w:after="0"/>
        <w:jc w:val="both"/>
      </w:pPr>
    </w:p>
    <w:p w14:paraId="33745C56" w14:textId="2559E432" w:rsidR="00CA5812" w:rsidRPr="00B21FAC" w:rsidRDefault="00CA5812" w:rsidP="00BA7E3E">
      <w:pPr>
        <w:spacing w:after="0"/>
        <w:jc w:val="both"/>
      </w:pPr>
      <w:r w:rsidRPr="00B21FAC">
        <w:t>Gelet op de fundamentele wijzigingen, rijst uiteraard de vraag in welke mate eventuele overgangsstelsels moeten worden ingebouwd, inzonderheid t.a.v. toeslagen op de belastingvrije sommen.</w:t>
      </w:r>
    </w:p>
    <w:p w14:paraId="049416BA" w14:textId="4525FEFD" w:rsidR="00DB589D" w:rsidRDefault="00DB589D">
      <w:r>
        <w:br w:type="page"/>
      </w:r>
    </w:p>
    <w:p w14:paraId="5DB3FF55" w14:textId="77777777" w:rsidR="00AE6EF9" w:rsidRPr="00B21FAC" w:rsidRDefault="00AE6EF9" w:rsidP="00BA7E3E">
      <w:pPr>
        <w:spacing w:after="0"/>
        <w:jc w:val="both"/>
      </w:pPr>
    </w:p>
    <w:p w14:paraId="12072CFB" w14:textId="77777777" w:rsidR="00CA5812" w:rsidRPr="00B21FAC" w:rsidRDefault="00CA5812" w:rsidP="00BA7E3E">
      <w:pPr>
        <w:spacing w:after="0"/>
        <w:jc w:val="both"/>
      </w:pPr>
      <w:r w:rsidRPr="00B21FAC">
        <w:t>In essentie zijn er drie mogelijke scenario’s:</w:t>
      </w:r>
    </w:p>
    <w:p w14:paraId="38555594" w14:textId="4BCA84CC" w:rsidR="00CA5812" w:rsidRPr="00B21FAC" w:rsidRDefault="005B0DC6" w:rsidP="00BA7E3E">
      <w:pPr>
        <w:numPr>
          <w:ilvl w:val="0"/>
          <w:numId w:val="28"/>
        </w:numPr>
        <w:spacing w:after="0"/>
        <w:jc w:val="both"/>
      </w:pPr>
      <w:r>
        <w:t>h</w:t>
      </w:r>
      <w:r w:rsidR="00CA5812" w:rsidRPr="00B21FAC">
        <w:t>et nieuwe stelsel treedt onmiddellijk in werking en is dus meteen en ten volle van toepassing t.a.v. alle kinderen/personen ten laste;</w:t>
      </w:r>
    </w:p>
    <w:p w14:paraId="3CC0D1AD" w14:textId="33555742" w:rsidR="00CA5812" w:rsidRPr="00B21FAC" w:rsidRDefault="005B0DC6" w:rsidP="00BA7E3E">
      <w:pPr>
        <w:numPr>
          <w:ilvl w:val="0"/>
          <w:numId w:val="28"/>
        </w:numPr>
        <w:spacing w:after="0"/>
        <w:jc w:val="both"/>
      </w:pPr>
      <w:r>
        <w:t>e</w:t>
      </w:r>
      <w:r w:rsidR="00CA5812" w:rsidRPr="00B21FAC">
        <w:t>r wordt een (in de tijd beperkt) overgangsstelsel voorzien waarbij de ‘oude’ toeslagen (voor zover deze voordeliger zijn) gradueel worden afgebouwd totdat deze op het niveau komen van de ‘nieuwe’ toeslagen;</w:t>
      </w:r>
    </w:p>
    <w:p w14:paraId="4C38BB8E" w14:textId="6C014DF3" w:rsidR="00CA5812" w:rsidRPr="00B21FAC" w:rsidRDefault="005B0DC6" w:rsidP="00BA7E3E">
      <w:pPr>
        <w:numPr>
          <w:ilvl w:val="0"/>
          <w:numId w:val="28"/>
        </w:numPr>
        <w:spacing w:after="0"/>
        <w:jc w:val="both"/>
      </w:pPr>
      <w:r>
        <w:t>h</w:t>
      </w:r>
      <w:r w:rsidR="00CA5812" w:rsidRPr="00B21FAC">
        <w:t>et nieuwe stelsel is uitsluitend van toepassing op kinderen en/of personen ten laste die pas na een bepaalde datum van inwerkingtreding effectief ten laste vallen van een bepaalde belastingplichtige. De kinderen/personen die voorheen reeds ten laste waren, zouden dus recht blijven geven op de reeds bestaande toeslagen. Bij het uitwerken van een dergelijk stelsel rijst de vraag of in voorkomend geval een ‘opt-in’ moet voorzien</w:t>
      </w:r>
      <w:r>
        <w:t xml:space="preserve"> worden</w:t>
      </w:r>
      <w:r w:rsidR="00CA5812" w:rsidRPr="00B21FAC">
        <w:t xml:space="preserve"> zodat belastingplichtigen er voor kunnen opteren om alle toeslagen onder het nieuwe stelsel te brengen.</w:t>
      </w:r>
    </w:p>
    <w:p w14:paraId="34308DAA" w14:textId="5A944D4D" w:rsidR="00301FF2" w:rsidRDefault="00301FF2">
      <w:r>
        <w:br w:type="page"/>
      </w:r>
    </w:p>
    <w:p w14:paraId="06666EB9" w14:textId="77777777" w:rsidR="00CA5812" w:rsidRPr="00B21FAC" w:rsidRDefault="00CA5812" w:rsidP="00BA7E3E">
      <w:pPr>
        <w:spacing w:after="0"/>
        <w:jc w:val="both"/>
      </w:pPr>
    </w:p>
    <w:p w14:paraId="56495DB6" w14:textId="77777777" w:rsidR="00AE6EF9" w:rsidRPr="00B21FAC" w:rsidRDefault="00AE6EF9" w:rsidP="00BA7E3E">
      <w:pPr>
        <w:spacing w:after="0"/>
        <w:jc w:val="both"/>
      </w:pPr>
    </w:p>
    <w:p w14:paraId="46340095" w14:textId="0F8C315A" w:rsidR="00CA5812" w:rsidRPr="00B21FAC" w:rsidRDefault="00CA5812" w:rsidP="00275FEB">
      <w:pPr>
        <w:pStyle w:val="Kop2"/>
        <w:numPr>
          <w:ilvl w:val="0"/>
          <w:numId w:val="47"/>
        </w:numPr>
      </w:pPr>
      <w:bookmarkStart w:id="157" w:name="_Toc107210895"/>
      <w:r w:rsidRPr="00B21FAC">
        <w:t>Aangifte en aanslag</w:t>
      </w:r>
      <w:bookmarkEnd w:id="157"/>
    </w:p>
    <w:p w14:paraId="14EAABE1" w14:textId="77777777" w:rsidR="00AE6EF9" w:rsidRPr="00B21FAC" w:rsidRDefault="00AE6EF9" w:rsidP="00BA7E3E">
      <w:pPr>
        <w:spacing w:after="0"/>
        <w:jc w:val="both"/>
        <w:rPr>
          <w:u w:val="single"/>
        </w:rPr>
      </w:pPr>
    </w:p>
    <w:p w14:paraId="20E8AAEE" w14:textId="77777777" w:rsidR="00AE6EF9" w:rsidRPr="00B21FAC" w:rsidRDefault="00AE6EF9" w:rsidP="00BA7E3E">
      <w:pPr>
        <w:spacing w:after="0"/>
        <w:jc w:val="both"/>
        <w:rPr>
          <w:u w:val="single"/>
        </w:rPr>
      </w:pPr>
    </w:p>
    <w:p w14:paraId="04A74BB4" w14:textId="48431543" w:rsidR="00F073F7" w:rsidRDefault="00C35A7E" w:rsidP="00EB617B">
      <w:pPr>
        <w:spacing w:after="0"/>
        <w:jc w:val="both"/>
      </w:pPr>
      <w:r w:rsidRPr="00BA7E3E">
        <w:rPr>
          <w:b/>
          <w:bCs/>
        </w:rPr>
        <w:t>Voorstel</w:t>
      </w:r>
      <w:r w:rsidRPr="00BA7E3E">
        <w:t xml:space="preserve"> – </w:t>
      </w:r>
      <w:r w:rsidR="007F3667">
        <w:t>Er kan overwogen worden om over te stappen naar een geïndiv</w:t>
      </w:r>
      <w:r w:rsidR="00782138">
        <w:t>id</w:t>
      </w:r>
      <w:r w:rsidR="007F3667">
        <w:t>ualiseerde belastingheffing waarbij het onderscheid tussen afzonderlijke en gemeenschappelijke aanslagen zou verdwijnen</w:t>
      </w:r>
      <w:r w:rsidR="00C43541">
        <w:t>.</w:t>
      </w:r>
      <w:r w:rsidR="007F3667">
        <w:t xml:space="preserve"> </w:t>
      </w:r>
      <w:r w:rsidR="000558E2">
        <w:t xml:space="preserve">Voor zover het stelsel van de gemeenschappelijke aanslagen behouden zou blijven in hoofde van gehuwden en wettelijk samenwonenden, </w:t>
      </w:r>
      <w:r w:rsidR="00893410">
        <w:t xml:space="preserve">wordt </w:t>
      </w:r>
      <w:r w:rsidR="00C43541">
        <w:t>in ieder geval</w:t>
      </w:r>
      <w:r w:rsidR="0052683D">
        <w:t xml:space="preserve"> </w:t>
      </w:r>
      <w:r w:rsidR="004B5ACC">
        <w:t xml:space="preserve">best </w:t>
      </w:r>
      <w:r w:rsidR="0052683D">
        <w:t>blijven</w:t>
      </w:r>
      <w:r w:rsidR="00893410">
        <w:t>d</w:t>
      </w:r>
      <w:r w:rsidR="0052683D">
        <w:t xml:space="preserve"> uitgegaan van een</w:t>
      </w:r>
      <w:r w:rsidR="00A30BB2">
        <w:t xml:space="preserve"> afzonderlijke aangifte en aanslag </w:t>
      </w:r>
      <w:r w:rsidR="00AA4EEC">
        <w:t>t.a.v. feitelijk samenwonenden</w:t>
      </w:r>
      <w:r w:rsidR="00E677A9">
        <w:t>.</w:t>
      </w:r>
    </w:p>
    <w:p w14:paraId="7C87F0A1" w14:textId="77777777" w:rsidR="00EB617B" w:rsidRDefault="00EB617B" w:rsidP="00EB617B">
      <w:pPr>
        <w:spacing w:after="0"/>
        <w:jc w:val="both"/>
      </w:pPr>
    </w:p>
    <w:p w14:paraId="11F06DC5" w14:textId="4138C369" w:rsidR="00C6086D" w:rsidRPr="00BA7E3E" w:rsidRDefault="00C6086D" w:rsidP="00F073F7">
      <w:pPr>
        <w:spacing w:after="0"/>
        <w:jc w:val="both"/>
        <w:rPr>
          <w:u w:val="single"/>
        </w:rPr>
      </w:pPr>
      <w:r w:rsidRPr="00BA7E3E">
        <w:rPr>
          <w:u w:val="single"/>
        </w:rPr>
        <w:t>Toelichting:</w:t>
      </w:r>
    </w:p>
    <w:p w14:paraId="39AD579E" w14:textId="0996AB5F" w:rsidR="00C6086D" w:rsidRDefault="00C6086D" w:rsidP="00F073F7">
      <w:pPr>
        <w:spacing w:after="0"/>
        <w:jc w:val="both"/>
      </w:pPr>
    </w:p>
    <w:p w14:paraId="743901A6" w14:textId="6DDC3332" w:rsidR="00C6086D" w:rsidRDefault="00BD2A92" w:rsidP="00F073F7">
      <w:pPr>
        <w:spacing w:after="0"/>
        <w:jc w:val="both"/>
      </w:pPr>
      <w:r>
        <w:t xml:space="preserve">De huidige </w:t>
      </w:r>
      <w:r w:rsidR="0087552E">
        <w:t xml:space="preserve">aangifte- en </w:t>
      </w:r>
      <w:r>
        <w:t>vestigingsmodaliteit</w:t>
      </w:r>
      <w:r w:rsidR="004C2DC7">
        <w:t xml:space="preserve">en </w:t>
      </w:r>
      <w:r>
        <w:t>maken een onderscheid tussen ‘wettelijk samenwonenden en gehuwden’ enerzijds en ‘feitelijk samenwonenden en werkelijk alleenstaanden’ anderzijds. De laatste categorie (met inbegrip dus van de feitelijk samenwonenden) kwalificeert op heden als een fiscaal alleenstaande.</w:t>
      </w:r>
    </w:p>
    <w:p w14:paraId="1F95F86D" w14:textId="582184C4" w:rsidR="00C6086D" w:rsidRDefault="00C6086D" w:rsidP="00F073F7">
      <w:pPr>
        <w:spacing w:after="0"/>
        <w:jc w:val="both"/>
      </w:pPr>
    </w:p>
    <w:p w14:paraId="18EF2BC6" w14:textId="509385A1" w:rsidR="00C6086D" w:rsidRDefault="000949C5" w:rsidP="00F073F7">
      <w:pPr>
        <w:spacing w:after="0"/>
        <w:jc w:val="both"/>
      </w:pPr>
      <w:r>
        <w:t xml:space="preserve">Vanuit de opzet (i) de samenlevingsvormen zo neutraal als mogelijk te behandelen en (ii) de werkelijk alleenstaande het recht te verlenen op een hogere </w:t>
      </w:r>
      <w:r w:rsidR="002A5F1A">
        <w:t>belastingvrije som</w:t>
      </w:r>
      <w:r>
        <w:t>, is het van b</w:t>
      </w:r>
      <w:r w:rsidR="00966565">
        <w:t xml:space="preserve">elang om </w:t>
      </w:r>
      <w:r w:rsidR="007F4668">
        <w:t>de aangifte</w:t>
      </w:r>
      <w:r w:rsidR="001C3E5E">
        <w:t>verplichtingen en vestigingsmodaliteiten hierop af te stemmen.</w:t>
      </w:r>
    </w:p>
    <w:p w14:paraId="71C1E366" w14:textId="46887E61" w:rsidR="001C3E5E" w:rsidRDefault="001C3E5E" w:rsidP="00F073F7">
      <w:pPr>
        <w:spacing w:after="0"/>
        <w:jc w:val="both"/>
      </w:pPr>
    </w:p>
    <w:p w14:paraId="7D65227B" w14:textId="589DA09B" w:rsidR="001F74EF" w:rsidRDefault="001F74EF" w:rsidP="00F073F7">
      <w:pPr>
        <w:spacing w:after="0"/>
        <w:jc w:val="both"/>
      </w:pPr>
      <w:r>
        <w:t xml:space="preserve">Daarbij kan desgevallend overwogen worden om de belastingheffing geïndividualiseerd </w:t>
      </w:r>
      <w:r w:rsidR="003D6405">
        <w:t>te maken.</w:t>
      </w:r>
    </w:p>
    <w:p w14:paraId="38E6626F" w14:textId="77777777" w:rsidR="001F74EF" w:rsidRDefault="001F74EF" w:rsidP="00F073F7">
      <w:pPr>
        <w:spacing w:after="0"/>
        <w:jc w:val="both"/>
      </w:pPr>
    </w:p>
    <w:p w14:paraId="1E6111D8" w14:textId="77DE9777" w:rsidR="00EB617B" w:rsidRPr="00EB617B" w:rsidRDefault="003D6405" w:rsidP="00EB617B">
      <w:pPr>
        <w:spacing w:after="0"/>
        <w:jc w:val="both"/>
      </w:pPr>
      <w:r>
        <w:t xml:space="preserve">Voor </w:t>
      </w:r>
      <w:r w:rsidR="006F16A8">
        <w:t xml:space="preserve">zover </w:t>
      </w:r>
      <w:r>
        <w:t xml:space="preserve">het stelsel van de gemeenschappelijke </w:t>
      </w:r>
      <w:r w:rsidR="00FF2F87">
        <w:t xml:space="preserve">aangifte en </w:t>
      </w:r>
      <w:r>
        <w:t>aanslag toch behouden zou blijven, lijkt het o</w:t>
      </w:r>
      <w:r w:rsidR="00E90B80">
        <w:t xml:space="preserve">mwille van pragmatische en administratieve redenen </w:t>
      </w:r>
      <w:r>
        <w:t xml:space="preserve">in ieder geval </w:t>
      </w:r>
      <w:r w:rsidR="00E90B80">
        <w:t xml:space="preserve">het meest evident om </w:t>
      </w:r>
      <w:r w:rsidR="00F25C14">
        <w:t>blijvend voorop te stellen dat e</w:t>
      </w:r>
      <w:r w:rsidR="00CA5812" w:rsidRPr="00B21FAC">
        <w:t xml:space="preserve">lke andere belastingplichtige dan een gehuwde of wettelijk samenwonende in principe een afzonderlijke aangifte </w:t>
      </w:r>
      <w:r w:rsidR="00F25C14">
        <w:t xml:space="preserve">moet indienen </w:t>
      </w:r>
      <w:r w:rsidR="00CA5812" w:rsidRPr="00B21FAC">
        <w:t>(of afzonderlijk een voorstel van vereenvoudigde aangifte</w:t>
      </w:r>
      <w:r w:rsidR="00F25C14">
        <w:t xml:space="preserve"> ontvangt</w:t>
      </w:r>
      <w:r w:rsidR="00CA5812" w:rsidRPr="00B21FAC">
        <w:t>)</w:t>
      </w:r>
      <w:r w:rsidR="00F25C14">
        <w:t xml:space="preserve">. </w:t>
      </w:r>
      <w:r w:rsidR="00EB617B">
        <w:t>Daarbij kan desgevallend wel</w:t>
      </w:r>
      <w:r w:rsidR="00EB617B" w:rsidRPr="00EB617B">
        <w:t xml:space="preserve"> overwogen worden om </w:t>
      </w:r>
      <w:r w:rsidR="00E02985">
        <w:t>de gemeenschappelijke aangifte en aanslag</w:t>
      </w:r>
      <w:r w:rsidR="00EB617B" w:rsidRPr="00EB617B">
        <w:t xml:space="preserve"> optioneel te voorzien in hoofde van </w:t>
      </w:r>
      <w:r w:rsidR="00AA4EEC">
        <w:t xml:space="preserve">bepaalde </w:t>
      </w:r>
      <w:r w:rsidR="00EB617B" w:rsidRPr="00EB617B">
        <w:t xml:space="preserve">‘feitelijk samenwonenden’ (zie hierover reeds supra). </w:t>
      </w:r>
      <w:r w:rsidR="00970789">
        <w:t>Een vereiste is dan wel dat e.e.a. administratief beheersbaar blijft.</w:t>
      </w:r>
    </w:p>
    <w:p w14:paraId="3C76BD89" w14:textId="77777777" w:rsidR="00B4496E" w:rsidRPr="00B21FAC" w:rsidRDefault="00B4496E" w:rsidP="00BA7E3E">
      <w:pPr>
        <w:spacing w:after="0"/>
        <w:jc w:val="both"/>
      </w:pPr>
    </w:p>
    <w:p w14:paraId="6A8EE8C6" w14:textId="31659A08" w:rsidR="00CA5812" w:rsidRPr="00B21FAC" w:rsidRDefault="3683CD98" w:rsidP="00BA7E3E">
      <w:pPr>
        <w:spacing w:after="0"/>
        <w:jc w:val="both"/>
      </w:pPr>
      <w:r w:rsidRPr="00B21FAC">
        <w:t xml:space="preserve">De afzonderlijke aangifte </w:t>
      </w:r>
      <w:r w:rsidR="002406C5">
        <w:t xml:space="preserve">en aanslag </w:t>
      </w:r>
      <w:r w:rsidRPr="00B21FAC">
        <w:t xml:space="preserve">wordt verkozen boven de automatische uitbreiding van de gemeenschappelijke aangifte </w:t>
      </w:r>
      <w:r w:rsidR="002406C5">
        <w:t xml:space="preserve">en aanslag </w:t>
      </w:r>
      <w:r w:rsidRPr="00B21FAC">
        <w:t>naar de feitelijk samenwonenden toe</w:t>
      </w:r>
      <w:r w:rsidR="008360F6">
        <w:t xml:space="preserve"> </w:t>
      </w:r>
      <w:r w:rsidRPr="00B21FAC">
        <w:t xml:space="preserve">(zie reeds </w:t>
      </w:r>
      <w:r w:rsidRPr="00303355">
        <w:rPr>
          <w:i/>
          <w:iCs/>
        </w:rPr>
        <w:t>supra</w:t>
      </w:r>
      <w:r w:rsidRPr="00B21FAC">
        <w:t>).</w:t>
      </w:r>
      <w:r w:rsidR="00B4496E">
        <w:t xml:space="preserve"> </w:t>
      </w:r>
      <w:r w:rsidR="00CA5812" w:rsidRPr="00B21FAC">
        <w:t>De belastingplichtige</w:t>
      </w:r>
      <w:r w:rsidR="005454C2" w:rsidRPr="00B21FAC">
        <w:t>, die een afzonderlijke aangifte ontvangt,</w:t>
      </w:r>
      <w:r w:rsidR="00CA5812" w:rsidRPr="00B21FAC">
        <w:t xml:space="preserve"> moet </w:t>
      </w:r>
      <w:r w:rsidR="00044993">
        <w:t xml:space="preserve">in </w:t>
      </w:r>
      <w:r w:rsidR="00B4496E">
        <w:t xml:space="preserve">voorkomend geval </w:t>
      </w:r>
      <w:r w:rsidR="005454C2" w:rsidRPr="00B21FAC">
        <w:t xml:space="preserve">wel </w:t>
      </w:r>
      <w:r w:rsidR="00CA5812" w:rsidRPr="00B21FAC">
        <w:t>zelf ‘aangeven’ of en desgevallend bewijzen dat hij ‘</w:t>
      </w:r>
      <w:r w:rsidR="005454C2" w:rsidRPr="00B21FAC">
        <w:t xml:space="preserve">werkelijk </w:t>
      </w:r>
      <w:r w:rsidR="00CA5812" w:rsidRPr="00B21FAC">
        <w:t>alleenstaande’ is.</w:t>
      </w:r>
    </w:p>
    <w:p w14:paraId="38D6F930" w14:textId="77777777" w:rsidR="00B4496E" w:rsidRDefault="00B4496E" w:rsidP="00B4496E">
      <w:pPr>
        <w:spacing w:after="0"/>
        <w:jc w:val="both"/>
      </w:pPr>
    </w:p>
    <w:p w14:paraId="0784ECB8" w14:textId="09609695" w:rsidR="00CA5812" w:rsidRPr="00B21FAC" w:rsidRDefault="00B4496E" w:rsidP="00BA7E3E">
      <w:pPr>
        <w:spacing w:after="0"/>
        <w:jc w:val="both"/>
      </w:pPr>
      <w:r>
        <w:t xml:space="preserve">In het licht hiervan dringen zich dan ook </w:t>
      </w:r>
      <w:r w:rsidR="008854CF">
        <w:t>duidelijke d</w:t>
      </w:r>
      <w:r w:rsidR="00CA5812" w:rsidRPr="00B21FAC">
        <w:t xml:space="preserve">efinities en bewijsregels </w:t>
      </w:r>
      <w:r w:rsidR="008854CF">
        <w:t xml:space="preserve">op </w:t>
      </w:r>
      <w:r w:rsidR="00CA5812" w:rsidRPr="00B21FAC">
        <w:t>teneinde het onderscheid te kunnen maken tussen ‘alleenstaanden’ en ‘samenwonenden’</w:t>
      </w:r>
      <w:r w:rsidR="008854CF">
        <w:t>:</w:t>
      </w:r>
    </w:p>
    <w:p w14:paraId="1179FAD4" w14:textId="21D2EAAB" w:rsidR="00CA5812" w:rsidRPr="00B21FAC" w:rsidRDefault="00CA5812" w:rsidP="00BA7E3E">
      <w:pPr>
        <w:numPr>
          <w:ilvl w:val="0"/>
          <w:numId w:val="13"/>
        </w:numPr>
        <w:spacing w:after="0"/>
        <w:jc w:val="both"/>
      </w:pPr>
      <w:r w:rsidRPr="00B21FAC">
        <w:t>Definitie ‘samenwonende’</w:t>
      </w:r>
      <w:r w:rsidR="00F400E7">
        <w:t xml:space="preserve"> –</w:t>
      </w:r>
      <w:r w:rsidRPr="00B21FAC">
        <w:t xml:space="preserve"> moet helder zijn en aangepast aan moderne samenlevingsvormen – inspiratie kan geput worden uit andere wetgeving (cf. bv. VCF: zelfde verblijfplaats + gemeenschappelijke huishouding, gecombineerd met een weerlegbaar vermoeden van partnerschap / in de mate van het mogelijke worden deze definities en bewijsregels gealigneerd met diegene die gelden op het vlak van de sociale zekerheid (o.m. voor wat betreft de toekenning van vervangingsinkomsten aan alleenstaanden)).</w:t>
      </w:r>
    </w:p>
    <w:p w14:paraId="0F986266" w14:textId="045BB925" w:rsidR="00CA5812" w:rsidRPr="00B21FAC" w:rsidRDefault="00CA5812" w:rsidP="00BA7E3E">
      <w:pPr>
        <w:numPr>
          <w:ilvl w:val="0"/>
          <w:numId w:val="13"/>
        </w:numPr>
        <w:spacing w:after="0"/>
        <w:jc w:val="both"/>
      </w:pPr>
      <w:r w:rsidRPr="00B21FAC">
        <w:t xml:space="preserve">Bij het definiëren van de gemeenschappelijke huishouding </w:t>
      </w:r>
      <w:r w:rsidR="008360F6">
        <w:t>kan overwogen worden om</w:t>
      </w:r>
      <w:r w:rsidR="008360F6" w:rsidRPr="00B21FAC">
        <w:t xml:space="preserve"> </w:t>
      </w:r>
      <w:r w:rsidRPr="00B21FAC">
        <w:t>ook de nieuwe samenlevingsvormen (zoals co-housing en kangoeroe-wonen</w:t>
      </w:r>
      <w:r w:rsidR="004378F8">
        <w:t>)</w:t>
      </w:r>
      <w:r w:rsidRPr="00B21FAC">
        <w:t xml:space="preserve"> in aanmerking </w:t>
      </w:r>
      <w:r w:rsidR="004378F8">
        <w:t>te nemen</w:t>
      </w:r>
      <w:r w:rsidRPr="00B21FAC">
        <w:t>;</w:t>
      </w:r>
    </w:p>
    <w:p w14:paraId="64038C30" w14:textId="1BEAEF82" w:rsidR="00CA5812" w:rsidRPr="00B21FAC" w:rsidRDefault="00CA5812" w:rsidP="00BA7E3E">
      <w:pPr>
        <w:numPr>
          <w:ilvl w:val="0"/>
          <w:numId w:val="13"/>
        </w:numPr>
        <w:spacing w:after="0"/>
        <w:jc w:val="both"/>
      </w:pPr>
      <w:r w:rsidRPr="00B21FAC">
        <w:t xml:space="preserve">Hierbij moet wel verduidelijkt worden dat </w:t>
      </w:r>
      <w:r w:rsidR="006C674A" w:rsidRPr="00B21FAC">
        <w:t xml:space="preserve">het samenwonen met </w:t>
      </w:r>
      <w:r w:rsidRPr="00B21FAC">
        <w:t>personen ten laste de kwalificatie als ‘alleenstaande’ niet uitsluit.</w:t>
      </w:r>
    </w:p>
    <w:p w14:paraId="02FD734A" w14:textId="0806C251" w:rsidR="00301FF2" w:rsidRDefault="00301FF2">
      <w:r>
        <w:br w:type="page"/>
      </w:r>
    </w:p>
    <w:p w14:paraId="38FB24CD" w14:textId="6071B668" w:rsidR="00094F47" w:rsidRDefault="00094F47" w:rsidP="00BA7E3E">
      <w:pPr>
        <w:spacing w:after="0"/>
        <w:jc w:val="both"/>
      </w:pPr>
    </w:p>
    <w:p w14:paraId="056FA1C8" w14:textId="77777777" w:rsidR="0043464E" w:rsidRPr="00B21FAC" w:rsidRDefault="0043464E" w:rsidP="00BA7E3E">
      <w:pPr>
        <w:spacing w:after="0"/>
        <w:jc w:val="both"/>
      </w:pPr>
    </w:p>
    <w:p w14:paraId="42CE305A" w14:textId="7294D5E8" w:rsidR="00CA5812" w:rsidRPr="00B21FAC" w:rsidRDefault="00CA5812" w:rsidP="00275FEB">
      <w:pPr>
        <w:pStyle w:val="Kop2"/>
        <w:numPr>
          <w:ilvl w:val="0"/>
          <w:numId w:val="47"/>
        </w:numPr>
      </w:pPr>
      <w:bookmarkStart w:id="158" w:name="_Toc107210896"/>
      <w:r w:rsidRPr="00B21FAC">
        <w:t>Belastingvrije som</w:t>
      </w:r>
      <w:r w:rsidR="00A94115">
        <w:t xml:space="preserve"> - heffingskorting</w:t>
      </w:r>
      <w:bookmarkEnd w:id="158"/>
    </w:p>
    <w:p w14:paraId="2541B672" w14:textId="24949528" w:rsidR="00ED10B6" w:rsidRDefault="00ED10B6" w:rsidP="00BA7E3E">
      <w:pPr>
        <w:spacing w:after="0"/>
        <w:jc w:val="both"/>
        <w:rPr>
          <w:u w:val="single"/>
        </w:rPr>
      </w:pPr>
    </w:p>
    <w:p w14:paraId="732AE2F7" w14:textId="77777777" w:rsidR="00ED10B6" w:rsidRPr="00B21FAC" w:rsidRDefault="00ED10B6" w:rsidP="00BA7E3E">
      <w:pPr>
        <w:spacing w:after="0"/>
        <w:jc w:val="both"/>
        <w:rPr>
          <w:u w:val="single"/>
        </w:rPr>
      </w:pPr>
    </w:p>
    <w:p w14:paraId="50A4C573" w14:textId="71B81253" w:rsidR="00671F57" w:rsidRPr="00B21FAC" w:rsidRDefault="00671F57" w:rsidP="00275FEB">
      <w:pPr>
        <w:pStyle w:val="Kop3"/>
        <w:numPr>
          <w:ilvl w:val="0"/>
          <w:numId w:val="39"/>
        </w:numPr>
      </w:pPr>
      <w:bookmarkStart w:id="159" w:name="_Toc107210897"/>
      <w:r w:rsidRPr="00B21FAC">
        <w:t>Basisbedrag</w:t>
      </w:r>
      <w:bookmarkEnd w:id="159"/>
    </w:p>
    <w:p w14:paraId="11FBD856" w14:textId="77777777" w:rsidR="00671F57" w:rsidRPr="00B21FAC" w:rsidRDefault="00671F57" w:rsidP="00BA7E3E">
      <w:pPr>
        <w:spacing w:after="0"/>
        <w:jc w:val="both"/>
        <w:rPr>
          <w:u w:val="single"/>
        </w:rPr>
      </w:pPr>
    </w:p>
    <w:p w14:paraId="15CA7D22" w14:textId="77777777" w:rsidR="00F503C5" w:rsidRPr="00B21FAC" w:rsidRDefault="00F503C5" w:rsidP="00BA7E3E">
      <w:pPr>
        <w:spacing w:after="0"/>
        <w:jc w:val="both"/>
        <w:rPr>
          <w:u w:val="single"/>
        </w:rPr>
      </w:pPr>
    </w:p>
    <w:p w14:paraId="74FC6BD4" w14:textId="069E2095" w:rsidR="00CA5812" w:rsidRPr="00B21FAC" w:rsidRDefault="00CA5812" w:rsidP="00BA7E3E">
      <w:pPr>
        <w:spacing w:after="0"/>
        <w:jc w:val="both"/>
      </w:pPr>
      <w:r w:rsidRPr="00BA7E3E">
        <w:rPr>
          <w:b/>
          <w:bCs/>
        </w:rPr>
        <w:t>Voorstel</w:t>
      </w:r>
      <w:r w:rsidR="006A00CC" w:rsidRPr="00BA7E3E">
        <w:t xml:space="preserve"> –</w:t>
      </w:r>
      <w:r w:rsidR="006A00CC">
        <w:rPr>
          <w:b/>
          <w:bCs/>
        </w:rPr>
        <w:t xml:space="preserve"> </w:t>
      </w:r>
      <w:r w:rsidR="00F503C5" w:rsidRPr="00B21FAC">
        <w:t>De b</w:t>
      </w:r>
      <w:r w:rsidRPr="00B21FAC">
        <w:t xml:space="preserve">elastingvrije som wordt meer in lijn gebracht met het </w:t>
      </w:r>
      <w:r w:rsidR="008C1AB3">
        <w:t xml:space="preserve">bedrag van het </w:t>
      </w:r>
      <w:r w:rsidRPr="00B21FAC">
        <w:t xml:space="preserve">leefloon van (al naar gelang het geval) alleenstaanden of samenwonenden. </w:t>
      </w:r>
      <w:r w:rsidR="004A28DF">
        <w:t>Budgettaire waakzaamheid is hierbij aangewezen, vermits e</w:t>
      </w:r>
      <w:r w:rsidRPr="00B21FAC">
        <w:t>en dergelijke maatregel een hoge begrotingskost met zich mee</w:t>
      </w:r>
      <w:r w:rsidR="004A28DF">
        <w:t>brengt</w:t>
      </w:r>
      <w:r w:rsidR="00E02E09">
        <w:t>, zeker bij een verdere verhoging van het leefloon</w:t>
      </w:r>
      <w:r w:rsidRPr="00B21FAC">
        <w:t>.</w:t>
      </w:r>
    </w:p>
    <w:p w14:paraId="4FE941B8" w14:textId="77777777" w:rsidR="00F503C5" w:rsidRDefault="00F503C5" w:rsidP="004A28DF">
      <w:pPr>
        <w:spacing w:after="0"/>
        <w:jc w:val="both"/>
      </w:pPr>
    </w:p>
    <w:p w14:paraId="62B3D8D5" w14:textId="068D4DC3" w:rsidR="004A28DF" w:rsidRPr="00BA7E3E" w:rsidRDefault="004A28DF" w:rsidP="004A28DF">
      <w:pPr>
        <w:spacing w:after="0"/>
        <w:jc w:val="both"/>
        <w:rPr>
          <w:u w:val="single"/>
        </w:rPr>
      </w:pPr>
      <w:r w:rsidRPr="00BA7E3E">
        <w:rPr>
          <w:u w:val="single"/>
        </w:rPr>
        <w:t>Toelichting:</w:t>
      </w:r>
    </w:p>
    <w:p w14:paraId="75ECE71C" w14:textId="28769FCB" w:rsidR="004A28DF" w:rsidRDefault="004A28DF" w:rsidP="004A28DF">
      <w:pPr>
        <w:spacing w:after="0"/>
        <w:jc w:val="both"/>
      </w:pPr>
    </w:p>
    <w:p w14:paraId="0A27E8E3" w14:textId="135AD177" w:rsidR="009F4E70" w:rsidRPr="009F4E70" w:rsidRDefault="009F4E70" w:rsidP="009F4E70">
      <w:pPr>
        <w:spacing w:after="0"/>
        <w:jc w:val="both"/>
      </w:pPr>
      <w:r>
        <w:t>De b</w:t>
      </w:r>
      <w:r w:rsidRPr="009F4E70">
        <w:t>elastingvrije som ligt bijzonder laag, voor ‘alleenstaanden’ zelfs onder het bedrag van het leefloon voor een alleenstaande</w:t>
      </w:r>
      <w:r>
        <w:t xml:space="preserve">. Het is dan ook </w:t>
      </w:r>
      <w:r w:rsidRPr="009F4E70">
        <w:t>gerechtvaardigd om aan ‘werkelijk alleenstaanden’ een hogere belastingvrije som toe te kennen dan aan samenwonenden gelet op het feit dat zij bepaalde schaalvoordelen missen.</w:t>
      </w:r>
    </w:p>
    <w:p w14:paraId="69DCFD58" w14:textId="77777777" w:rsidR="004A28DF" w:rsidRPr="00B21FAC" w:rsidRDefault="004A28DF" w:rsidP="00BA7E3E">
      <w:pPr>
        <w:spacing w:after="0"/>
        <w:jc w:val="both"/>
      </w:pPr>
    </w:p>
    <w:p w14:paraId="12C1AA11" w14:textId="5C551E2C" w:rsidR="00CA5812" w:rsidRPr="00B21FAC" w:rsidRDefault="00CA5812" w:rsidP="00BA7E3E">
      <w:pPr>
        <w:spacing w:after="0"/>
        <w:jc w:val="both"/>
      </w:pPr>
      <w:r w:rsidRPr="00B21FAC">
        <w:rPr>
          <w:u w:val="single"/>
        </w:rPr>
        <w:t>PM:</w:t>
      </w:r>
      <w:r w:rsidRPr="00B21FAC">
        <w:t xml:space="preserve"> </w:t>
      </w:r>
      <w:r w:rsidR="005B771E">
        <w:t>H</w:t>
      </w:r>
      <w:r w:rsidRPr="00B21FAC">
        <w:t>iermee wordt dus opnieuw een onderscheid ingevoerd tussen (weliswaar geherdefinieerde) alleenstaanden en samenwonenden, onderscheid dat met ingang van AJ 2005 werd opgeheven</w:t>
      </w:r>
      <w:r w:rsidR="005B771E">
        <w:t>. H</w:t>
      </w:r>
      <w:r w:rsidRPr="00B21FAC">
        <w:t xml:space="preserve">et onderscheid is voortaan wel verantwoord gelet op het feit dat feitelijk samenwonenden </w:t>
      </w:r>
      <w:r w:rsidR="00DF077B">
        <w:t xml:space="preserve">voortaan principieel </w:t>
      </w:r>
      <w:r w:rsidRPr="00B21FAC">
        <w:t>op dezelfde manier behandeld zouden worden als gehuwden en wettelijk samenwonenden</w:t>
      </w:r>
      <w:r w:rsidR="00F503C5" w:rsidRPr="00B21FAC">
        <w:t>.</w:t>
      </w:r>
    </w:p>
    <w:p w14:paraId="7FE6CDD5" w14:textId="6BC3A1FF" w:rsidR="00D76244" w:rsidRPr="00B21FAC" w:rsidRDefault="00D76244" w:rsidP="00BA7E3E">
      <w:pPr>
        <w:spacing w:after="0"/>
        <w:jc w:val="both"/>
      </w:pPr>
    </w:p>
    <w:p w14:paraId="4B2AAAEC" w14:textId="3A37C4AC" w:rsidR="00D76244" w:rsidRPr="00B21FAC" w:rsidRDefault="00D76244" w:rsidP="00BA7E3E">
      <w:pPr>
        <w:spacing w:after="0"/>
        <w:jc w:val="both"/>
      </w:pPr>
      <w:r w:rsidRPr="00B21FAC">
        <w:rPr>
          <w:u w:val="single"/>
        </w:rPr>
        <w:t>PM:</w:t>
      </w:r>
      <w:r w:rsidRPr="00B21FAC">
        <w:t xml:space="preserve"> </w:t>
      </w:r>
      <w:r w:rsidR="005B771E">
        <w:t>D</w:t>
      </w:r>
      <w:r w:rsidR="0071798C" w:rsidRPr="00B21FAC">
        <w:t xml:space="preserve">it voorstel wijkt enigszins af van het voorstel van de HRF in het advies van </w:t>
      </w:r>
      <w:r w:rsidR="0071798C" w:rsidRPr="00E43314">
        <w:t>mei 202</w:t>
      </w:r>
      <w:r w:rsidR="00E626FC" w:rsidRPr="00E43314">
        <w:t>0</w:t>
      </w:r>
      <w:r w:rsidR="0071798C" w:rsidRPr="00E43314">
        <w:t>, in</w:t>
      </w:r>
      <w:r w:rsidR="0071798C" w:rsidRPr="00B21FAC">
        <w:t xml:space="preserve"> die zin dat de HRF een verhoging van het belastingvrije minimum per belastingplichtige tot het bedrag van het leefloon van een alleenstaande vooropstelde. </w:t>
      </w:r>
      <w:r w:rsidR="00BB096E" w:rsidRPr="00B21FAC">
        <w:t xml:space="preserve">De hier voorgestelde </w:t>
      </w:r>
      <w:r w:rsidR="00C31E3C" w:rsidRPr="00B21FAC">
        <w:t>verfijning is niettemin verantwoordbaar, net omdat de situatie van werkelijk alleenstaanden afwijkt van d</w:t>
      </w:r>
      <w:r w:rsidR="002E3A98">
        <w:t>ie</w:t>
      </w:r>
      <w:r w:rsidR="00C31E3C" w:rsidRPr="00B21FAC">
        <w:t xml:space="preserve"> van samenwonenden</w:t>
      </w:r>
      <w:r w:rsidR="00AC4BAE" w:rsidRPr="00B21FAC">
        <w:t>.</w:t>
      </w:r>
      <w:r w:rsidR="00C31E3C" w:rsidRPr="00B21FAC">
        <w:t xml:space="preserve"> </w:t>
      </w:r>
    </w:p>
    <w:p w14:paraId="3BA3BF79" w14:textId="36285DC8" w:rsidR="00324A45" w:rsidRDefault="00324A45" w:rsidP="009F4E70">
      <w:pPr>
        <w:spacing w:after="0"/>
        <w:jc w:val="both"/>
      </w:pPr>
    </w:p>
    <w:p w14:paraId="45A2926E" w14:textId="6F661DDD" w:rsidR="00FC2615" w:rsidRPr="00BA7E3E" w:rsidRDefault="0037377B" w:rsidP="009F4E70">
      <w:pPr>
        <w:spacing w:after="0"/>
        <w:jc w:val="both"/>
        <w:rPr>
          <w:u w:val="single"/>
        </w:rPr>
      </w:pPr>
      <w:r w:rsidRPr="00BA7E3E">
        <w:rPr>
          <w:u w:val="single"/>
        </w:rPr>
        <w:t>Bijkomende aandachtspunten:</w:t>
      </w:r>
    </w:p>
    <w:p w14:paraId="4B0E2E15" w14:textId="77777777" w:rsidR="0037377B" w:rsidRPr="00B21FAC" w:rsidRDefault="0037377B" w:rsidP="00BA7E3E">
      <w:pPr>
        <w:spacing w:after="0"/>
        <w:jc w:val="both"/>
      </w:pPr>
    </w:p>
    <w:p w14:paraId="43E7C46E" w14:textId="0AE78BFE" w:rsidR="0073739B" w:rsidRDefault="002773BC" w:rsidP="0037377B">
      <w:pPr>
        <w:pStyle w:val="Lijstalinea"/>
        <w:numPr>
          <w:ilvl w:val="0"/>
          <w:numId w:val="103"/>
        </w:numPr>
        <w:spacing w:after="0"/>
        <w:jc w:val="both"/>
      </w:pPr>
      <w:r>
        <w:t xml:space="preserve">Het verdient aanbeveling om ook het </w:t>
      </w:r>
      <w:r w:rsidR="00CA5812" w:rsidRPr="00B21FAC">
        <w:t xml:space="preserve">leefloon </w:t>
      </w:r>
      <w:r>
        <w:t xml:space="preserve">zelf </w:t>
      </w:r>
      <w:r w:rsidR="00CA5812" w:rsidRPr="00B21FAC">
        <w:t>(maar bv. ook de inkomensvervangende tegemoetkoming</w:t>
      </w:r>
      <w:r w:rsidR="009E7A66">
        <w:t>)</w:t>
      </w:r>
      <w:r w:rsidR="00CA5812" w:rsidRPr="00B21FAC">
        <w:t xml:space="preserve"> expliciet belastbaar </w:t>
      </w:r>
      <w:r>
        <w:t>te stellen</w:t>
      </w:r>
      <w:r w:rsidR="00CA5812" w:rsidRPr="00B21FAC">
        <w:t>, onverminderd de eventuele toepassing van de belastingvermindering voor vervangingsinkomsten</w:t>
      </w:r>
      <w:r w:rsidR="00636C7A">
        <w:t>.</w:t>
      </w:r>
      <w:r w:rsidR="00F4493A">
        <w:t xml:space="preserve"> </w:t>
      </w:r>
    </w:p>
    <w:p w14:paraId="46F274CA" w14:textId="77777777" w:rsidR="0073739B" w:rsidRDefault="0073739B" w:rsidP="0073739B">
      <w:pPr>
        <w:pStyle w:val="Lijstalinea"/>
        <w:spacing w:after="0"/>
        <w:jc w:val="both"/>
      </w:pPr>
    </w:p>
    <w:p w14:paraId="2AA60001" w14:textId="0E728F01" w:rsidR="00CA5812" w:rsidRPr="00B21FAC" w:rsidRDefault="00F4493A" w:rsidP="00BA7E3E">
      <w:pPr>
        <w:pStyle w:val="Lijstalinea"/>
        <w:spacing w:after="0"/>
        <w:jc w:val="both"/>
      </w:pPr>
      <w:r>
        <w:t xml:space="preserve">Vermits de </w:t>
      </w:r>
      <w:r w:rsidR="002A5F1A">
        <w:t>belastingvrije som in lijn wordt gebracht met het bedrag van het</w:t>
      </w:r>
      <w:r>
        <w:t xml:space="preserve"> leefloon, zal er </w:t>
      </w:r>
      <w:r w:rsidR="00B058E5">
        <w:t xml:space="preserve">per saldo geen belasting verschuldigd zijn. Door de expliciete belastbaarstelling wordt wel </w:t>
      </w:r>
      <w:r w:rsidR="00C449DB">
        <w:t>gegarandeerd dat het leefloon mee als inkomen in aanmerking wordt genomen, hetgeen</w:t>
      </w:r>
      <w:r w:rsidR="00B058E5">
        <w:t xml:space="preserve"> </w:t>
      </w:r>
      <w:r w:rsidR="00CA5812" w:rsidRPr="00B21FAC">
        <w:t xml:space="preserve">inzonderheid </w:t>
      </w:r>
      <w:r w:rsidR="00C449DB">
        <w:t xml:space="preserve">relevant is </w:t>
      </w:r>
      <w:r w:rsidR="00CA5812" w:rsidRPr="00B21FAC">
        <w:t xml:space="preserve">t.a.v. personen die in de loop van eenzelfde </w:t>
      </w:r>
      <w:r w:rsidR="00C449DB">
        <w:t>belastbaar tijdperk</w:t>
      </w:r>
      <w:r w:rsidR="00CA5812" w:rsidRPr="00B21FAC">
        <w:t xml:space="preserve"> gedeeltelijk leefloon hebben genoten, alsook andere inkomsten.</w:t>
      </w:r>
    </w:p>
    <w:p w14:paraId="551E5F13" w14:textId="77777777" w:rsidR="002474E7" w:rsidRPr="00B21FAC" w:rsidRDefault="002474E7" w:rsidP="00BA7E3E">
      <w:pPr>
        <w:spacing w:after="0"/>
        <w:ind w:left="720"/>
        <w:jc w:val="both"/>
      </w:pPr>
    </w:p>
    <w:p w14:paraId="3D5AF82F" w14:textId="5BE4DE98" w:rsidR="00CA5812" w:rsidRPr="00B21FAC" w:rsidRDefault="00CA5812" w:rsidP="00BA7E3E">
      <w:pPr>
        <w:numPr>
          <w:ilvl w:val="0"/>
          <w:numId w:val="23"/>
        </w:numPr>
        <w:spacing w:after="0"/>
        <w:jc w:val="both"/>
      </w:pPr>
      <w:r w:rsidRPr="00B21FAC">
        <w:t xml:space="preserve">Gelet op de individualisering van de </w:t>
      </w:r>
      <w:r w:rsidR="00D31FAD">
        <w:t>belastingberekening</w:t>
      </w:r>
      <w:r w:rsidR="00D31FAD" w:rsidRPr="00B21FAC">
        <w:t xml:space="preserve"> </w:t>
      </w:r>
      <w:r w:rsidRPr="00B21FAC">
        <w:t>rijst de vraag of er nog verder een overheveling van de niet-gebruikte belastingvrije som (basisbedrag) moet voorzien worden ten gunste van de partner.</w:t>
      </w:r>
      <w:r w:rsidR="00E905C0">
        <w:t xml:space="preserve"> Een dergelijke overhev</w:t>
      </w:r>
      <w:r w:rsidR="00224EAE">
        <w:t xml:space="preserve">eling lijkt wel verantwoordbaar vanuit de </w:t>
      </w:r>
      <w:r w:rsidR="008E5A37">
        <w:t>bijstandsverplichtingen die de partners t.a.v. elkaar hebben</w:t>
      </w:r>
      <w:r w:rsidR="00094DE6">
        <w:t xml:space="preserve"> en kan dus </w:t>
      </w:r>
      <w:r w:rsidR="00FD1BA0">
        <w:t xml:space="preserve">als </w:t>
      </w:r>
      <w:r w:rsidR="00094DE6">
        <w:t xml:space="preserve">een </w:t>
      </w:r>
      <w:r w:rsidR="006B7061">
        <w:t>alternatief</w:t>
      </w:r>
      <w:r w:rsidR="00FD1BA0">
        <w:t xml:space="preserve"> of </w:t>
      </w:r>
      <w:r w:rsidR="006B7061">
        <w:t xml:space="preserve">aanvulling </w:t>
      </w:r>
      <w:r w:rsidR="00FD1BA0">
        <w:t>fungeren</w:t>
      </w:r>
      <w:r w:rsidR="006B7061">
        <w:t xml:space="preserve"> op de partnertoeslag</w:t>
      </w:r>
      <w:r w:rsidR="00981B73">
        <w:t>.</w:t>
      </w:r>
    </w:p>
    <w:p w14:paraId="5582800E" w14:textId="560EBF29" w:rsidR="00A66142" w:rsidRPr="00B21FAC" w:rsidRDefault="00A66142" w:rsidP="00BA7E3E">
      <w:pPr>
        <w:spacing w:after="0"/>
        <w:jc w:val="both"/>
      </w:pPr>
    </w:p>
    <w:p w14:paraId="0EC85898" w14:textId="6B01A03A" w:rsidR="00B94A6C" w:rsidRPr="00B21FAC" w:rsidRDefault="00B94A6C" w:rsidP="00BA7E3E">
      <w:pPr>
        <w:pStyle w:val="Lijstalinea"/>
        <w:numPr>
          <w:ilvl w:val="0"/>
          <w:numId w:val="38"/>
        </w:numPr>
        <w:spacing w:after="0"/>
        <w:jc w:val="both"/>
      </w:pPr>
      <w:r w:rsidRPr="00B21FAC">
        <w:t>De hoogte van het basisbedrag kan gekoppeld worden aan de graad van zelfredzaamheid</w:t>
      </w:r>
      <w:r w:rsidR="008E2022">
        <w:t>.</w:t>
      </w:r>
      <w:r w:rsidR="00C5314E">
        <w:t xml:space="preserve"> </w:t>
      </w:r>
      <w:r w:rsidR="00A7504E" w:rsidRPr="00F0766A">
        <w:rPr>
          <w:u w:val="single"/>
        </w:rPr>
        <w:t>PM:</w:t>
      </w:r>
      <w:r w:rsidR="00A7504E">
        <w:t xml:space="preserve"> </w:t>
      </w:r>
      <w:r w:rsidR="00C5314E">
        <w:t xml:space="preserve">de ‘graad van zelfredzaamheid’ </w:t>
      </w:r>
      <w:r w:rsidR="00830C8B">
        <w:t xml:space="preserve">sluit aan op het criterium dat gebruikt wordt om te bepalen of een </w:t>
      </w:r>
      <w:r w:rsidR="001906C0">
        <w:t xml:space="preserve">persoon met een handicap al dan niet recht heeft op een integratietegemoetkoming en </w:t>
      </w:r>
      <w:r w:rsidR="00C5314E">
        <w:t xml:space="preserve">wordt reeds als criterium gebruikt </w:t>
      </w:r>
      <w:r w:rsidR="006652F5">
        <w:t>voor het bepalen van de zorgb</w:t>
      </w:r>
      <w:r w:rsidR="00A7504E">
        <w:t>e</w:t>
      </w:r>
      <w:r w:rsidR="006652F5">
        <w:t>hoevendheid overeen</w:t>
      </w:r>
      <w:r w:rsidR="00A7504E">
        <w:t>k</w:t>
      </w:r>
      <w:r w:rsidR="006652F5">
        <w:t>omstig artikel 132, lid 1, 7° WIB92</w:t>
      </w:r>
      <w:r w:rsidR="00F0766A">
        <w:t>.</w:t>
      </w:r>
    </w:p>
    <w:p w14:paraId="56D6BB2A" w14:textId="77777777" w:rsidR="00CA5812" w:rsidRPr="00B21FAC" w:rsidRDefault="00CA5812" w:rsidP="00BA7E3E">
      <w:pPr>
        <w:spacing w:after="0"/>
        <w:jc w:val="both"/>
        <w:rPr>
          <w:u w:val="single"/>
        </w:rPr>
      </w:pPr>
    </w:p>
    <w:p w14:paraId="440D80F8" w14:textId="77777777" w:rsidR="00671F57" w:rsidRPr="00B21FAC" w:rsidRDefault="00671F57" w:rsidP="00BA7E3E">
      <w:pPr>
        <w:spacing w:after="0"/>
        <w:jc w:val="both"/>
      </w:pPr>
    </w:p>
    <w:p w14:paraId="3337FCCC" w14:textId="116EEAB1" w:rsidR="00CA5812" w:rsidRPr="00B21FAC" w:rsidRDefault="00671F57" w:rsidP="00275FEB">
      <w:pPr>
        <w:pStyle w:val="Kop3"/>
        <w:numPr>
          <w:ilvl w:val="0"/>
          <w:numId w:val="39"/>
        </w:numPr>
      </w:pPr>
      <w:bookmarkStart w:id="160" w:name="_Toc107210898"/>
      <w:r w:rsidRPr="00B21FAC">
        <w:t>T</w:t>
      </w:r>
      <w:r w:rsidR="00CA5812" w:rsidRPr="00B21FAC">
        <w:t>oeslagen</w:t>
      </w:r>
      <w:bookmarkEnd w:id="160"/>
    </w:p>
    <w:p w14:paraId="72C0DE16" w14:textId="77777777" w:rsidR="00671F57" w:rsidRPr="00B21FAC" w:rsidRDefault="00671F57" w:rsidP="00BA7E3E">
      <w:pPr>
        <w:spacing w:after="0"/>
        <w:jc w:val="both"/>
      </w:pPr>
    </w:p>
    <w:p w14:paraId="62AC647C" w14:textId="7058575D" w:rsidR="00D1399F" w:rsidRDefault="00D1399F">
      <w:pPr>
        <w:spacing w:after="0"/>
        <w:jc w:val="both"/>
        <w:rPr>
          <w:u w:val="single"/>
        </w:rPr>
      </w:pPr>
    </w:p>
    <w:p w14:paraId="081C78DC" w14:textId="4984006A" w:rsidR="00D1399F" w:rsidRPr="00BA7E3E" w:rsidRDefault="00014343" w:rsidP="00BA7E3E">
      <w:pPr>
        <w:pStyle w:val="Lijstalinea"/>
        <w:numPr>
          <w:ilvl w:val="1"/>
          <w:numId w:val="39"/>
        </w:numPr>
        <w:spacing w:after="0"/>
        <w:jc w:val="both"/>
        <w:rPr>
          <w:u w:val="single"/>
        </w:rPr>
      </w:pPr>
      <w:r>
        <w:rPr>
          <w:u w:val="single"/>
        </w:rPr>
        <w:t>Toeslag personen ten laste</w:t>
      </w:r>
    </w:p>
    <w:p w14:paraId="25FFB7D5" w14:textId="77777777" w:rsidR="0054161C" w:rsidRPr="00B21FAC" w:rsidRDefault="0054161C" w:rsidP="00BA7E3E">
      <w:pPr>
        <w:spacing w:after="0"/>
        <w:jc w:val="both"/>
      </w:pPr>
    </w:p>
    <w:p w14:paraId="1DCC0BAE" w14:textId="77777777" w:rsidR="00DF51CD" w:rsidRPr="00B21FAC" w:rsidRDefault="00DF51CD" w:rsidP="00BA7E3E">
      <w:pPr>
        <w:spacing w:after="0"/>
        <w:jc w:val="both"/>
        <w:rPr>
          <w:u w:val="single"/>
        </w:rPr>
      </w:pPr>
    </w:p>
    <w:p w14:paraId="4B14D9A6" w14:textId="0B8DC3FE" w:rsidR="004832C5" w:rsidRDefault="00CA5812" w:rsidP="002F5F99">
      <w:pPr>
        <w:spacing w:after="0"/>
        <w:jc w:val="both"/>
      </w:pPr>
      <w:r w:rsidRPr="00BA7E3E">
        <w:rPr>
          <w:b/>
          <w:bCs/>
        </w:rPr>
        <w:t>Voorstel</w:t>
      </w:r>
      <w:r w:rsidR="00B77A2E">
        <w:t xml:space="preserve"> – </w:t>
      </w:r>
      <w:r w:rsidRPr="00B21FAC">
        <w:t>Elke persoon ten laste geeft recht op een extra heffingskorting, die kan gedifferentieerd worden in functie van de ‘zorgbehoevendheid’ en/of de nood aan opvang (</w:t>
      </w:r>
      <w:r w:rsidRPr="00B21FAC">
        <w:rPr>
          <w:i/>
          <w:iCs/>
        </w:rPr>
        <w:t>cf. infra</w:t>
      </w:r>
      <w:r w:rsidRPr="00B21FAC">
        <w:t xml:space="preserve">). </w:t>
      </w:r>
    </w:p>
    <w:p w14:paraId="62F4D127" w14:textId="77777777" w:rsidR="004832C5" w:rsidRDefault="004832C5" w:rsidP="002F5F99">
      <w:pPr>
        <w:spacing w:after="0"/>
        <w:jc w:val="both"/>
      </w:pPr>
    </w:p>
    <w:p w14:paraId="6348E940" w14:textId="7ED155FB" w:rsidR="00CA5812" w:rsidRPr="00B21FAC" w:rsidRDefault="00A34616" w:rsidP="00BA7E3E">
      <w:pPr>
        <w:spacing w:after="0"/>
        <w:jc w:val="both"/>
      </w:pPr>
      <w:r>
        <w:t>D</w:t>
      </w:r>
      <w:r w:rsidR="3683CD98" w:rsidRPr="00B21FAC">
        <w:t xml:space="preserve">eze extra heffingskorting </w:t>
      </w:r>
      <w:r>
        <w:t xml:space="preserve">kan daarbij </w:t>
      </w:r>
      <w:r w:rsidR="3683CD98" w:rsidRPr="00B21FAC">
        <w:t xml:space="preserve">principieel gelijk </w:t>
      </w:r>
      <w:r>
        <w:t>ge</w:t>
      </w:r>
      <w:r w:rsidR="3683CD98" w:rsidRPr="00B21FAC">
        <w:t>stel</w:t>
      </w:r>
      <w:r>
        <w:t>d worden</w:t>
      </w:r>
      <w:r w:rsidR="3683CD98" w:rsidRPr="00B21FAC">
        <w:t xml:space="preserve"> met de basisheffingskorting voor een samenwonende, te vermenigvuldigen met het relatieve gewicht van de persoon ten laste. Dit gewicht moet nader bepaald worden</w:t>
      </w:r>
      <w:r w:rsidR="0026062B">
        <w:t>, maar hangt niet (langer) af van het aantal personen (kinderen) ten laste</w:t>
      </w:r>
      <w:r w:rsidR="3683CD98" w:rsidRPr="00B21FAC">
        <w:t xml:space="preserve">. De equivalentieschaal van </w:t>
      </w:r>
      <w:r w:rsidR="00DE3A26">
        <w:t>Eurostat</w:t>
      </w:r>
      <w:r w:rsidR="3683CD98" w:rsidRPr="00B21FAC">
        <w:t xml:space="preserve"> kan</w:t>
      </w:r>
      <w:r w:rsidR="0035606F" w:rsidRPr="00B21FAC">
        <w:t xml:space="preserve"> alvast</w:t>
      </w:r>
      <w:r w:rsidR="3683CD98" w:rsidRPr="00B21FAC">
        <w:t xml:space="preserve"> een bron van inspiratie vormen. De</w:t>
      </w:r>
      <w:r w:rsidR="00DE3A26">
        <w:t>ze</w:t>
      </w:r>
      <w:r w:rsidR="3683CD98" w:rsidRPr="00B21FAC">
        <w:t xml:space="preserve"> equivalentieschaal kent een gewicht toe van 1 aan het eerste volwassen lid van het huishouden, 0,5 aan elk bijkomend volwassen lid, en 0,3 per kind.</w:t>
      </w:r>
    </w:p>
    <w:p w14:paraId="3EEE5FC5" w14:textId="3E9E4180" w:rsidR="00213365" w:rsidRDefault="00213365" w:rsidP="00B77A2E">
      <w:pPr>
        <w:spacing w:after="0"/>
        <w:jc w:val="both"/>
      </w:pPr>
    </w:p>
    <w:p w14:paraId="5843A7E3" w14:textId="4287D9AD" w:rsidR="00357870" w:rsidRPr="00BA7E3E" w:rsidRDefault="00357870" w:rsidP="00B77A2E">
      <w:pPr>
        <w:spacing w:after="0"/>
        <w:jc w:val="both"/>
        <w:rPr>
          <w:u w:val="single"/>
        </w:rPr>
      </w:pPr>
      <w:r w:rsidRPr="00BA7E3E">
        <w:rPr>
          <w:u w:val="single"/>
        </w:rPr>
        <w:t>Toelichting:</w:t>
      </w:r>
    </w:p>
    <w:p w14:paraId="70B69AA3" w14:textId="5037CF7D" w:rsidR="00357870" w:rsidRDefault="00357870" w:rsidP="00B77A2E">
      <w:pPr>
        <w:spacing w:after="0"/>
        <w:jc w:val="both"/>
      </w:pPr>
    </w:p>
    <w:p w14:paraId="73B4880A" w14:textId="289E4863" w:rsidR="00954D9F" w:rsidRPr="00954D9F" w:rsidRDefault="00954D9F" w:rsidP="00BA7E3E">
      <w:pPr>
        <w:spacing w:after="0"/>
        <w:jc w:val="both"/>
      </w:pPr>
      <w:r w:rsidRPr="00BA7E3E">
        <w:t xml:space="preserve">De huidige regeling rond de ‘toeslagen’ is </w:t>
      </w:r>
      <w:r w:rsidR="00470100">
        <w:t xml:space="preserve">bijzonder </w:t>
      </w:r>
      <w:r w:rsidRPr="00BA7E3E">
        <w:t>complex,</w:t>
      </w:r>
      <w:r w:rsidR="00470100">
        <w:t xml:space="preserve"> o.m. omwille van de volgende redenen:</w:t>
      </w:r>
    </w:p>
    <w:p w14:paraId="6FD3CE0F" w14:textId="03E92857" w:rsidR="00954D9F" w:rsidRPr="00954D9F" w:rsidRDefault="00954D9F" w:rsidP="00BA7E3E">
      <w:pPr>
        <w:numPr>
          <w:ilvl w:val="1"/>
          <w:numId w:val="24"/>
        </w:numPr>
        <w:spacing w:after="0"/>
        <w:ind w:left="709" w:hanging="283"/>
        <w:jc w:val="both"/>
      </w:pPr>
      <w:r w:rsidRPr="00954D9F">
        <w:t xml:space="preserve">toewijzing aan de partner met het hoogste inkomen, tenzij toewijzing aan </w:t>
      </w:r>
      <w:r w:rsidR="00D13165">
        <w:t xml:space="preserve">de </w:t>
      </w:r>
      <w:r w:rsidRPr="00954D9F">
        <w:t>andere partner voordeliger is (hetgeen ook leidt tot bijkomende complicaties in een grensoverschrijdende context, zie o.m. HvJ, Imfeld-Garcet, C-303/12, 12 december 2013);</w:t>
      </w:r>
    </w:p>
    <w:p w14:paraId="2B94FAFB" w14:textId="77777777" w:rsidR="00954D9F" w:rsidRPr="00954D9F" w:rsidRDefault="00954D9F" w:rsidP="00BA7E3E">
      <w:pPr>
        <w:numPr>
          <w:ilvl w:val="1"/>
          <w:numId w:val="24"/>
        </w:numPr>
        <w:spacing w:after="0"/>
        <w:ind w:left="709" w:hanging="283"/>
        <w:jc w:val="both"/>
      </w:pPr>
      <w:r w:rsidRPr="00954D9F">
        <w:t>situatie van co-ouderschap met verdeling over beide ex-partners;</w:t>
      </w:r>
    </w:p>
    <w:p w14:paraId="0D6D2775" w14:textId="7C25A32A" w:rsidR="00954D9F" w:rsidRDefault="00954D9F" w:rsidP="00470100">
      <w:pPr>
        <w:numPr>
          <w:ilvl w:val="1"/>
          <w:numId w:val="24"/>
        </w:numPr>
        <w:spacing w:after="0"/>
        <w:ind w:left="709" w:hanging="283"/>
        <w:jc w:val="both"/>
      </w:pPr>
      <w:r w:rsidRPr="00954D9F">
        <w:t>jaar van feitelijke scheiding: combinatie van aftrek onderhoudsgelden (door ene ouder) en kind ten laste (bij andere ouder)</w:t>
      </w:r>
      <w:r w:rsidR="006A7DCB">
        <w:t>;</w:t>
      </w:r>
    </w:p>
    <w:p w14:paraId="4AF18F7F" w14:textId="41ED393C" w:rsidR="006A7DCB" w:rsidRPr="00954D9F" w:rsidRDefault="006A7DCB" w:rsidP="00BA7E3E">
      <w:pPr>
        <w:numPr>
          <w:ilvl w:val="1"/>
          <w:numId w:val="24"/>
        </w:numPr>
        <w:spacing w:after="0"/>
        <w:ind w:left="709" w:hanging="283"/>
        <w:jc w:val="both"/>
      </w:pPr>
      <w:r>
        <w:t>sterke verwevenheid met</w:t>
      </w:r>
      <w:r w:rsidR="003660A1">
        <w:t>:</w:t>
      </w:r>
    </w:p>
    <w:p w14:paraId="0F20D8D0" w14:textId="77777777" w:rsidR="003660A1" w:rsidRPr="003660A1" w:rsidRDefault="003660A1" w:rsidP="00BA7E3E">
      <w:pPr>
        <w:numPr>
          <w:ilvl w:val="1"/>
          <w:numId w:val="24"/>
        </w:numPr>
        <w:spacing w:after="0"/>
        <w:ind w:left="1843" w:hanging="425"/>
        <w:jc w:val="both"/>
      </w:pPr>
      <w:r w:rsidRPr="003660A1">
        <w:t>Huwelijksquotiënt (zie ook expliciet art. 133, lid 1, 2° WIB92) – rechtstreeks gerelateerd aan onderscheid afzonderlijke / gemeenschappelijke aanslag;</w:t>
      </w:r>
    </w:p>
    <w:p w14:paraId="7A2A5F34" w14:textId="6810ADCF" w:rsidR="003660A1" w:rsidRPr="003660A1" w:rsidRDefault="003660A1" w:rsidP="00BA7E3E">
      <w:pPr>
        <w:numPr>
          <w:ilvl w:val="1"/>
          <w:numId w:val="24"/>
        </w:numPr>
        <w:spacing w:after="0"/>
        <w:ind w:left="1843" w:hanging="425"/>
        <w:jc w:val="both"/>
      </w:pPr>
      <w:r w:rsidRPr="003660A1">
        <w:t xml:space="preserve">Aftrek en </w:t>
      </w:r>
      <w:r w:rsidR="00A17273">
        <w:t>belastingheffing</w:t>
      </w:r>
      <w:r w:rsidR="00A17273" w:rsidRPr="003660A1">
        <w:t xml:space="preserve"> </w:t>
      </w:r>
      <w:r w:rsidRPr="003660A1">
        <w:t>onderhoudsuitkeringen (zie ook expliciet art. 104 WIB92) – rechtstreeks gerelateerd aan regeling co-ouderschap;</w:t>
      </w:r>
    </w:p>
    <w:p w14:paraId="46933E35" w14:textId="77777777" w:rsidR="003660A1" w:rsidRPr="003660A1" w:rsidRDefault="003660A1" w:rsidP="00BA7E3E">
      <w:pPr>
        <w:numPr>
          <w:ilvl w:val="1"/>
          <w:numId w:val="24"/>
        </w:numPr>
        <w:spacing w:after="0"/>
        <w:ind w:left="1843" w:hanging="425"/>
        <w:jc w:val="both"/>
      </w:pPr>
      <w:r w:rsidRPr="003660A1">
        <w:t>Aftrek kosten kinderopvang (zie ook expliciet 132, lid 1, 6° WIB92) – uitsluiting verhoging kinderen jonger dan 3 jaar voor zover toepassing kosten kinderopvang.</w:t>
      </w:r>
    </w:p>
    <w:p w14:paraId="2F8F76CA" w14:textId="172855FC" w:rsidR="002006FC" w:rsidRDefault="002006FC">
      <w:r>
        <w:br w:type="page"/>
      </w:r>
    </w:p>
    <w:p w14:paraId="01777001" w14:textId="77777777" w:rsidR="00954D9F" w:rsidRDefault="00954D9F" w:rsidP="00954D9F">
      <w:pPr>
        <w:spacing w:after="0"/>
        <w:jc w:val="both"/>
      </w:pPr>
    </w:p>
    <w:p w14:paraId="6B0EB8FA" w14:textId="70B408A7" w:rsidR="00470100" w:rsidRDefault="006A7DCB" w:rsidP="00954D9F">
      <w:pPr>
        <w:spacing w:after="0"/>
        <w:jc w:val="both"/>
      </w:pPr>
      <w:r>
        <w:t xml:space="preserve">De regeling is daarenboven bekritiseerbaar voor wat de differentiatie </w:t>
      </w:r>
      <w:r w:rsidR="003660A1">
        <w:t xml:space="preserve">in de bedragen betreft. Enige objectieve </w:t>
      </w:r>
      <w:r w:rsidR="00457F80">
        <w:t>maatstaf lijkt te ontbreken, inzonderheid ook voor wat de differentiatie in het bedrag van de toeslagen in functie van het aantal kinderen betreft.</w:t>
      </w:r>
      <w:r w:rsidR="00466BE1">
        <w:t xml:space="preserve"> </w:t>
      </w:r>
    </w:p>
    <w:p w14:paraId="0A5E62A1" w14:textId="77777777" w:rsidR="00357870" w:rsidRDefault="00357870" w:rsidP="00B77A2E">
      <w:pPr>
        <w:spacing w:after="0"/>
        <w:jc w:val="both"/>
      </w:pPr>
    </w:p>
    <w:p w14:paraId="19E855B8" w14:textId="070C3A89" w:rsidR="00B77A2E" w:rsidRPr="00BA7E3E" w:rsidRDefault="00B77A2E" w:rsidP="00B77A2E">
      <w:pPr>
        <w:spacing w:after="0"/>
        <w:jc w:val="both"/>
        <w:rPr>
          <w:u w:val="single"/>
        </w:rPr>
      </w:pPr>
      <w:r w:rsidRPr="00BA7E3E">
        <w:rPr>
          <w:u w:val="single"/>
        </w:rPr>
        <w:t>Bijkomende aandachtspunten:</w:t>
      </w:r>
    </w:p>
    <w:p w14:paraId="1D49B184" w14:textId="77777777" w:rsidR="00B77A2E" w:rsidRPr="00B21FAC" w:rsidRDefault="00B77A2E" w:rsidP="00BA7E3E">
      <w:pPr>
        <w:spacing w:after="0"/>
        <w:jc w:val="both"/>
      </w:pPr>
    </w:p>
    <w:p w14:paraId="4C0D5B37" w14:textId="77777777" w:rsidR="009A0791" w:rsidRDefault="00201BF0" w:rsidP="009A0791">
      <w:pPr>
        <w:numPr>
          <w:ilvl w:val="0"/>
          <w:numId w:val="13"/>
        </w:numPr>
        <w:spacing w:after="0"/>
        <w:jc w:val="both"/>
      </w:pPr>
      <w:r>
        <w:t xml:space="preserve">De vraag of een persoon überhaupt ten laste is, </w:t>
      </w:r>
      <w:r w:rsidR="00B43BA0">
        <w:t xml:space="preserve">en welke criteria daartoe dienen voldaan te zijn, kan ook best geherevalueerd worden. </w:t>
      </w:r>
    </w:p>
    <w:p w14:paraId="31D63564" w14:textId="77777777" w:rsidR="009A0791" w:rsidRDefault="009A0791" w:rsidP="009A0791">
      <w:pPr>
        <w:spacing w:after="0"/>
        <w:ind w:left="720"/>
        <w:jc w:val="both"/>
      </w:pPr>
    </w:p>
    <w:p w14:paraId="015D6980" w14:textId="62E8CD17" w:rsidR="00714671" w:rsidRPr="00B21FAC" w:rsidRDefault="009A0791" w:rsidP="00BA7E3E">
      <w:pPr>
        <w:spacing w:after="0"/>
        <w:ind w:left="720"/>
        <w:jc w:val="both"/>
      </w:pPr>
      <w:r>
        <w:t xml:space="preserve">Daarbij kan nuttig gebruik gemaakt worden van de </w:t>
      </w:r>
      <w:r w:rsidR="00B43BA0">
        <w:t>hoger genoemde Eurostat-</w:t>
      </w:r>
      <w:r w:rsidR="00CA5812" w:rsidRPr="00B21FAC">
        <w:t>equivalentiecriteria</w:t>
      </w:r>
      <w:r w:rsidR="00B43BA0">
        <w:t>. Op basis van deze criteria zou kunnen bepaald worden o</w:t>
      </w:r>
      <w:r w:rsidR="00CA5812" w:rsidRPr="00B21FAC">
        <w:t xml:space="preserve">f een bepaalde persoon (gelet op zijn eigen bestaansmiddelen) wel effectief ten laste is. De omvang van de ‘toelaatbare’ bestaansmiddelen zou dus gealigneerd </w:t>
      </w:r>
      <w:r w:rsidR="004E244C">
        <w:t xml:space="preserve">kunnen </w:t>
      </w:r>
      <w:r w:rsidR="00CA5812" w:rsidRPr="00B21FAC">
        <w:t xml:space="preserve">worden met het bedrag aan </w:t>
      </w:r>
      <w:r w:rsidR="002A5F1A">
        <w:t>belastingvrije som</w:t>
      </w:r>
      <w:r w:rsidR="00CA5812" w:rsidRPr="00B21FAC">
        <w:t xml:space="preserve"> waarop de betrokken persoon ten laste recht geeft. </w:t>
      </w:r>
    </w:p>
    <w:p w14:paraId="68A5867B" w14:textId="77777777" w:rsidR="00CA5812" w:rsidRPr="00B21FAC" w:rsidRDefault="00CA5812" w:rsidP="00BA7E3E">
      <w:pPr>
        <w:spacing w:after="0"/>
        <w:ind w:left="720"/>
        <w:jc w:val="both"/>
      </w:pPr>
    </w:p>
    <w:p w14:paraId="3124FAB8" w14:textId="1810E4F8" w:rsidR="00CA5812" w:rsidRPr="00B21FAC" w:rsidRDefault="00CA5812" w:rsidP="00BA7E3E">
      <w:pPr>
        <w:spacing w:after="0"/>
        <w:ind w:left="709"/>
        <w:jc w:val="both"/>
      </w:pPr>
      <w:r w:rsidRPr="00B21FAC">
        <w:t xml:space="preserve">De grootste moeilijkheid houdt </w:t>
      </w:r>
      <w:r w:rsidR="00714671">
        <w:t xml:space="preserve">overigens </w:t>
      </w:r>
      <w:r w:rsidRPr="00B21FAC">
        <w:t xml:space="preserve">verband met de omschrijving van de notie ‘bestaansmiddelen’. Dit begrip is immers ruimer dan de belastbare inkomsten. </w:t>
      </w:r>
      <w:r w:rsidR="004A32A4">
        <w:t xml:space="preserve">In wezen </w:t>
      </w:r>
      <w:r w:rsidR="00C90B80">
        <w:t xml:space="preserve">omvatten de bestaansmiddelen </w:t>
      </w:r>
      <w:r w:rsidR="0053609F">
        <w:t>elk inkomen, elke vergoeding, hoe ook genoemd en ongeacht wie ze uitkeert.</w:t>
      </w:r>
    </w:p>
    <w:p w14:paraId="72B33D1B" w14:textId="77777777" w:rsidR="00CA5812" w:rsidRPr="00B21FAC" w:rsidRDefault="00CA5812" w:rsidP="00BA7E3E">
      <w:pPr>
        <w:spacing w:after="0"/>
        <w:ind w:left="709"/>
        <w:jc w:val="both"/>
      </w:pPr>
    </w:p>
    <w:p w14:paraId="613C33F6" w14:textId="2D7FE773" w:rsidR="00CA5812" w:rsidRPr="00B21FAC" w:rsidRDefault="00CA5812" w:rsidP="00BA7E3E">
      <w:pPr>
        <w:numPr>
          <w:ilvl w:val="0"/>
          <w:numId w:val="13"/>
        </w:numPr>
        <w:spacing w:after="0"/>
        <w:jc w:val="both"/>
      </w:pPr>
      <w:r w:rsidRPr="00B21FAC">
        <w:t>Teneinde het drempeleffect weg te nemen, kan voorzien worden dat de extra heffingskorting maximaal gelijk kan zijn aan het niet door de persoon ten laste gebruikte deel van de heffingskorting. Vraag is of dit wel administratief haalbaar is.</w:t>
      </w:r>
    </w:p>
    <w:p w14:paraId="743A5585" w14:textId="77777777" w:rsidR="00B44DC4" w:rsidRDefault="00B44DC4" w:rsidP="00BA7E3E">
      <w:pPr>
        <w:spacing w:after="0"/>
        <w:ind w:left="360"/>
        <w:jc w:val="both"/>
      </w:pPr>
    </w:p>
    <w:p w14:paraId="5D4DA15F" w14:textId="754430DB" w:rsidR="007A5769" w:rsidRDefault="007A5769" w:rsidP="00BA7E3E">
      <w:pPr>
        <w:spacing w:after="0"/>
        <w:ind w:left="360"/>
        <w:jc w:val="both"/>
      </w:pPr>
    </w:p>
    <w:p w14:paraId="54133F83" w14:textId="5B2CAA00" w:rsidR="007A5769" w:rsidRPr="00BA7E3E" w:rsidRDefault="00080226" w:rsidP="007A5769">
      <w:pPr>
        <w:pStyle w:val="Lijstalinea"/>
        <w:numPr>
          <w:ilvl w:val="1"/>
          <w:numId w:val="39"/>
        </w:numPr>
        <w:spacing w:after="0"/>
        <w:jc w:val="both"/>
        <w:rPr>
          <w:u w:val="single"/>
        </w:rPr>
      </w:pPr>
      <w:r w:rsidRPr="00BA7E3E">
        <w:rPr>
          <w:u w:val="single"/>
        </w:rPr>
        <w:t>Partner</w:t>
      </w:r>
      <w:r w:rsidR="0055644C">
        <w:rPr>
          <w:u w:val="single"/>
        </w:rPr>
        <w:t>toeslag</w:t>
      </w:r>
    </w:p>
    <w:p w14:paraId="681E9FD3" w14:textId="77777777" w:rsidR="00B44DC4" w:rsidRPr="00B21FAC" w:rsidRDefault="00B44DC4" w:rsidP="00BA7E3E">
      <w:pPr>
        <w:spacing w:after="0"/>
        <w:jc w:val="both"/>
      </w:pPr>
    </w:p>
    <w:p w14:paraId="60012EF4" w14:textId="77777777" w:rsidR="00D0398D" w:rsidRPr="00B21FAC" w:rsidRDefault="00D0398D" w:rsidP="00BA7E3E">
      <w:pPr>
        <w:spacing w:after="0"/>
        <w:jc w:val="both"/>
      </w:pPr>
    </w:p>
    <w:p w14:paraId="03D95177" w14:textId="572D2515" w:rsidR="00080226" w:rsidRDefault="00B44DC4" w:rsidP="00B44DC4">
      <w:pPr>
        <w:spacing w:after="0"/>
        <w:jc w:val="both"/>
      </w:pPr>
      <w:r w:rsidRPr="00BA7E3E">
        <w:rPr>
          <w:b/>
          <w:bCs/>
        </w:rPr>
        <w:t>Voorstel</w:t>
      </w:r>
      <w:r>
        <w:t xml:space="preserve"> – </w:t>
      </w:r>
      <w:r w:rsidR="001A73E0">
        <w:t xml:space="preserve">Er </w:t>
      </w:r>
      <w:r w:rsidR="00FB7CCC">
        <w:t>kan overwogen worden om</w:t>
      </w:r>
      <w:r w:rsidR="001A73E0">
        <w:t xml:space="preserve"> een partnertoeslag </w:t>
      </w:r>
      <w:r w:rsidR="00FB7CCC">
        <w:t>toe te kennen</w:t>
      </w:r>
      <w:r w:rsidR="001A73E0">
        <w:t xml:space="preserve"> aan</w:t>
      </w:r>
      <w:r w:rsidR="00CA5812" w:rsidRPr="00B21FAC">
        <w:t xml:space="preserve"> de ‘gehuwde’ en de ‘wettelijk samenwonende’</w:t>
      </w:r>
      <w:r w:rsidR="00FE01C9">
        <w:t>, waarvan de partner onvoldoende eigen inkomsten heeft</w:t>
      </w:r>
      <w:r w:rsidR="00CA5812" w:rsidRPr="00B21FAC">
        <w:t xml:space="preserve">. </w:t>
      </w:r>
    </w:p>
    <w:p w14:paraId="3832524A" w14:textId="77777777" w:rsidR="00080226" w:rsidRDefault="00080226" w:rsidP="00B44DC4">
      <w:pPr>
        <w:spacing w:after="0"/>
        <w:jc w:val="both"/>
      </w:pPr>
    </w:p>
    <w:p w14:paraId="27816E1F" w14:textId="2D8DBA35" w:rsidR="00080226" w:rsidRPr="00BA7E3E" w:rsidRDefault="00080226" w:rsidP="00B44DC4">
      <w:pPr>
        <w:spacing w:after="0"/>
        <w:jc w:val="both"/>
        <w:rPr>
          <w:u w:val="single"/>
        </w:rPr>
      </w:pPr>
      <w:r w:rsidRPr="00BA7E3E">
        <w:rPr>
          <w:u w:val="single"/>
        </w:rPr>
        <w:t>Toelichting:</w:t>
      </w:r>
    </w:p>
    <w:p w14:paraId="3AA5E2B2" w14:textId="77777777" w:rsidR="00080226" w:rsidRDefault="00080226" w:rsidP="00B44DC4">
      <w:pPr>
        <w:spacing w:after="0"/>
        <w:jc w:val="both"/>
      </w:pPr>
    </w:p>
    <w:p w14:paraId="35A378A2" w14:textId="3894A9A2" w:rsidR="00CA5812" w:rsidRPr="00B21FAC" w:rsidRDefault="00CA5812" w:rsidP="00BA7E3E">
      <w:pPr>
        <w:spacing w:after="0"/>
        <w:jc w:val="both"/>
      </w:pPr>
      <w:r w:rsidRPr="00B21FAC">
        <w:t xml:space="preserve">Dit hangt samen met het verdwijnen van het huwelijksquotiënt en is te verrechtvaardigen vanuit het inzicht dat dergelijke ‘partners’ </w:t>
      </w:r>
      <w:r w:rsidRPr="00B21FAC">
        <w:rPr>
          <w:u w:val="single"/>
        </w:rPr>
        <w:t>moeten</w:t>
      </w:r>
      <w:r w:rsidRPr="00B21FAC">
        <w:t xml:space="preserve"> bijdragen in de lasten van het samenleven, weliswaar naar evenredigheid van hun mogelijkheden</w:t>
      </w:r>
      <w:r w:rsidRPr="00B21FAC">
        <w:rPr>
          <w:vertAlign w:val="superscript"/>
        </w:rPr>
        <w:footnoteReference w:id="3"/>
      </w:r>
      <w:r w:rsidRPr="00B21FAC">
        <w:t xml:space="preserve"> (i.t.t. feitelijk samenwonenden waar overigens vaak louter kostendelend wordt samengewoond zonder dat de ene ‘partner’ noodzakelijkerwijze op één of andere wijze tussenkomt in de kosten van de andere partner).</w:t>
      </w:r>
    </w:p>
    <w:p w14:paraId="626BF814" w14:textId="77777777" w:rsidR="006D4473" w:rsidRPr="00B21FAC" w:rsidRDefault="006D4473" w:rsidP="00BA7E3E">
      <w:pPr>
        <w:spacing w:after="0"/>
        <w:jc w:val="both"/>
      </w:pPr>
    </w:p>
    <w:p w14:paraId="5B57A3B6" w14:textId="4D2B23AB" w:rsidR="00CA5812" w:rsidRPr="00B21FAC" w:rsidRDefault="00CA5812" w:rsidP="00BA7E3E">
      <w:pPr>
        <w:spacing w:after="0"/>
        <w:jc w:val="both"/>
      </w:pPr>
      <w:r w:rsidRPr="00BA7E3E">
        <w:rPr>
          <w:u w:val="single"/>
        </w:rPr>
        <w:t>PM:</w:t>
      </w:r>
      <w:r w:rsidRPr="00B21FAC">
        <w:t xml:space="preserve"> Men zou </w:t>
      </w:r>
      <w:r w:rsidR="006D4473" w:rsidRPr="00B21FAC">
        <w:t xml:space="preserve">wel </w:t>
      </w:r>
      <w:r w:rsidRPr="00B21FAC">
        <w:t xml:space="preserve">kunnen overwegen om ook </w:t>
      </w:r>
      <w:r w:rsidR="00845BD8">
        <w:t xml:space="preserve">t.a.v. </w:t>
      </w:r>
      <w:r w:rsidRPr="00B21FAC">
        <w:t xml:space="preserve">de feitelijk samenwonende partner </w:t>
      </w:r>
      <w:r w:rsidR="00845BD8">
        <w:t>een partnertoeslag te voorzien</w:t>
      </w:r>
      <w:r w:rsidRPr="00B21FAC">
        <w:t xml:space="preserve">. Dit lijkt evenwel enkel gerechtvaardigd voor zover deze partners elkaar daadwerkelijk (en weliswaar buiten enige wettelijke verplichting om) financieel ondersteunen. Een dergelijke benadering zou ook impliceren dat binnen de categorie van de ‘feitelijk samenwonenden’ een verder onderscheid zou moeten worden gemaakt, hetgeen op zijn beurt kan leiden tot een  bijkomende administratieve complexiteit in de opvolging en tot eventuele misbruiken. Voor zover een dergelijke optie in de wetgeving zou worden ingebouwd, zal het dan ook zaak zijn om aan de betrokken feitelijk samenwonende partner een desgevallend verzwaarde bewijslast op te leggen, waarbij (o.m.) moet aangetoond worden dat de feitelijke samenwoning een duurzame relatie betreft waarbij de ene partner de andere partner daadwerkelijk financieel ondersteunt. Een aparte registratie </w:t>
      </w:r>
      <w:r w:rsidR="006F004A">
        <w:t xml:space="preserve">bij de FOD Financiën </w:t>
      </w:r>
      <w:r w:rsidRPr="00B21FAC">
        <w:t>kan daarbij worden overwogen.</w:t>
      </w:r>
    </w:p>
    <w:p w14:paraId="15C59CC1" w14:textId="77777777" w:rsidR="008864D2" w:rsidRDefault="008864D2" w:rsidP="007C37EA">
      <w:pPr>
        <w:spacing w:after="0"/>
        <w:jc w:val="both"/>
      </w:pPr>
    </w:p>
    <w:p w14:paraId="6C44AE15" w14:textId="1F166AF9" w:rsidR="007C37EA" w:rsidRDefault="007C37EA" w:rsidP="007C37EA">
      <w:pPr>
        <w:spacing w:after="0"/>
        <w:jc w:val="both"/>
      </w:pPr>
    </w:p>
    <w:p w14:paraId="304E4170" w14:textId="614D1DE3" w:rsidR="007C37EA" w:rsidRPr="001C079D" w:rsidRDefault="007C37EA" w:rsidP="007C37EA">
      <w:pPr>
        <w:pStyle w:val="Lijstalinea"/>
        <w:numPr>
          <w:ilvl w:val="1"/>
          <w:numId w:val="39"/>
        </w:numPr>
        <w:spacing w:after="0"/>
        <w:jc w:val="both"/>
        <w:rPr>
          <w:u w:val="single"/>
        </w:rPr>
      </w:pPr>
      <w:r>
        <w:rPr>
          <w:u w:val="single"/>
        </w:rPr>
        <w:t xml:space="preserve">Verdeling van de </w:t>
      </w:r>
      <w:r w:rsidR="004945C4">
        <w:rPr>
          <w:u w:val="single"/>
        </w:rPr>
        <w:t>toeslag kinderen ten laste</w:t>
      </w:r>
    </w:p>
    <w:p w14:paraId="3A128EC6" w14:textId="40CCF568" w:rsidR="007C37EA" w:rsidRDefault="007C37EA" w:rsidP="007C37EA">
      <w:pPr>
        <w:spacing w:after="0"/>
        <w:jc w:val="both"/>
      </w:pPr>
    </w:p>
    <w:p w14:paraId="0B6CE0A7" w14:textId="77777777" w:rsidR="007C37EA" w:rsidRDefault="007C37EA" w:rsidP="007C37EA">
      <w:pPr>
        <w:spacing w:after="0"/>
        <w:jc w:val="both"/>
      </w:pPr>
    </w:p>
    <w:p w14:paraId="1C359733" w14:textId="3EB3889F" w:rsidR="00CC7A64" w:rsidRDefault="004945C4" w:rsidP="004945C4">
      <w:pPr>
        <w:spacing w:after="0"/>
        <w:jc w:val="both"/>
      </w:pPr>
      <w:r w:rsidRPr="00BA7E3E">
        <w:rPr>
          <w:b/>
          <w:bCs/>
        </w:rPr>
        <w:t>Voorstel</w:t>
      </w:r>
      <w:r>
        <w:t xml:space="preserve"> – </w:t>
      </w:r>
      <w:r w:rsidR="00CA5812" w:rsidRPr="00B21FAC">
        <w:t xml:space="preserve">Wat de toeslag voor de kinderen betreft, wordt deze niet langer toegewezen aan diegene met het hoogste inkomen of aan het ‘gezinshoofd’, maar wordt deze toeslag verdeeld over het aantal personen </w:t>
      </w:r>
      <w:r w:rsidR="00347B9F">
        <w:t xml:space="preserve">(in de regel </w:t>
      </w:r>
      <w:r w:rsidR="007F4B3D">
        <w:t xml:space="preserve">de ouder(s)) </w:t>
      </w:r>
      <w:r w:rsidR="00CA5812" w:rsidRPr="00B21FAC">
        <w:t xml:space="preserve">die </w:t>
      </w:r>
      <w:r w:rsidR="00821799" w:rsidRPr="00B21FAC">
        <w:t>het kind</w:t>
      </w:r>
      <w:r w:rsidR="00CA5812" w:rsidRPr="00B21FAC">
        <w:t xml:space="preserve"> </w:t>
      </w:r>
      <w:r w:rsidR="00D7742B">
        <w:t xml:space="preserve">op grond van een wettelijke verplichting moeten </w:t>
      </w:r>
      <w:r w:rsidR="00CA5812" w:rsidRPr="00B21FAC">
        <w:t>ondersteunen, hetzij in natura (huisvesting)</w:t>
      </w:r>
      <w:r w:rsidR="002B39A2">
        <w:t>,</w:t>
      </w:r>
      <w:r w:rsidR="00CA5812" w:rsidRPr="00B21FAC">
        <w:t xml:space="preserve"> hetzij financieel (bv. onderhoudsuitkeringen). De toeslag is </w:t>
      </w:r>
      <w:r w:rsidR="00CC7A64">
        <w:t>voorts</w:t>
      </w:r>
      <w:r w:rsidR="00CC7A64" w:rsidRPr="00B21FAC">
        <w:t xml:space="preserve"> </w:t>
      </w:r>
      <w:r w:rsidR="00CA5812" w:rsidRPr="00B21FAC">
        <w:t xml:space="preserve">niet langer verbonden aan de voorwaarde dat </w:t>
      </w:r>
      <w:r w:rsidR="00A35326" w:rsidRPr="00B21FAC">
        <w:t>het kind</w:t>
      </w:r>
      <w:r w:rsidR="00CA5812" w:rsidRPr="00B21FAC">
        <w:t xml:space="preserve"> deel moet uitmaken van hetzelfde gezin. </w:t>
      </w:r>
      <w:r w:rsidR="007A19EE">
        <w:t>Bijkomend kan overwogen worden om hier</w:t>
      </w:r>
      <w:r w:rsidR="00845BD8">
        <w:t>voor</w:t>
      </w:r>
      <w:r w:rsidR="007A19EE">
        <w:t xml:space="preserve"> in een belastingkrediet te voorzien.</w:t>
      </w:r>
    </w:p>
    <w:p w14:paraId="7A765DCE" w14:textId="77777777" w:rsidR="00CC7A64" w:rsidRDefault="00CC7A64" w:rsidP="004945C4">
      <w:pPr>
        <w:spacing w:after="0"/>
        <w:jc w:val="both"/>
      </w:pPr>
    </w:p>
    <w:p w14:paraId="132E1E12" w14:textId="430F32A5" w:rsidR="00CC7A64" w:rsidRPr="00BA7E3E" w:rsidRDefault="00CC7A64" w:rsidP="004945C4">
      <w:pPr>
        <w:spacing w:after="0"/>
        <w:jc w:val="both"/>
        <w:rPr>
          <w:u w:val="single"/>
        </w:rPr>
      </w:pPr>
      <w:r w:rsidRPr="00BA7E3E">
        <w:rPr>
          <w:u w:val="single"/>
        </w:rPr>
        <w:t>Toelichting:</w:t>
      </w:r>
    </w:p>
    <w:p w14:paraId="743F25D1" w14:textId="77777777" w:rsidR="00CC7A64" w:rsidRDefault="00CC7A64" w:rsidP="004945C4">
      <w:pPr>
        <w:spacing w:after="0"/>
        <w:jc w:val="both"/>
      </w:pPr>
    </w:p>
    <w:p w14:paraId="4C30542F" w14:textId="43C1B92F" w:rsidR="00CA5812" w:rsidRDefault="00CC7A64" w:rsidP="004945C4">
      <w:pPr>
        <w:spacing w:after="0"/>
        <w:jc w:val="both"/>
      </w:pPr>
      <w:r>
        <w:t>Dit voorstel</w:t>
      </w:r>
      <w:r w:rsidR="00CA5812" w:rsidRPr="00B21FAC">
        <w:t xml:space="preserve"> moet vooral gezien worden als een tegengewicht voor het wegvallen van de aftrek onderhoudsuitkeringen.</w:t>
      </w:r>
    </w:p>
    <w:p w14:paraId="554D26ED" w14:textId="77777777" w:rsidR="00165BE3" w:rsidRPr="00B21FAC" w:rsidRDefault="00165BE3" w:rsidP="00BA7E3E">
      <w:pPr>
        <w:spacing w:after="0"/>
        <w:jc w:val="both"/>
      </w:pPr>
    </w:p>
    <w:p w14:paraId="44F5BEE2" w14:textId="037AFB34" w:rsidR="00CA5812" w:rsidRPr="00B21FAC" w:rsidRDefault="00CA5812" w:rsidP="00BA7E3E">
      <w:pPr>
        <w:spacing w:after="0"/>
        <w:jc w:val="both"/>
      </w:pPr>
      <w:r w:rsidRPr="00B21FAC">
        <w:t>In een klassieke gezinssituatie heeft elke ouder dus recht op 50% van de toeslag. Het feit dat de ouders zouden scheiden, zal echter niet verhinderen dat beiden 50% van die toeslag behouden (ook buiten de hypothese van een co-ouderschap dus, maar wel uitgaand van een evenwichtige ‘bijdrage’ door de beide ouders).</w:t>
      </w:r>
      <w:r w:rsidR="00BA139A">
        <w:t xml:space="preserve"> </w:t>
      </w:r>
      <w:r w:rsidRPr="00B21FAC">
        <w:t xml:space="preserve">In de mate een ouder helemaal alleen de (financiële) zorg voor de kinderen op zich zou moeten nemen (bv. ingevolge vooroverlijden, afwezigheid, gerechtelijke beslissing, EOT-overeenkomst,…), heeft de betreffende ouder dus recht op de gehele toeslag. </w:t>
      </w:r>
    </w:p>
    <w:p w14:paraId="4378F4EE" w14:textId="77777777" w:rsidR="008864D2" w:rsidRPr="00B21FAC" w:rsidRDefault="008864D2" w:rsidP="00BA7E3E">
      <w:pPr>
        <w:spacing w:after="0"/>
        <w:jc w:val="both"/>
      </w:pPr>
    </w:p>
    <w:p w14:paraId="22A8BF11" w14:textId="2003B4C9" w:rsidR="00CA5812" w:rsidRPr="00B21FAC" w:rsidRDefault="00CA5812" w:rsidP="00BA7E3E">
      <w:pPr>
        <w:spacing w:after="0"/>
        <w:jc w:val="both"/>
      </w:pPr>
      <w:r w:rsidRPr="00BA7E3E">
        <w:rPr>
          <w:u w:val="single"/>
        </w:rPr>
        <w:t>PM:</w:t>
      </w:r>
      <w:r w:rsidRPr="00B21FAC">
        <w:t xml:space="preserve"> Bij het uitwerken van een dergelijke regeling moet vermeden worden dat de heffingskorting het bedrag van de reële lasten die één van de ouders op zich neemt, zou overschrijden. Dit kan zich inzonderheid voordoen in situaties waarbij één van de ouders een slechts zeer geringe onderhoudsuitkering zou betalen. Nader onderzoek is binnen dit kader vereist.</w:t>
      </w:r>
    </w:p>
    <w:p w14:paraId="024EF96F" w14:textId="77777777" w:rsidR="008864D2" w:rsidRPr="00B21FAC" w:rsidRDefault="008864D2" w:rsidP="00BA7E3E">
      <w:pPr>
        <w:spacing w:after="0"/>
        <w:jc w:val="both"/>
      </w:pPr>
    </w:p>
    <w:p w14:paraId="3EB6B648" w14:textId="6D26EFA4" w:rsidR="00CA5812" w:rsidRPr="00B21FAC" w:rsidRDefault="00CA5812" w:rsidP="00BA7E3E">
      <w:pPr>
        <w:spacing w:after="0"/>
        <w:jc w:val="both"/>
      </w:pPr>
      <w:r w:rsidRPr="00B21FAC">
        <w:t xml:space="preserve">Er kan </w:t>
      </w:r>
      <w:r w:rsidR="008B3664">
        <w:t xml:space="preserve">voorts </w:t>
      </w:r>
      <w:r w:rsidRPr="00B21FAC">
        <w:t xml:space="preserve">overwogen worden om een belastingkrediet toe te kennen ten belope van het bedrag van de niet aangerekende heffingskorting voor kinderen ten laste. Het is aan te bevelen om </w:t>
      </w:r>
      <w:r w:rsidR="006F5D59">
        <w:t>dit te koppelen aan</w:t>
      </w:r>
      <w:r w:rsidRPr="00B21FAC">
        <w:t xml:space="preserve"> het aangegeven belastbaar inkomen. </w:t>
      </w:r>
      <w:r w:rsidR="004A0AF7">
        <w:t>Met andere woorden, o</w:t>
      </w:r>
      <w:r w:rsidRPr="00B21FAC">
        <w:t>ok indien afzonderlijke belastbare inkomsten werden aangegeven of inkomsten die desgevallend vrijgesteld zouden zijn, zal er geen effectieve terugbetaling mogelijk zijn voor zover het aangegeven inkomen een bepaalde grens overschrijdt.</w:t>
      </w:r>
    </w:p>
    <w:p w14:paraId="027BD076" w14:textId="2819B3CA" w:rsidR="00301FF2" w:rsidRDefault="00301FF2">
      <w:r>
        <w:br w:type="page"/>
      </w:r>
    </w:p>
    <w:p w14:paraId="7D131C4A" w14:textId="77777777" w:rsidR="00CA5812" w:rsidRPr="00B21FAC" w:rsidRDefault="00CA5812" w:rsidP="00BA7E3E">
      <w:pPr>
        <w:spacing w:after="0"/>
        <w:jc w:val="both"/>
      </w:pPr>
    </w:p>
    <w:p w14:paraId="5D996932" w14:textId="77777777" w:rsidR="00CA5812" w:rsidRPr="00B21FAC" w:rsidRDefault="00CA5812" w:rsidP="00BA7E3E">
      <w:pPr>
        <w:spacing w:after="0"/>
        <w:jc w:val="both"/>
      </w:pPr>
    </w:p>
    <w:p w14:paraId="6165974D" w14:textId="0E15716F" w:rsidR="00CA5812" w:rsidRPr="00B21FAC" w:rsidRDefault="00CA5812" w:rsidP="00275FEB">
      <w:pPr>
        <w:pStyle w:val="Kop2"/>
        <w:numPr>
          <w:ilvl w:val="0"/>
          <w:numId w:val="47"/>
        </w:numPr>
      </w:pPr>
      <w:bookmarkStart w:id="161" w:name="_Toc107210899"/>
      <w:r w:rsidRPr="00B21FAC">
        <w:t>Huwelijksquotiënt</w:t>
      </w:r>
      <w:bookmarkEnd w:id="161"/>
    </w:p>
    <w:p w14:paraId="135742E0" w14:textId="77777777" w:rsidR="00B511EF" w:rsidRPr="00B21FAC" w:rsidRDefault="00B511EF" w:rsidP="00BA7E3E">
      <w:pPr>
        <w:spacing w:after="0"/>
        <w:jc w:val="both"/>
      </w:pPr>
    </w:p>
    <w:p w14:paraId="6CA1A102" w14:textId="77777777" w:rsidR="006C5145" w:rsidRPr="00B21FAC" w:rsidRDefault="006C5145" w:rsidP="00BA7E3E">
      <w:pPr>
        <w:spacing w:after="0"/>
        <w:jc w:val="both"/>
      </w:pPr>
    </w:p>
    <w:p w14:paraId="020D510A" w14:textId="6FFF92E8" w:rsidR="00CA5812" w:rsidRDefault="00CA5812" w:rsidP="00400D6E">
      <w:pPr>
        <w:spacing w:after="0"/>
        <w:jc w:val="both"/>
      </w:pPr>
      <w:r w:rsidRPr="00BA7E3E">
        <w:rPr>
          <w:b/>
          <w:bCs/>
        </w:rPr>
        <w:t>Voorstel</w:t>
      </w:r>
      <w:r w:rsidR="0092388A" w:rsidRPr="00BA7E3E">
        <w:t xml:space="preserve"> – </w:t>
      </w:r>
      <w:r w:rsidRPr="00B21FAC">
        <w:t xml:space="preserve">Het huwelijksquotiënt wordt </w:t>
      </w:r>
      <w:r w:rsidR="00D82DB5">
        <w:t>opgeheven</w:t>
      </w:r>
      <w:r w:rsidRPr="00B21FAC">
        <w:t xml:space="preserve"> en vervangen door de toeslag op belastingvrije som </w:t>
      </w:r>
      <w:r w:rsidR="00F41371">
        <w:t xml:space="preserve">ten gunste van de </w:t>
      </w:r>
      <w:r w:rsidRPr="00B21FAC">
        <w:t xml:space="preserve">echtgeno(o)t(e) of wettelijk samenwonende </w:t>
      </w:r>
      <w:r w:rsidR="00F41371">
        <w:t xml:space="preserve">wiens partner </w:t>
      </w:r>
      <w:r w:rsidRPr="00B21FAC">
        <w:t>geen of een laag inkomen heeft</w:t>
      </w:r>
      <w:r w:rsidR="00495C83">
        <w:t xml:space="preserve"> (partnertoeslag)</w:t>
      </w:r>
      <w:r w:rsidR="00400D6E">
        <w:t>.</w:t>
      </w:r>
    </w:p>
    <w:p w14:paraId="7406E145" w14:textId="238D87B3" w:rsidR="00400D6E" w:rsidRDefault="00400D6E" w:rsidP="00400D6E">
      <w:pPr>
        <w:spacing w:after="0"/>
        <w:jc w:val="both"/>
      </w:pPr>
    </w:p>
    <w:p w14:paraId="079BA464" w14:textId="4F2A8F11" w:rsidR="00400D6E" w:rsidRPr="00BA7E3E" w:rsidRDefault="00A47209" w:rsidP="00400D6E">
      <w:pPr>
        <w:spacing w:after="0"/>
        <w:jc w:val="both"/>
        <w:rPr>
          <w:u w:val="single"/>
        </w:rPr>
      </w:pPr>
      <w:r w:rsidRPr="00BA7E3E">
        <w:rPr>
          <w:u w:val="single"/>
        </w:rPr>
        <w:t>Toelichting:</w:t>
      </w:r>
    </w:p>
    <w:p w14:paraId="2EBF6202" w14:textId="327362F6" w:rsidR="00A47209" w:rsidRDefault="00A47209" w:rsidP="00400D6E">
      <w:pPr>
        <w:spacing w:after="0"/>
        <w:jc w:val="both"/>
      </w:pPr>
    </w:p>
    <w:p w14:paraId="12F2E5C2" w14:textId="3A8BC208" w:rsidR="00D22BE1" w:rsidRPr="00D22BE1" w:rsidRDefault="00D22BE1" w:rsidP="00BA7E3E">
      <w:pPr>
        <w:spacing w:after="0"/>
        <w:jc w:val="both"/>
      </w:pPr>
      <w:r w:rsidRPr="00D22BE1">
        <w:t>De figuur van het huwelijksquotiënt is geënt op het verouderde gezinsmodel, waarbij vaak maar één partner belastbare beroepsinkomsten verwerft</w:t>
      </w:r>
      <w:r>
        <w:t>. Het heeft daarenboven een n</w:t>
      </w:r>
      <w:r w:rsidRPr="00D22BE1">
        <w:t>egatieve impact op tewerkstelling van (inz.) vrouwen</w:t>
      </w:r>
      <w:r>
        <w:t xml:space="preserve">. </w:t>
      </w:r>
      <w:r w:rsidR="002838E4">
        <w:t xml:space="preserve">Voorts is deze fiscale tegemoetkoming ook niet </w:t>
      </w:r>
      <w:r w:rsidRPr="00D22BE1">
        <w:t>inkomensneutraal: belastingplichtigen die hun inkomsten vanuit de hoogste belastingschijf kunnen overhevelen naar hun partner behalen een hoger voordeel dan belastingplichtigen met het hoogste inkomen in lagere belastingschijven</w:t>
      </w:r>
    </w:p>
    <w:p w14:paraId="0FA840A6" w14:textId="49F70B07" w:rsidR="00D22BE1" w:rsidRDefault="00D22BE1" w:rsidP="00400D6E">
      <w:pPr>
        <w:spacing w:after="0"/>
        <w:jc w:val="both"/>
      </w:pPr>
    </w:p>
    <w:p w14:paraId="241C5BCE" w14:textId="030687CE" w:rsidR="00A47209" w:rsidRDefault="000D1F7E" w:rsidP="00400D6E">
      <w:pPr>
        <w:spacing w:after="0"/>
        <w:jc w:val="both"/>
      </w:pPr>
      <w:r>
        <w:t xml:space="preserve">Het voorgaande neemt niet weg dat een meer eigentijds alternatief kan voorzien worden. Hiertoe wordt </w:t>
      </w:r>
      <w:r w:rsidR="00A47209">
        <w:t>verwezen worden naar hetgeen supra werd gesteld m.b.t. de ‘partner</w:t>
      </w:r>
      <w:r w:rsidR="002641FE">
        <w:t>toeslag</w:t>
      </w:r>
      <w:r w:rsidR="00A47209">
        <w:t>’.</w:t>
      </w:r>
      <w:r w:rsidR="00D22BE1">
        <w:t xml:space="preserve"> </w:t>
      </w:r>
    </w:p>
    <w:p w14:paraId="7B57620A" w14:textId="3F106FF4" w:rsidR="00A47209" w:rsidRDefault="00A47209" w:rsidP="00400D6E">
      <w:pPr>
        <w:spacing w:after="0"/>
        <w:jc w:val="both"/>
      </w:pPr>
    </w:p>
    <w:p w14:paraId="0B423125" w14:textId="77777777" w:rsidR="008E2022" w:rsidRDefault="00CA5812" w:rsidP="00BA7E3E">
      <w:pPr>
        <w:spacing w:after="0"/>
        <w:jc w:val="both"/>
      </w:pPr>
      <w:r w:rsidRPr="00B21FAC">
        <w:t xml:space="preserve">Zeker op dit vlak moet een voldoende lange overgangsmaatregel </w:t>
      </w:r>
      <w:r w:rsidR="00B34D27">
        <w:t xml:space="preserve">voorzien worden. Zo lijkt het alvast evident te </w:t>
      </w:r>
      <w:r w:rsidRPr="00B21FAC">
        <w:t>garanderen dat de gepensioneerden, die thans een gezinspensioen krijgen, gespaard worden</w:t>
      </w:r>
      <w:r w:rsidR="008E2022">
        <w:t>.</w:t>
      </w:r>
    </w:p>
    <w:p w14:paraId="53EA8C67" w14:textId="21629A75" w:rsidR="00CA5812" w:rsidRPr="00B21FAC" w:rsidRDefault="00CA5812" w:rsidP="00BA7E3E">
      <w:pPr>
        <w:spacing w:after="0"/>
        <w:jc w:val="both"/>
      </w:pPr>
      <w:r w:rsidRPr="00BA7E3E">
        <w:rPr>
          <w:u w:val="single"/>
        </w:rPr>
        <w:t>PM:</w:t>
      </w:r>
      <w:r w:rsidRPr="00B21FAC">
        <w:t xml:space="preserve"> </w:t>
      </w:r>
      <w:r w:rsidR="008E2022">
        <w:t>V</w:t>
      </w:r>
      <w:r w:rsidRPr="00B21FAC">
        <w:t xml:space="preserve">ele gehuwde gepensioneerden genieten van het huwelijksquotiënt. Zo bv. genieten 49,1% van de gehuwden ouder dan 80 jaar hiervan. – cf. Advies </w:t>
      </w:r>
      <w:r w:rsidR="002E3DBB" w:rsidRPr="00B21FAC">
        <w:t xml:space="preserve">HRF </w:t>
      </w:r>
      <w:r w:rsidRPr="00B21FAC">
        <w:t>mei 2020, p. 195-196, zie ook p. 285-288.</w:t>
      </w:r>
    </w:p>
    <w:p w14:paraId="681925DB" w14:textId="20FCCF73" w:rsidR="00301FF2" w:rsidRDefault="00301FF2">
      <w:r>
        <w:br w:type="page"/>
      </w:r>
    </w:p>
    <w:p w14:paraId="1DAF3B0F" w14:textId="77777777" w:rsidR="00CA5812" w:rsidRPr="00B21FAC" w:rsidRDefault="00CA5812" w:rsidP="00BA7E3E">
      <w:pPr>
        <w:spacing w:after="0"/>
        <w:jc w:val="both"/>
      </w:pPr>
    </w:p>
    <w:p w14:paraId="48926E8A" w14:textId="77777777" w:rsidR="002E3DBB" w:rsidRPr="00B21FAC" w:rsidRDefault="002E3DBB" w:rsidP="00BA7E3E">
      <w:pPr>
        <w:spacing w:after="0"/>
        <w:jc w:val="both"/>
      </w:pPr>
    </w:p>
    <w:p w14:paraId="27CE3C9E" w14:textId="36877258" w:rsidR="00CA5812" w:rsidRPr="00B21FAC" w:rsidRDefault="00CA5812" w:rsidP="00275FEB">
      <w:pPr>
        <w:pStyle w:val="Kop2"/>
        <w:numPr>
          <w:ilvl w:val="0"/>
          <w:numId w:val="47"/>
        </w:numPr>
      </w:pPr>
      <w:bookmarkStart w:id="162" w:name="_Toc107210900"/>
      <w:r w:rsidRPr="00B21FAC">
        <w:t>Onderhoudsgelden</w:t>
      </w:r>
      <w:bookmarkEnd w:id="162"/>
    </w:p>
    <w:p w14:paraId="5FABFBE5" w14:textId="77777777" w:rsidR="002E3DBB" w:rsidRPr="00B21FAC" w:rsidRDefault="002E3DBB" w:rsidP="00BA7E3E">
      <w:pPr>
        <w:spacing w:after="0"/>
        <w:jc w:val="both"/>
      </w:pPr>
    </w:p>
    <w:p w14:paraId="1AEDFF7D" w14:textId="77777777" w:rsidR="002E3DBB" w:rsidRPr="00752BBD" w:rsidRDefault="002E3DBB" w:rsidP="00BA7E3E">
      <w:pPr>
        <w:spacing w:after="0"/>
        <w:jc w:val="both"/>
      </w:pPr>
    </w:p>
    <w:p w14:paraId="5F2F67A5" w14:textId="345F453B" w:rsidR="0020342E" w:rsidRPr="002B329F" w:rsidRDefault="00CA5812" w:rsidP="00BA7E3E">
      <w:pPr>
        <w:spacing w:after="0"/>
        <w:jc w:val="both"/>
      </w:pPr>
      <w:r w:rsidRPr="00BA7E3E">
        <w:rPr>
          <w:b/>
          <w:bCs/>
        </w:rPr>
        <w:t>Voorstel</w:t>
      </w:r>
      <w:r w:rsidR="0012415B" w:rsidRPr="00BA7E3E">
        <w:t xml:space="preserve"> – </w:t>
      </w:r>
      <w:r w:rsidR="006275D5">
        <w:t>De a</w:t>
      </w:r>
      <w:r w:rsidRPr="002B329F">
        <w:t xml:space="preserve">ftrek </w:t>
      </w:r>
      <w:r w:rsidR="006275D5">
        <w:t xml:space="preserve">(en belastbaarheid) van </w:t>
      </w:r>
      <w:r w:rsidRPr="002B329F">
        <w:t>onderhoudsuitkeringen wordt geschrapt</w:t>
      </w:r>
      <w:r w:rsidR="0020342E" w:rsidRPr="002B329F">
        <w:t>.</w:t>
      </w:r>
    </w:p>
    <w:p w14:paraId="1576AA0F" w14:textId="1730EAAF" w:rsidR="002B329F" w:rsidRDefault="002B329F" w:rsidP="002B329F">
      <w:pPr>
        <w:spacing w:after="0"/>
        <w:jc w:val="both"/>
      </w:pPr>
    </w:p>
    <w:p w14:paraId="4AA8023B" w14:textId="6A6D6F16" w:rsidR="002B329F" w:rsidRPr="00BA7E3E" w:rsidRDefault="002B329F" w:rsidP="002B329F">
      <w:pPr>
        <w:spacing w:after="0"/>
        <w:jc w:val="both"/>
        <w:rPr>
          <w:u w:val="single"/>
        </w:rPr>
      </w:pPr>
      <w:r w:rsidRPr="00BA7E3E">
        <w:rPr>
          <w:u w:val="single"/>
        </w:rPr>
        <w:t>Toelichting:</w:t>
      </w:r>
    </w:p>
    <w:p w14:paraId="034B7C22" w14:textId="4548F023" w:rsidR="002B329F" w:rsidRDefault="002B329F" w:rsidP="002B329F">
      <w:pPr>
        <w:spacing w:after="0"/>
        <w:jc w:val="both"/>
      </w:pPr>
    </w:p>
    <w:p w14:paraId="1A31488F" w14:textId="2B1D7D81" w:rsidR="00916721" w:rsidRDefault="00916721" w:rsidP="002B329F">
      <w:pPr>
        <w:spacing w:after="0"/>
        <w:jc w:val="both"/>
      </w:pPr>
      <w:r>
        <w:t>Het huidige stelsel is voorwerp van kritiek, minstens omwille van de volgende redenen:</w:t>
      </w:r>
    </w:p>
    <w:p w14:paraId="7D0E9FDE" w14:textId="2641D5E3" w:rsidR="002B329F" w:rsidRPr="00B21FAC" w:rsidRDefault="00251B2D" w:rsidP="002B329F">
      <w:pPr>
        <w:numPr>
          <w:ilvl w:val="0"/>
          <w:numId w:val="21"/>
        </w:numPr>
        <w:spacing w:after="0"/>
        <w:jc w:val="both"/>
      </w:pPr>
      <w:r>
        <w:t>m</w:t>
      </w:r>
      <w:r w:rsidR="002B329F" w:rsidRPr="00B21FAC">
        <w:t>isbruikgevoelig;</w:t>
      </w:r>
    </w:p>
    <w:p w14:paraId="35181065" w14:textId="46B73650" w:rsidR="002B329F" w:rsidRPr="00B21FAC" w:rsidRDefault="00251B2D" w:rsidP="002B329F">
      <w:pPr>
        <w:numPr>
          <w:ilvl w:val="0"/>
          <w:numId w:val="21"/>
        </w:numPr>
        <w:spacing w:after="0"/>
        <w:jc w:val="both"/>
      </w:pPr>
      <w:r>
        <w:t>k</w:t>
      </w:r>
      <w:r w:rsidR="002B329F" w:rsidRPr="00B21FAC">
        <w:t>oppeling met belastingvrije som;</w:t>
      </w:r>
    </w:p>
    <w:p w14:paraId="7739B932" w14:textId="7DAB7486" w:rsidR="002B329F" w:rsidRDefault="00251B2D" w:rsidP="002B329F">
      <w:pPr>
        <w:numPr>
          <w:ilvl w:val="0"/>
          <w:numId w:val="21"/>
        </w:numPr>
        <w:spacing w:after="0"/>
        <w:jc w:val="both"/>
      </w:pPr>
      <w:r>
        <w:t>h</w:t>
      </w:r>
      <w:r w:rsidR="002B329F" w:rsidRPr="00B21FAC">
        <w:t>oe hoger het belastbaar inkomen, hoe hoger het fiscaal voordeel</w:t>
      </w:r>
      <w:r w:rsidR="002B329F">
        <w:t>;</w:t>
      </w:r>
    </w:p>
    <w:p w14:paraId="7C82B071" w14:textId="35A2343D" w:rsidR="002B329F" w:rsidRPr="00752BBD" w:rsidRDefault="00251B2D" w:rsidP="002B329F">
      <w:pPr>
        <w:numPr>
          <w:ilvl w:val="0"/>
          <w:numId w:val="21"/>
        </w:numPr>
        <w:spacing w:after="0"/>
        <w:jc w:val="both"/>
      </w:pPr>
      <w:r>
        <w:t>f</w:t>
      </w:r>
      <w:r w:rsidR="002B329F">
        <w:t>iscale tegemoetkoming die aanzienlijk kan afwijken van de tegemoetkoming opzichtens kinderen die deel uitmaken van het gezin.</w:t>
      </w:r>
    </w:p>
    <w:p w14:paraId="664F3035" w14:textId="47F6A172" w:rsidR="002B329F" w:rsidRDefault="002B329F" w:rsidP="002B329F">
      <w:pPr>
        <w:spacing w:after="0"/>
        <w:jc w:val="both"/>
      </w:pPr>
    </w:p>
    <w:p w14:paraId="5B9C7FCF" w14:textId="2ABACFDE" w:rsidR="00916721" w:rsidRPr="00B21FAC" w:rsidRDefault="00916721" w:rsidP="00BA7E3E">
      <w:pPr>
        <w:spacing w:after="0"/>
        <w:jc w:val="both"/>
      </w:pPr>
      <w:r>
        <w:t>Er wordt dan ook voorgesteld om over te stappen naar een meer neutraal stelsel</w:t>
      </w:r>
      <w:r w:rsidR="00336654">
        <w:t xml:space="preserve">, waarbij met name de financiële zorg over de kinderen recht zal geven op een bijkomende </w:t>
      </w:r>
      <w:r w:rsidR="002A5F1A">
        <w:t>belastingvrije som</w:t>
      </w:r>
      <w:r w:rsidR="00336654">
        <w:t xml:space="preserve"> (zie hiervoor).</w:t>
      </w:r>
    </w:p>
    <w:p w14:paraId="74B236E7" w14:textId="3403B7D0" w:rsidR="00301FF2" w:rsidRDefault="00301FF2">
      <w:pPr>
        <w:rPr>
          <w:b/>
          <w:bCs/>
        </w:rPr>
      </w:pPr>
      <w:r>
        <w:rPr>
          <w:b/>
          <w:bCs/>
        </w:rPr>
        <w:br w:type="page"/>
      </w:r>
    </w:p>
    <w:p w14:paraId="0DAF8786" w14:textId="77777777" w:rsidR="00CA5812" w:rsidRPr="00B21FAC" w:rsidRDefault="00CA5812" w:rsidP="00BA7E3E">
      <w:pPr>
        <w:spacing w:after="0"/>
        <w:jc w:val="both"/>
        <w:rPr>
          <w:b/>
          <w:bCs/>
        </w:rPr>
      </w:pPr>
    </w:p>
    <w:p w14:paraId="3B4D404B" w14:textId="77777777" w:rsidR="002E3DBB" w:rsidRPr="00B21FAC" w:rsidRDefault="002E3DBB" w:rsidP="00BA7E3E">
      <w:pPr>
        <w:spacing w:after="0"/>
        <w:jc w:val="both"/>
        <w:rPr>
          <w:b/>
          <w:bCs/>
        </w:rPr>
      </w:pPr>
    </w:p>
    <w:p w14:paraId="73F14350" w14:textId="2790B5C7" w:rsidR="00CA5812" w:rsidRPr="00B21FAC" w:rsidRDefault="00CA5812" w:rsidP="00275FEB">
      <w:pPr>
        <w:pStyle w:val="Kop2"/>
        <w:numPr>
          <w:ilvl w:val="0"/>
          <w:numId w:val="47"/>
        </w:numPr>
      </w:pPr>
      <w:bookmarkStart w:id="163" w:name="_Toc107210901"/>
      <w:r w:rsidRPr="00B21FAC">
        <w:t>Belastingvermindering voor kinderoppas</w:t>
      </w:r>
      <w:bookmarkEnd w:id="163"/>
    </w:p>
    <w:p w14:paraId="21780EEC" w14:textId="77777777" w:rsidR="00B50C1C" w:rsidRPr="00B21FAC" w:rsidRDefault="00B50C1C" w:rsidP="00BA7E3E">
      <w:pPr>
        <w:spacing w:after="0"/>
        <w:jc w:val="both"/>
      </w:pPr>
    </w:p>
    <w:p w14:paraId="52C8CB13" w14:textId="77777777" w:rsidR="00B50C1C" w:rsidRPr="00B21FAC" w:rsidRDefault="00B50C1C" w:rsidP="00BA7E3E">
      <w:pPr>
        <w:spacing w:after="0"/>
        <w:jc w:val="both"/>
      </w:pPr>
    </w:p>
    <w:p w14:paraId="2A4834E4" w14:textId="5E154286" w:rsidR="0056464F" w:rsidRDefault="00CA5812" w:rsidP="0056464F">
      <w:pPr>
        <w:spacing w:after="0"/>
        <w:jc w:val="both"/>
      </w:pPr>
      <w:r w:rsidRPr="00BA7E3E">
        <w:rPr>
          <w:b/>
          <w:bCs/>
        </w:rPr>
        <w:t>Voorstel</w:t>
      </w:r>
      <w:r w:rsidR="00BF592B">
        <w:t xml:space="preserve"> –</w:t>
      </w:r>
      <w:r w:rsidR="009966FA">
        <w:t xml:space="preserve"> </w:t>
      </w:r>
      <w:r w:rsidR="00514F68">
        <w:t xml:space="preserve">Er kan uitgegaan worden van het principe dat enkel ‘activiteitsinkomsten’ recht geven op </w:t>
      </w:r>
      <w:r w:rsidR="005B0A42">
        <w:t xml:space="preserve">een </w:t>
      </w:r>
      <w:r w:rsidR="00B939E4">
        <w:t xml:space="preserve">doeltreffende </w:t>
      </w:r>
      <w:r w:rsidR="005B0A42">
        <w:t>fiscale tegemoetkoming voor kinderoppas.</w:t>
      </w:r>
      <w:r w:rsidR="00451634">
        <w:t xml:space="preserve"> Fiscaaltechnisch moet overwogen worden om de belastingvermindering om te vormen tot een </w:t>
      </w:r>
      <w:r w:rsidR="00222C2F">
        <w:t>forfaitaire</w:t>
      </w:r>
      <w:r w:rsidR="00451634">
        <w:t xml:space="preserve"> heffingskorting</w:t>
      </w:r>
      <w:r w:rsidR="00951559">
        <w:t>, met een gekoppeld belastingkrediet.</w:t>
      </w:r>
    </w:p>
    <w:p w14:paraId="1242364D" w14:textId="77777777" w:rsidR="0056464F" w:rsidRDefault="0056464F" w:rsidP="0056464F">
      <w:pPr>
        <w:spacing w:after="0"/>
        <w:jc w:val="both"/>
      </w:pPr>
    </w:p>
    <w:p w14:paraId="086072DB" w14:textId="5F12497A" w:rsidR="005B0A42" w:rsidRPr="00BA7E3E" w:rsidRDefault="005B0A42" w:rsidP="0056464F">
      <w:pPr>
        <w:spacing w:after="0"/>
        <w:jc w:val="both"/>
        <w:rPr>
          <w:u w:val="single"/>
        </w:rPr>
      </w:pPr>
      <w:r w:rsidRPr="00BA7E3E">
        <w:rPr>
          <w:u w:val="single"/>
        </w:rPr>
        <w:t>Toelichting:</w:t>
      </w:r>
    </w:p>
    <w:p w14:paraId="5B99B7F1" w14:textId="566EB129" w:rsidR="005B0A42" w:rsidRDefault="005B0A42" w:rsidP="0056464F">
      <w:pPr>
        <w:spacing w:after="0"/>
        <w:jc w:val="both"/>
      </w:pPr>
    </w:p>
    <w:p w14:paraId="50FA5652" w14:textId="121DCE49" w:rsidR="00A9177C" w:rsidRDefault="0056464F">
      <w:pPr>
        <w:spacing w:after="0"/>
        <w:jc w:val="both"/>
        <w:rPr>
          <w:u w:val="single"/>
        </w:rPr>
      </w:pPr>
      <w:r w:rsidRPr="0056464F">
        <w:t>Teneinde deze tegemoetkoming nog meer te koppelen aan ‘werk’ kan de notie ‘beroepsinkomsten’ desgevallend ingeperkt worden (uitgaande van de het principe dat enkel ‘activiteitsinkomsten’ recht geven op deze toeslag).</w:t>
      </w:r>
    </w:p>
    <w:p w14:paraId="1C7F8ED4" w14:textId="77777777" w:rsidR="00951559" w:rsidRPr="00BA7E3E" w:rsidRDefault="00951559" w:rsidP="00BA7E3E">
      <w:pPr>
        <w:spacing w:after="0"/>
        <w:jc w:val="both"/>
        <w:rPr>
          <w:u w:val="single"/>
        </w:rPr>
      </w:pPr>
    </w:p>
    <w:p w14:paraId="56FCC0CE" w14:textId="77777777" w:rsidR="00DF7368" w:rsidRDefault="00CA5812" w:rsidP="00BA7E3E">
      <w:pPr>
        <w:spacing w:after="0"/>
        <w:jc w:val="both"/>
        <w:rPr>
          <w:u w:val="single"/>
        </w:rPr>
      </w:pPr>
      <w:r w:rsidRPr="00B21FAC">
        <w:t xml:space="preserve">Ofschoon het Regeerakkoord aangeeft dat deze ‘belastingvermindering’ (die het verlies aan verdienvermogen beoogt op te vangen) moet behouden (en uitgebreid) worden, </w:t>
      </w:r>
      <w:r w:rsidR="003011C0">
        <w:t>hetgeen inmiddels ook reeds het voorwerp heeft uitgemaakt van een wetgevend ingri</w:t>
      </w:r>
      <w:r w:rsidR="005C4C8F">
        <w:t xml:space="preserve">jpen, </w:t>
      </w:r>
      <w:r w:rsidRPr="00B21FAC">
        <w:t xml:space="preserve">rijst niettemin de conceptuele vraag of deze regeling niet beter ingekanteld wordt in de regeling m.b.t. de belastingvrije som. </w:t>
      </w:r>
      <w:r w:rsidR="005A7B91" w:rsidRPr="005A7B91">
        <w:t>Dit kan eenvoudig bewerkstelligd worden door (uitgaande van de bestaande of aan te passen voorwaarden) aan de betrokken ouder toe te laten een bijkomende heffingskorting te verkrijgen ten belope van een bepaald maximum.</w:t>
      </w:r>
      <w:r w:rsidR="005A7B91">
        <w:rPr>
          <w:u w:val="single"/>
        </w:rPr>
        <w:t xml:space="preserve"> </w:t>
      </w:r>
    </w:p>
    <w:p w14:paraId="482FA04B" w14:textId="397D8C4F" w:rsidR="00CA5812" w:rsidRPr="00B21FAC" w:rsidRDefault="00CA5812" w:rsidP="00BA7E3E">
      <w:pPr>
        <w:spacing w:after="0"/>
        <w:jc w:val="both"/>
        <w:rPr>
          <w:u w:val="single"/>
        </w:rPr>
      </w:pPr>
      <w:r w:rsidRPr="00BA7E3E">
        <w:rPr>
          <w:u w:val="single"/>
        </w:rPr>
        <w:t>PM:</w:t>
      </w:r>
      <w:r w:rsidRPr="00B21FAC">
        <w:t xml:space="preserve"> </w:t>
      </w:r>
      <w:r w:rsidR="001B0758">
        <w:t xml:space="preserve">Dit </w:t>
      </w:r>
      <w:r w:rsidRPr="00B21FAC">
        <w:t>heeft wel een impact op de financiering van de Gewesten omdat de belastingvermindering voor kinderopvang nu ten laste is van de federale overheid</w:t>
      </w:r>
      <w:r w:rsidR="001B0758">
        <w:t>.</w:t>
      </w:r>
    </w:p>
    <w:p w14:paraId="5309FFEB" w14:textId="77777777" w:rsidR="005A7B91" w:rsidRPr="00B21FAC" w:rsidRDefault="005A7B91" w:rsidP="00BA7E3E">
      <w:pPr>
        <w:spacing w:after="0"/>
        <w:jc w:val="both"/>
        <w:rPr>
          <w:u w:val="single"/>
        </w:rPr>
      </w:pPr>
    </w:p>
    <w:p w14:paraId="5308F217" w14:textId="409A4B48" w:rsidR="005E5897" w:rsidRPr="00B21FAC" w:rsidRDefault="00CC5055" w:rsidP="00BA7E3E">
      <w:pPr>
        <w:spacing w:after="0"/>
        <w:jc w:val="both"/>
      </w:pPr>
      <w:r>
        <w:rPr>
          <w:u w:val="single"/>
        </w:rPr>
        <w:t>PM:</w:t>
      </w:r>
      <w:r w:rsidR="000B0DAC" w:rsidRPr="00BA7E3E">
        <w:t xml:space="preserve"> </w:t>
      </w:r>
      <w:r w:rsidR="005E5897" w:rsidRPr="00B21FAC">
        <w:t xml:space="preserve">Er </w:t>
      </w:r>
      <w:r w:rsidR="002E5AEB">
        <w:t>kan</w:t>
      </w:r>
      <w:r w:rsidR="002E5AEB" w:rsidRPr="00B21FAC">
        <w:t xml:space="preserve"> </w:t>
      </w:r>
      <w:r w:rsidR="005E5897" w:rsidRPr="00B21FAC">
        <w:t>nagegaan worden of ook met nieuwe vormen van kinderopvang</w:t>
      </w:r>
      <w:r w:rsidR="00BF0F55">
        <w:t>, en de daarmee gepaard gaande kosten</w:t>
      </w:r>
      <w:r w:rsidR="005E5897" w:rsidRPr="00B21FAC">
        <w:t xml:space="preserve"> (bv. in het kader van co-housing of kangoeroewonen)</w:t>
      </w:r>
      <w:r w:rsidR="00BF0F55">
        <w:t>,</w:t>
      </w:r>
      <w:r w:rsidR="005E5897" w:rsidRPr="00B21FAC">
        <w:t xml:space="preserve"> rekening moet worden gehouden.</w:t>
      </w:r>
    </w:p>
    <w:p w14:paraId="193C3BF7" w14:textId="6FF2A95A" w:rsidR="00301FF2" w:rsidRDefault="00301FF2">
      <w:r>
        <w:br w:type="page"/>
      </w:r>
    </w:p>
    <w:p w14:paraId="4B57CBA5" w14:textId="77777777" w:rsidR="005E5897" w:rsidRPr="00B21FAC" w:rsidRDefault="005E5897" w:rsidP="00BA7E3E">
      <w:pPr>
        <w:spacing w:after="0"/>
        <w:jc w:val="both"/>
      </w:pPr>
    </w:p>
    <w:p w14:paraId="3188736A" w14:textId="77777777" w:rsidR="00CA5812" w:rsidRPr="00B21FAC" w:rsidRDefault="00CA5812" w:rsidP="00BA7E3E">
      <w:pPr>
        <w:spacing w:after="0"/>
        <w:jc w:val="both"/>
      </w:pPr>
    </w:p>
    <w:p w14:paraId="5AC084D8" w14:textId="0763D716" w:rsidR="00CA5812" w:rsidRPr="00B21FAC" w:rsidRDefault="00CA5812" w:rsidP="00275FEB">
      <w:pPr>
        <w:pStyle w:val="Kop2"/>
        <w:numPr>
          <w:ilvl w:val="0"/>
          <w:numId w:val="47"/>
        </w:numPr>
      </w:pPr>
      <w:bookmarkStart w:id="164" w:name="_Toc107210902"/>
      <w:r w:rsidRPr="00B21FAC">
        <w:t>Bijzondere bijdrage Sociale Zekerheid</w:t>
      </w:r>
      <w:bookmarkEnd w:id="164"/>
    </w:p>
    <w:p w14:paraId="26B53C6B" w14:textId="39737082" w:rsidR="00CA5812" w:rsidRDefault="00CA5812" w:rsidP="00BA7E3E">
      <w:pPr>
        <w:spacing w:after="0"/>
        <w:jc w:val="both"/>
        <w:rPr>
          <w:u w:val="single"/>
        </w:rPr>
      </w:pPr>
    </w:p>
    <w:p w14:paraId="2BB32017" w14:textId="77777777" w:rsidR="00546F33" w:rsidRPr="00B21FAC" w:rsidRDefault="00546F33" w:rsidP="00BA7E3E">
      <w:pPr>
        <w:spacing w:after="0"/>
        <w:jc w:val="both"/>
      </w:pPr>
    </w:p>
    <w:p w14:paraId="11DA48B8" w14:textId="4ACE8EFB" w:rsidR="00CA5812" w:rsidRPr="00B21FAC" w:rsidRDefault="00CA5812" w:rsidP="00BA7E3E">
      <w:pPr>
        <w:spacing w:after="0"/>
        <w:jc w:val="both"/>
      </w:pPr>
      <w:r w:rsidRPr="00BA7E3E">
        <w:rPr>
          <w:b/>
          <w:bCs/>
        </w:rPr>
        <w:t>Voorstel</w:t>
      </w:r>
      <w:r w:rsidR="007469EA" w:rsidRPr="00BA7E3E">
        <w:t xml:space="preserve"> –</w:t>
      </w:r>
      <w:r w:rsidRPr="00B21FAC">
        <w:t xml:space="preserve"> </w:t>
      </w:r>
      <w:r w:rsidR="00C4448A" w:rsidRPr="00B21FAC">
        <w:t>O</w:t>
      </w:r>
      <w:r w:rsidRPr="00B21FAC">
        <w:t xml:space="preserve">nverminderd de schrapping of substantiële wijziging, dient </w:t>
      </w:r>
      <w:r w:rsidR="007469EA">
        <w:t>de BBSZ</w:t>
      </w:r>
      <w:r w:rsidR="007469EA" w:rsidRPr="00B21FAC">
        <w:t xml:space="preserve"> </w:t>
      </w:r>
      <w:r w:rsidRPr="00B21FAC">
        <w:t xml:space="preserve">– vanuit het oogpunt van de fiscaliteit </w:t>
      </w:r>
      <w:r w:rsidR="007469EA">
        <w:t xml:space="preserve">van de samenlevingsvormen </w:t>
      </w:r>
      <w:r w:rsidRPr="00B21FAC">
        <w:t>–</w:t>
      </w:r>
      <w:r w:rsidR="007469EA">
        <w:t xml:space="preserve"> </w:t>
      </w:r>
      <w:r w:rsidR="00DF7368">
        <w:t xml:space="preserve">op zijn minst </w:t>
      </w:r>
      <w:r w:rsidRPr="00B21FAC">
        <w:t>te worden ‘geïndividualiseerd’</w:t>
      </w:r>
      <w:r w:rsidR="004E1EA9" w:rsidRPr="00B21FAC">
        <w:t>.</w:t>
      </w:r>
    </w:p>
    <w:p w14:paraId="2BE834A1" w14:textId="77777777" w:rsidR="00271C97" w:rsidRDefault="00271C97">
      <w:pPr>
        <w:spacing w:after="0"/>
        <w:jc w:val="both"/>
      </w:pPr>
    </w:p>
    <w:p w14:paraId="0C41A758" w14:textId="279FA793" w:rsidR="00271C97" w:rsidRPr="00BA7E3E" w:rsidRDefault="00271C97">
      <w:pPr>
        <w:spacing w:after="0"/>
        <w:jc w:val="both"/>
        <w:rPr>
          <w:u w:val="single"/>
        </w:rPr>
      </w:pPr>
      <w:r w:rsidRPr="00BA7E3E">
        <w:rPr>
          <w:u w:val="single"/>
        </w:rPr>
        <w:t>Toelichting:</w:t>
      </w:r>
    </w:p>
    <w:p w14:paraId="45D3EDE0" w14:textId="77777777" w:rsidR="002F3B4E" w:rsidRPr="002F3B4E" w:rsidRDefault="002F3B4E" w:rsidP="002F3B4E">
      <w:pPr>
        <w:spacing w:after="0"/>
        <w:jc w:val="both"/>
        <w:rPr>
          <w:u w:val="single"/>
        </w:rPr>
      </w:pPr>
    </w:p>
    <w:p w14:paraId="79447669" w14:textId="77777777" w:rsidR="007826BF" w:rsidRDefault="002F3B4E" w:rsidP="007826BF">
      <w:pPr>
        <w:spacing w:after="0"/>
        <w:jc w:val="both"/>
      </w:pPr>
      <w:r>
        <w:t>D</w:t>
      </w:r>
      <w:r w:rsidRPr="002F3B4E">
        <w:t>e BBSZ wordt geheven per ‘gezin’ en dus niet per individuele belastingplichtige</w:t>
      </w:r>
      <w:r>
        <w:t xml:space="preserve">. </w:t>
      </w:r>
      <w:r w:rsidRPr="002F3B4E">
        <w:t xml:space="preserve">Het maximumbedrag van de bijzondere bijdrage in de personenbelasting is voorts geplafonneerd, ongeacht of de bijdragen worden berekend op de inkomsten van 1 of meerdere personen waarvan de inkomsten worden samengevoegd. </w:t>
      </w:r>
    </w:p>
    <w:p w14:paraId="6DA995A6" w14:textId="77777777" w:rsidR="007826BF" w:rsidRDefault="007826BF" w:rsidP="007826BF">
      <w:pPr>
        <w:spacing w:after="0"/>
        <w:jc w:val="both"/>
      </w:pPr>
    </w:p>
    <w:p w14:paraId="01BD8198" w14:textId="73786AE4" w:rsidR="002F3B4E" w:rsidRPr="002F3B4E" w:rsidRDefault="002F3B4E" w:rsidP="00BA7E3E">
      <w:pPr>
        <w:spacing w:after="0"/>
        <w:jc w:val="both"/>
      </w:pPr>
      <w:r w:rsidRPr="002F3B4E">
        <w:t xml:space="preserve">Dit heeft tot gevolg dat: </w:t>
      </w:r>
    </w:p>
    <w:p w14:paraId="5E21469C" w14:textId="77777777" w:rsidR="002F3B4E" w:rsidRPr="002F3B4E" w:rsidRDefault="002F3B4E" w:rsidP="002F3B4E">
      <w:pPr>
        <w:numPr>
          <w:ilvl w:val="1"/>
          <w:numId w:val="27"/>
        </w:numPr>
        <w:spacing w:after="0"/>
        <w:jc w:val="both"/>
      </w:pPr>
      <w:r w:rsidRPr="002F3B4E">
        <w:t xml:space="preserve">voor gehuwden en wettelijk samenwonenden met een laag inkomen, de berekening nadeliger is t.o.v. feitelijke samenwonenden of alleenstaanden met een laag inkomen. </w:t>
      </w:r>
    </w:p>
    <w:p w14:paraId="3D9EB6D3" w14:textId="77777777" w:rsidR="002F3B4E" w:rsidRPr="002F3B4E" w:rsidRDefault="002F3B4E" w:rsidP="002F3B4E">
      <w:pPr>
        <w:numPr>
          <w:ilvl w:val="1"/>
          <w:numId w:val="27"/>
        </w:numPr>
        <w:spacing w:after="0"/>
        <w:jc w:val="both"/>
      </w:pPr>
      <w:r w:rsidRPr="002F3B4E">
        <w:t>voor gehuwden en wettelijk samenwonenden de berekening voordeliger is t.o.v. feitelijke samenwonenden wanneer ze beiden een hoog inkomen hebben waardoor zij samen de maximumgrens bereiken waarboven geen bijdragen meer worden geïnd ondanks de grotere financiële draagkracht van het gezin door samen de kosten van levensonderhoud te dragen.</w:t>
      </w:r>
    </w:p>
    <w:p w14:paraId="34C241D9" w14:textId="77777777" w:rsidR="00271C97" w:rsidRDefault="00271C97">
      <w:pPr>
        <w:spacing w:after="0"/>
        <w:jc w:val="both"/>
      </w:pPr>
    </w:p>
    <w:p w14:paraId="7E247955" w14:textId="74C86ED0" w:rsidR="00F61E7C" w:rsidRDefault="00C4448A">
      <w:pPr>
        <w:spacing w:after="0"/>
        <w:jc w:val="both"/>
      </w:pPr>
      <w:r w:rsidRPr="00B21FAC">
        <w:t xml:space="preserve">Tijdens de werkzaamheden die tot de totstandkoming van dit rapport hebben geleid, werd </w:t>
      </w:r>
      <w:r w:rsidR="00CA5812" w:rsidRPr="00B21FAC">
        <w:t xml:space="preserve">kennis genomen van de beslissing van de Regering </w:t>
      </w:r>
      <w:r w:rsidR="004116FA" w:rsidRPr="004116FA">
        <w:t xml:space="preserve">om een tax shift uit te voeren waarbij 200 miljoen euro zal worden gebruikt om de BBSZ </w:t>
      </w:r>
      <w:r w:rsidR="004116FA">
        <w:t>(</w:t>
      </w:r>
      <w:r w:rsidR="004116FA" w:rsidRPr="004116FA">
        <w:t>en het supplement sociale bijdragen zelfstandigen</w:t>
      </w:r>
      <w:r w:rsidR="004116FA">
        <w:t>)</w:t>
      </w:r>
      <w:r w:rsidR="004116FA" w:rsidRPr="004116FA">
        <w:t xml:space="preserve"> te verlagen.</w:t>
      </w:r>
    </w:p>
    <w:p w14:paraId="2C9090A0" w14:textId="54C88F67" w:rsidR="00F61E7C" w:rsidRPr="00B21FAC" w:rsidRDefault="00F61E7C" w:rsidP="00BA7E3E">
      <w:pPr>
        <w:spacing w:after="0"/>
        <w:jc w:val="both"/>
      </w:pPr>
      <w:r>
        <w:br w:type="page"/>
      </w:r>
    </w:p>
    <w:p w14:paraId="79802DAB" w14:textId="4F61E83B" w:rsidR="00DD5CE6" w:rsidRDefault="00DD5CE6">
      <w:r>
        <w:br w:type="page"/>
      </w:r>
    </w:p>
    <w:p w14:paraId="7A17058F" w14:textId="77777777" w:rsidR="000318F7" w:rsidRPr="00B21FAC" w:rsidRDefault="000318F7" w:rsidP="00BA7E3E">
      <w:pPr>
        <w:spacing w:after="0"/>
        <w:jc w:val="both"/>
      </w:pPr>
    </w:p>
    <w:p w14:paraId="7BAAEAC5" w14:textId="7C0202F7" w:rsidR="00A57A2D" w:rsidRPr="00B21FAC" w:rsidRDefault="00233AF9" w:rsidP="002D349C">
      <w:pPr>
        <w:pStyle w:val="Kop1"/>
        <w:numPr>
          <w:ilvl w:val="0"/>
          <w:numId w:val="32"/>
        </w:numPr>
        <w:rPr>
          <w:smallCaps/>
        </w:rPr>
      </w:pPr>
      <w:bookmarkStart w:id="165" w:name="_Toc107210903"/>
      <w:r w:rsidRPr="00B21FAC">
        <w:rPr>
          <w:smallCaps/>
        </w:rPr>
        <w:t>Lasten op a</w:t>
      </w:r>
      <w:r w:rsidR="00777FF8" w:rsidRPr="00B21FAC">
        <w:rPr>
          <w:smallCaps/>
        </w:rPr>
        <w:t>ctiviteitsinkomsten</w:t>
      </w:r>
      <w:bookmarkEnd w:id="165"/>
    </w:p>
    <w:p w14:paraId="16049937" w14:textId="2F286310" w:rsidR="00256D5E" w:rsidRDefault="00256D5E">
      <w:pPr>
        <w:spacing w:after="0"/>
      </w:pPr>
    </w:p>
    <w:p w14:paraId="3B6D28CA" w14:textId="29B6DDB1" w:rsidR="00D87E91" w:rsidRDefault="00D87E91">
      <w:pPr>
        <w:spacing w:after="0"/>
      </w:pPr>
    </w:p>
    <w:p w14:paraId="083E42FB" w14:textId="7D1ED889" w:rsidR="004D5D7D" w:rsidRDefault="00D87E91" w:rsidP="00BA7E3E">
      <w:pPr>
        <w:spacing w:after="0"/>
        <w:jc w:val="both"/>
      </w:pPr>
      <w:bookmarkStart w:id="166" w:name="_Hlk94085600"/>
      <w:r>
        <w:t xml:space="preserve">Onder deze hoofding wordt nader ingegaan op de </w:t>
      </w:r>
      <w:r w:rsidR="00B7164A">
        <w:t>a</w:t>
      </w:r>
      <w:r w:rsidR="004D5D7D" w:rsidRPr="00B21FAC">
        <w:t>rbeids- en ondernemingsfiscaliteit</w:t>
      </w:r>
      <w:r w:rsidR="00B7164A">
        <w:t>, te weten</w:t>
      </w:r>
      <w:r w:rsidR="004D5D7D" w:rsidRPr="00B21FAC">
        <w:t xml:space="preserve"> het geheel aan (fiscale en parafiscale) heffingen op vergoedingen voor geleverde arbeidsprestaties, onafhankelijk van het statuut (werknemer, ambtenaar, zelfstandige) en met inbegrip van arbeidsprestaties die geen verband houden met een uitgeoefende beroepsactiviteit.</w:t>
      </w:r>
    </w:p>
    <w:p w14:paraId="6F0DB0ED" w14:textId="77777777" w:rsidR="00D87E91" w:rsidRDefault="00D87E91" w:rsidP="00D87E91">
      <w:pPr>
        <w:spacing w:after="0"/>
        <w:jc w:val="both"/>
      </w:pPr>
    </w:p>
    <w:p w14:paraId="43E47C6C" w14:textId="50BC2EE4" w:rsidR="00395C00" w:rsidRDefault="007E493C" w:rsidP="00D87E91">
      <w:pPr>
        <w:spacing w:after="0"/>
        <w:jc w:val="both"/>
      </w:pPr>
      <w:r>
        <w:t xml:space="preserve">Het onderliggend voorstel </w:t>
      </w:r>
      <w:r w:rsidR="00A3730D">
        <w:t>vormt een verdere concretisering van de hiervoor aangehaalde bouwstenen, die op hun beurt geworteld zitten in de algemene uitgangspunten van de hervorming</w:t>
      </w:r>
      <w:r w:rsidR="00395C00">
        <w:t xml:space="preserve"> (</w:t>
      </w:r>
      <w:r w:rsidR="00395C00" w:rsidRPr="00BA7E3E">
        <w:rPr>
          <w:i/>
          <w:iCs/>
        </w:rPr>
        <w:t>cf. supra</w:t>
      </w:r>
      <w:r w:rsidR="00395C00">
        <w:t>)</w:t>
      </w:r>
      <w:r w:rsidR="00A3730D">
        <w:t xml:space="preserve">. </w:t>
      </w:r>
    </w:p>
    <w:p w14:paraId="0CC7E034" w14:textId="77777777" w:rsidR="00395C00" w:rsidRDefault="00395C00" w:rsidP="00D87E91">
      <w:pPr>
        <w:spacing w:after="0"/>
        <w:jc w:val="both"/>
      </w:pPr>
    </w:p>
    <w:p w14:paraId="29A241B7" w14:textId="2FC93967" w:rsidR="00A3730D" w:rsidRDefault="00E761E8" w:rsidP="00D87E91">
      <w:pPr>
        <w:spacing w:after="0"/>
        <w:jc w:val="both"/>
      </w:pPr>
      <w:r>
        <w:t>Naast de algemeen geformuleerde bouwstenen, werden</w:t>
      </w:r>
      <w:r w:rsidR="00DA2377">
        <w:t>,</w:t>
      </w:r>
      <w:r>
        <w:t xml:space="preserve"> z</w:t>
      </w:r>
      <w:r w:rsidR="0024331C">
        <w:t xml:space="preserve">owel wat de ‘belaste elementen’ als wat de ‘tariefstructuur’ betreft, </w:t>
      </w:r>
      <w:r>
        <w:t>ook een aantal meer</w:t>
      </w:r>
      <w:r w:rsidR="00D74D51">
        <w:t xml:space="preserve"> </w:t>
      </w:r>
      <w:r w:rsidR="006B2F87">
        <w:t>specifiek</w:t>
      </w:r>
      <w:r>
        <w:t>e bouwstenen geformuleerd, die</w:t>
      </w:r>
      <w:r w:rsidR="006B2F87">
        <w:t xml:space="preserve"> gerelateerd werden aan de activiteitsinkomsten</w:t>
      </w:r>
      <w:r>
        <w:t>. Deze meer specifieke bouwstenen luiden als volgt:</w:t>
      </w:r>
    </w:p>
    <w:p w14:paraId="5BF02305" w14:textId="4ACCD4F8" w:rsidR="006B2F87" w:rsidRDefault="006B2F87" w:rsidP="00D87E91">
      <w:pPr>
        <w:spacing w:after="0"/>
        <w:jc w:val="both"/>
      </w:pPr>
    </w:p>
    <w:p w14:paraId="2F13022A" w14:textId="6EF4801C" w:rsidR="00D74D51" w:rsidRPr="00BA7E3E" w:rsidRDefault="00E51470" w:rsidP="00BA7E3E">
      <w:pPr>
        <w:spacing w:after="0"/>
        <w:ind w:left="284"/>
        <w:jc w:val="both"/>
        <w:rPr>
          <w:u w:val="single"/>
        </w:rPr>
      </w:pPr>
      <w:r>
        <w:rPr>
          <w:u w:val="single"/>
        </w:rPr>
        <w:t>Belaste elementen</w:t>
      </w:r>
      <w:r w:rsidRPr="00BA7E3E">
        <w:rPr>
          <w:u w:val="single"/>
        </w:rPr>
        <w:t>:</w:t>
      </w:r>
    </w:p>
    <w:p w14:paraId="6C5C3EF2" w14:textId="77777777" w:rsidR="0082190D" w:rsidRPr="00B21FAC" w:rsidRDefault="0082190D" w:rsidP="00BA7E3E">
      <w:pPr>
        <w:pStyle w:val="Lijstalinea"/>
        <w:numPr>
          <w:ilvl w:val="0"/>
          <w:numId w:val="102"/>
        </w:numPr>
        <w:spacing w:after="0" w:line="22" w:lineRule="atLeast"/>
        <w:ind w:hanging="436"/>
        <w:jc w:val="both"/>
      </w:pPr>
      <w:r>
        <w:t>E</w:t>
      </w:r>
      <w:r w:rsidRPr="00B21FAC">
        <w:t xml:space="preserve">lke vorm van vergoeding voor arbeid (onafhankelijk van het statuut, de benaming of de juridische ondernemingsvorm) </w:t>
      </w:r>
      <w:r>
        <w:t xml:space="preserve">wordt </w:t>
      </w:r>
      <w:r w:rsidRPr="00B21FAC">
        <w:t>op dezelfde wijze belast. Dit omhelst o.m. dat:</w:t>
      </w:r>
    </w:p>
    <w:p w14:paraId="29E7B1C4" w14:textId="77777777" w:rsidR="0082190D" w:rsidRPr="00B21FAC" w:rsidRDefault="0082190D" w:rsidP="0082190D">
      <w:pPr>
        <w:pStyle w:val="Lijstalinea"/>
        <w:numPr>
          <w:ilvl w:val="1"/>
          <w:numId w:val="107"/>
        </w:numPr>
        <w:spacing w:after="0" w:line="22" w:lineRule="atLeast"/>
        <w:ind w:left="1560" w:hanging="284"/>
        <w:jc w:val="both"/>
      </w:pPr>
      <w:r w:rsidRPr="00B21FAC">
        <w:t>duidelijk moet gedefinieerd worden wat begrepen wordt onder ‘arbeid’, teneinde het onderscheid te kunnen maken met inkomsten uit ‘vermogen’;</w:t>
      </w:r>
    </w:p>
    <w:p w14:paraId="389B7CC0" w14:textId="77777777" w:rsidR="0082190D" w:rsidRPr="00B21FAC" w:rsidRDefault="0082190D" w:rsidP="0082190D">
      <w:pPr>
        <w:pStyle w:val="Lijstalinea"/>
        <w:numPr>
          <w:ilvl w:val="1"/>
          <w:numId w:val="107"/>
        </w:numPr>
        <w:spacing w:after="0" w:line="22" w:lineRule="atLeast"/>
        <w:ind w:left="1560" w:hanging="284"/>
        <w:jc w:val="both"/>
      </w:pPr>
      <w:r w:rsidRPr="00B21FAC">
        <w:t>de fiscale en de sociale loonbegrippen maximaal worden gelijkgeschakeld;</w:t>
      </w:r>
    </w:p>
    <w:p w14:paraId="400DB5B4" w14:textId="7C4A6AED" w:rsidR="0082190D" w:rsidRPr="00B21FAC" w:rsidRDefault="00A4180B" w:rsidP="0082190D">
      <w:pPr>
        <w:pStyle w:val="Lijstalinea"/>
        <w:numPr>
          <w:ilvl w:val="1"/>
          <w:numId w:val="107"/>
        </w:numPr>
        <w:spacing w:after="0" w:line="22" w:lineRule="atLeast"/>
        <w:ind w:left="1560" w:hanging="284"/>
        <w:jc w:val="both"/>
      </w:pPr>
      <w:r>
        <w:t>h</w:t>
      </w:r>
      <w:r w:rsidR="0082190D" w:rsidRPr="00B21FAC">
        <w:t>et onderscheid tussen ‘winst’ en ‘baten’ wordt opgeheven;</w:t>
      </w:r>
    </w:p>
    <w:p w14:paraId="6900A011" w14:textId="58093702" w:rsidR="0082190D" w:rsidRPr="00B21FAC" w:rsidRDefault="0082190D" w:rsidP="0082190D">
      <w:pPr>
        <w:pStyle w:val="Lijstalinea"/>
        <w:numPr>
          <w:ilvl w:val="1"/>
          <w:numId w:val="107"/>
        </w:numPr>
        <w:spacing w:after="0" w:line="22" w:lineRule="atLeast"/>
        <w:ind w:left="1560" w:hanging="284"/>
        <w:jc w:val="both"/>
      </w:pPr>
      <w:r w:rsidRPr="00B21FAC">
        <w:t xml:space="preserve">de vergoedingen in cash conceptueel op dezelfde wijze worden belast als de </w:t>
      </w:r>
      <w:r w:rsidR="0080336C">
        <w:t>alternatieve verloningsvormen</w:t>
      </w:r>
      <w:r w:rsidRPr="00B21FAC">
        <w:t>;</w:t>
      </w:r>
    </w:p>
    <w:p w14:paraId="580998AC" w14:textId="77777777" w:rsidR="0082190D" w:rsidRPr="00B21FAC" w:rsidRDefault="0082190D" w:rsidP="0082190D">
      <w:pPr>
        <w:pStyle w:val="Lijstalinea"/>
        <w:numPr>
          <w:ilvl w:val="1"/>
          <w:numId w:val="107"/>
        </w:numPr>
        <w:spacing w:after="0" w:line="22" w:lineRule="atLeast"/>
        <w:ind w:left="1560" w:hanging="284"/>
        <w:jc w:val="both"/>
      </w:pPr>
      <w:r w:rsidRPr="00B21FAC">
        <w:t>vergoedingen voor arbeid op een marktconforme wijze moeten worden toegerekend aan de natuurlijke persoon die de arbeidsprestaties levert en dienovereenkomstig moeten worden belast, zelfs indien deze prestaties geleverd worden via een rechtspersoon.</w:t>
      </w:r>
    </w:p>
    <w:p w14:paraId="4C361D56" w14:textId="0B6AF659" w:rsidR="00D87E91" w:rsidRDefault="00D87E91" w:rsidP="00D87E91">
      <w:pPr>
        <w:spacing w:after="0"/>
        <w:jc w:val="both"/>
      </w:pPr>
    </w:p>
    <w:p w14:paraId="217959E0" w14:textId="2A2EAF87" w:rsidR="00E51470" w:rsidRPr="00BA7E3E" w:rsidRDefault="00E51470" w:rsidP="00BA7E3E">
      <w:pPr>
        <w:spacing w:after="0"/>
        <w:ind w:left="284"/>
        <w:jc w:val="both"/>
        <w:rPr>
          <w:u w:val="single"/>
        </w:rPr>
      </w:pPr>
      <w:r w:rsidRPr="00BA7E3E">
        <w:rPr>
          <w:u w:val="single"/>
        </w:rPr>
        <w:t>Tariefstructuur:</w:t>
      </w:r>
    </w:p>
    <w:p w14:paraId="370C6345" w14:textId="77777777" w:rsidR="009E10AD" w:rsidRPr="00B21FAC" w:rsidRDefault="009E10AD" w:rsidP="00BA7E3E">
      <w:pPr>
        <w:pStyle w:val="Lijstalinea"/>
        <w:numPr>
          <w:ilvl w:val="0"/>
          <w:numId w:val="109"/>
        </w:numPr>
        <w:spacing w:after="0" w:line="22" w:lineRule="atLeast"/>
        <w:ind w:left="709" w:hanging="425"/>
        <w:jc w:val="both"/>
      </w:pPr>
      <w:r>
        <w:t>Een p</w:t>
      </w:r>
      <w:r w:rsidRPr="00B21FAC">
        <w:t xml:space="preserve">rogressieve tariefstructuur, met dien verstande dat het wel de betrachting is om het gemiddeld tarief te laten zakken, hetgeen bewerkstelligd kan worden middels een daling van de tarieven en/of een verbreding van de tariefschijven. </w:t>
      </w:r>
    </w:p>
    <w:p w14:paraId="71492043" w14:textId="77777777" w:rsidR="009E10AD" w:rsidRPr="00B21FAC" w:rsidRDefault="009E10AD" w:rsidP="00BA7E3E">
      <w:pPr>
        <w:pStyle w:val="Lijstalinea"/>
        <w:numPr>
          <w:ilvl w:val="0"/>
          <w:numId w:val="109"/>
        </w:numPr>
        <w:spacing w:after="0" w:line="22" w:lineRule="atLeast"/>
        <w:ind w:left="709" w:hanging="425"/>
        <w:jc w:val="both"/>
      </w:pPr>
      <w:r>
        <w:t>E</w:t>
      </w:r>
      <w:r w:rsidRPr="00B21FAC">
        <w:t xml:space="preserve">en verdere verlaging van de participatiebelastingvoeten (die bv. na de Tax Shift Michel toch nog steeds 63% bedragen voor kortstondig werklozen met 2/3 van het gemiddeld loon). </w:t>
      </w:r>
    </w:p>
    <w:p w14:paraId="1D678E26" w14:textId="77777777" w:rsidR="009E10AD" w:rsidRPr="00B21FAC" w:rsidRDefault="009E10AD" w:rsidP="00BA7E3E">
      <w:pPr>
        <w:pStyle w:val="Lijstalinea"/>
        <w:numPr>
          <w:ilvl w:val="0"/>
          <w:numId w:val="109"/>
        </w:numPr>
        <w:spacing w:after="0" w:line="22" w:lineRule="atLeast"/>
        <w:ind w:left="709" w:hanging="425"/>
        <w:jc w:val="both"/>
      </w:pPr>
      <w:r>
        <w:t>E</w:t>
      </w:r>
      <w:r w:rsidRPr="00B21FAC">
        <w:t xml:space="preserve">en verlaging van de hoge </w:t>
      </w:r>
      <w:r>
        <w:t xml:space="preserve">effectieve </w:t>
      </w:r>
      <w:r w:rsidRPr="00B21FAC">
        <w:t>marginale belastingvoeten (&gt; 80%) in de range van 0,5 tot 0.7 maal het gemiddeld loon.</w:t>
      </w:r>
    </w:p>
    <w:p w14:paraId="68A9069F" w14:textId="77777777" w:rsidR="00186C1D" w:rsidRDefault="00186C1D" w:rsidP="00D87E91">
      <w:pPr>
        <w:spacing w:after="0"/>
        <w:jc w:val="both"/>
      </w:pPr>
    </w:p>
    <w:p w14:paraId="6E14138D" w14:textId="55ABEFA5" w:rsidR="00D87E91" w:rsidRDefault="00817AD6" w:rsidP="00D87E91">
      <w:pPr>
        <w:spacing w:after="0"/>
        <w:jc w:val="both"/>
      </w:pPr>
      <w:r>
        <w:t>E.e.a. wordt</w:t>
      </w:r>
      <w:r w:rsidR="00D87E91">
        <w:t xml:space="preserve"> hierna verder geconcretiseerd. De focus ligt daarbij op de personenbelasting.</w:t>
      </w:r>
      <w:r w:rsidR="00D80402">
        <w:t xml:space="preserve"> De hiervoor besproken </w:t>
      </w:r>
      <w:r w:rsidR="002A5F1A">
        <w:t>belastingverminderingen op de belastingvrije som</w:t>
      </w:r>
      <w:r w:rsidR="00D80402">
        <w:t xml:space="preserve">, gerelateerd aan de fiscaliteit van de samenlevingsvormen, </w:t>
      </w:r>
      <w:r w:rsidR="00591C13">
        <w:t>dienen aan dit stelsel te worden gekoppeld.</w:t>
      </w:r>
    </w:p>
    <w:bookmarkEnd w:id="166"/>
    <w:p w14:paraId="4B34079D" w14:textId="02D964F1" w:rsidR="00D87E91" w:rsidRDefault="00D87E91">
      <w:pPr>
        <w:spacing w:after="0"/>
      </w:pPr>
    </w:p>
    <w:p w14:paraId="6902107E" w14:textId="77777777" w:rsidR="00D87E91" w:rsidRPr="00B21FAC" w:rsidRDefault="00D87E91" w:rsidP="00BA7E3E">
      <w:pPr>
        <w:spacing w:after="0"/>
      </w:pPr>
    </w:p>
    <w:p w14:paraId="1E667999" w14:textId="77777777" w:rsidR="00817AD6" w:rsidRDefault="00817AD6">
      <w:r>
        <w:br w:type="page"/>
      </w:r>
    </w:p>
    <w:p w14:paraId="72727A64" w14:textId="6BC320D4" w:rsidR="00563B9A" w:rsidRPr="00B21FAC" w:rsidRDefault="00563B9A" w:rsidP="00BA7E3E">
      <w:pPr>
        <w:spacing w:after="0"/>
      </w:pPr>
    </w:p>
    <w:p w14:paraId="37CF46F3" w14:textId="77777777" w:rsidR="00022AC6" w:rsidRPr="00B21FAC" w:rsidRDefault="00022AC6" w:rsidP="00BA7E3E">
      <w:pPr>
        <w:spacing w:after="0"/>
      </w:pPr>
    </w:p>
    <w:p w14:paraId="5D70A5A1" w14:textId="4D7C8E9D" w:rsidR="00085272" w:rsidRPr="00B21FAC" w:rsidRDefault="00085272" w:rsidP="00275FEB">
      <w:pPr>
        <w:pStyle w:val="Kop2"/>
        <w:numPr>
          <w:ilvl w:val="0"/>
          <w:numId w:val="40"/>
        </w:numPr>
      </w:pPr>
      <w:bookmarkStart w:id="167" w:name="_Toc107210904"/>
      <w:r w:rsidRPr="00B21FAC">
        <w:t>Visuele voorstelling</w:t>
      </w:r>
      <w:bookmarkEnd w:id="167"/>
    </w:p>
    <w:p w14:paraId="2645EE37" w14:textId="08A22D23" w:rsidR="00A57A2D" w:rsidRPr="00B21FAC" w:rsidRDefault="00A57A2D" w:rsidP="00BA7E3E">
      <w:pPr>
        <w:spacing w:after="0"/>
      </w:pPr>
    </w:p>
    <w:p w14:paraId="50AA5455" w14:textId="77777777" w:rsidR="00590993" w:rsidRPr="00B21FAC" w:rsidRDefault="00590993" w:rsidP="00BA7E3E">
      <w:pPr>
        <w:spacing w:after="0"/>
      </w:pPr>
    </w:p>
    <w:tbl>
      <w:tblPr>
        <w:tblStyle w:val="Tabelraster"/>
        <w:tblW w:w="11058" w:type="dxa"/>
        <w:tblInd w:w="-998" w:type="dxa"/>
        <w:tblLook w:val="04A0" w:firstRow="1" w:lastRow="0" w:firstColumn="1" w:lastColumn="0" w:noHBand="0" w:noVBand="1"/>
      </w:tblPr>
      <w:tblGrid>
        <w:gridCol w:w="5671"/>
        <w:gridCol w:w="5387"/>
      </w:tblGrid>
      <w:tr w:rsidR="00A57A2D" w:rsidRPr="00B21FAC" w14:paraId="348E1E5C" w14:textId="77777777" w:rsidTr="00FB3500">
        <w:tc>
          <w:tcPr>
            <w:tcW w:w="11058" w:type="dxa"/>
            <w:gridSpan w:val="2"/>
          </w:tcPr>
          <w:p w14:paraId="63D0697A" w14:textId="77777777" w:rsidR="00A57A2D" w:rsidRPr="00B21FAC" w:rsidRDefault="00A57A2D" w:rsidP="00BA7E3E">
            <w:pPr>
              <w:spacing w:line="259" w:lineRule="auto"/>
              <w:rPr>
                <w:b/>
                <w:bCs/>
              </w:rPr>
            </w:pPr>
            <w:bookmarkStart w:id="168" w:name="_Hlk67038169"/>
          </w:p>
          <w:p w14:paraId="4D6B61AF" w14:textId="7FF6CE4D" w:rsidR="00A57A2D" w:rsidRPr="00B21FAC" w:rsidRDefault="00A57A2D" w:rsidP="00BA7E3E">
            <w:pPr>
              <w:spacing w:line="259" w:lineRule="auto"/>
              <w:jc w:val="center"/>
              <w:rPr>
                <w:b/>
                <w:bCs/>
                <w:smallCaps/>
              </w:rPr>
            </w:pPr>
            <w:r w:rsidRPr="00B21FAC">
              <w:rPr>
                <w:b/>
                <w:bCs/>
                <w:smallCaps/>
              </w:rPr>
              <w:t>Activiteitsinkomsten</w:t>
            </w:r>
            <w:r w:rsidRPr="00B21FAC">
              <w:rPr>
                <w:rStyle w:val="Voetnootmarkering"/>
                <w:b/>
                <w:bCs/>
                <w:smallCaps/>
              </w:rPr>
              <w:footnoteReference w:id="4"/>
            </w:r>
          </w:p>
          <w:p w14:paraId="2B8F53C9" w14:textId="77777777" w:rsidR="00A57A2D" w:rsidRPr="00B21FAC" w:rsidRDefault="00A57A2D" w:rsidP="00BA7E3E">
            <w:pPr>
              <w:spacing w:line="259" w:lineRule="auto"/>
              <w:jc w:val="center"/>
              <w:rPr>
                <w:b/>
                <w:bCs/>
              </w:rPr>
            </w:pPr>
          </w:p>
        </w:tc>
      </w:tr>
      <w:tr w:rsidR="00A57A2D" w:rsidRPr="00B21FAC" w14:paraId="71C93BF2" w14:textId="77777777" w:rsidTr="00FB3500">
        <w:trPr>
          <w:trHeight w:val="1621"/>
        </w:trPr>
        <w:tc>
          <w:tcPr>
            <w:tcW w:w="5671" w:type="dxa"/>
          </w:tcPr>
          <w:p w14:paraId="4B2F8F2E" w14:textId="77777777" w:rsidR="00A57A2D" w:rsidRPr="00B21FAC" w:rsidRDefault="00A57A2D" w:rsidP="00BA7E3E">
            <w:pPr>
              <w:spacing w:line="259" w:lineRule="auto"/>
              <w:jc w:val="center"/>
            </w:pPr>
          </w:p>
          <w:p w14:paraId="7A94B6CB" w14:textId="77777777" w:rsidR="00A57A2D" w:rsidRPr="00B21FAC" w:rsidRDefault="00A57A2D" w:rsidP="00BA7E3E">
            <w:pPr>
              <w:spacing w:line="259" w:lineRule="auto"/>
              <w:jc w:val="center"/>
            </w:pPr>
          </w:p>
          <w:p w14:paraId="363576D8" w14:textId="77777777" w:rsidR="00A57A2D" w:rsidRPr="00B21FAC" w:rsidRDefault="00A57A2D" w:rsidP="00BA7E3E">
            <w:pPr>
              <w:spacing w:line="259" w:lineRule="auto"/>
              <w:jc w:val="center"/>
              <w:rPr>
                <w:b/>
                <w:bCs/>
              </w:rPr>
            </w:pPr>
            <w:r w:rsidRPr="00B21FAC">
              <w:rPr>
                <w:b/>
                <w:bCs/>
              </w:rPr>
              <w:t>Winst</w:t>
            </w:r>
          </w:p>
          <w:p w14:paraId="3C1D01EE" w14:textId="77777777" w:rsidR="00A57A2D" w:rsidRPr="00B21FAC" w:rsidRDefault="00A57A2D" w:rsidP="00BA7E3E">
            <w:pPr>
              <w:spacing w:line="259" w:lineRule="auto"/>
              <w:jc w:val="center"/>
            </w:pPr>
          </w:p>
        </w:tc>
        <w:tc>
          <w:tcPr>
            <w:tcW w:w="5387" w:type="dxa"/>
          </w:tcPr>
          <w:p w14:paraId="3FDFC98C" w14:textId="77777777" w:rsidR="00A57A2D" w:rsidRPr="00B21FAC" w:rsidRDefault="00A57A2D" w:rsidP="00BA7E3E">
            <w:pPr>
              <w:spacing w:line="259" w:lineRule="auto"/>
              <w:jc w:val="center"/>
              <w:rPr>
                <w:b/>
                <w:bCs/>
              </w:rPr>
            </w:pPr>
          </w:p>
          <w:p w14:paraId="0743E1A5" w14:textId="77777777" w:rsidR="00A57A2D" w:rsidRPr="00B21FAC" w:rsidRDefault="00A57A2D" w:rsidP="00BA7E3E">
            <w:pPr>
              <w:spacing w:line="259" w:lineRule="auto"/>
              <w:jc w:val="center"/>
              <w:rPr>
                <w:b/>
                <w:bCs/>
              </w:rPr>
            </w:pPr>
          </w:p>
          <w:p w14:paraId="52342BFD" w14:textId="77777777" w:rsidR="00A57A2D" w:rsidRPr="00B21FAC" w:rsidRDefault="00A57A2D" w:rsidP="00BA7E3E">
            <w:pPr>
              <w:spacing w:line="259" w:lineRule="auto"/>
              <w:jc w:val="center"/>
              <w:rPr>
                <w:b/>
                <w:bCs/>
              </w:rPr>
            </w:pPr>
            <w:r w:rsidRPr="00B21FAC">
              <w:rPr>
                <w:b/>
                <w:bCs/>
              </w:rPr>
              <w:t>Bezoldigingen</w:t>
            </w:r>
          </w:p>
          <w:p w14:paraId="368879D4" w14:textId="77777777" w:rsidR="00A57A2D" w:rsidRPr="00B21FAC" w:rsidRDefault="00A57A2D" w:rsidP="00BA7E3E">
            <w:pPr>
              <w:spacing w:line="259" w:lineRule="auto"/>
              <w:jc w:val="center"/>
            </w:pPr>
            <w:r w:rsidRPr="00B21FAC">
              <w:t>(werknemers / bedrijfsleiders / meewerkende echtgenoot)</w:t>
            </w:r>
          </w:p>
          <w:p w14:paraId="2CB68997" w14:textId="77777777" w:rsidR="00A57A2D" w:rsidRPr="00B21FAC" w:rsidRDefault="00A57A2D" w:rsidP="00BA7E3E">
            <w:pPr>
              <w:spacing w:line="259" w:lineRule="auto"/>
              <w:jc w:val="center"/>
            </w:pPr>
          </w:p>
        </w:tc>
      </w:tr>
      <w:tr w:rsidR="00A57A2D" w:rsidRPr="00B21FAC" w14:paraId="31AA38C7" w14:textId="77777777" w:rsidTr="00FB3500">
        <w:tc>
          <w:tcPr>
            <w:tcW w:w="5671" w:type="dxa"/>
          </w:tcPr>
          <w:p w14:paraId="500DA7CD" w14:textId="77777777" w:rsidR="00A57A2D" w:rsidRPr="00B21FAC" w:rsidRDefault="00A57A2D" w:rsidP="00BA7E3E">
            <w:pPr>
              <w:spacing w:line="259" w:lineRule="auto"/>
              <w:jc w:val="center"/>
              <w:rPr>
                <w:b/>
                <w:bCs/>
              </w:rPr>
            </w:pPr>
          </w:p>
          <w:p w14:paraId="36EB4B19" w14:textId="77777777" w:rsidR="00A57A2D" w:rsidRPr="00B21FAC" w:rsidRDefault="00A57A2D" w:rsidP="00BA7E3E">
            <w:pPr>
              <w:spacing w:line="259" w:lineRule="auto"/>
              <w:jc w:val="center"/>
              <w:rPr>
                <w:b/>
                <w:bCs/>
              </w:rPr>
            </w:pPr>
            <w:r w:rsidRPr="00B21FAC">
              <w:rPr>
                <w:b/>
                <w:bCs/>
              </w:rPr>
              <w:t>Kosten</w:t>
            </w:r>
          </w:p>
          <w:p w14:paraId="7BACDFEF" w14:textId="77777777" w:rsidR="00A57A2D" w:rsidRPr="00B21FAC" w:rsidRDefault="00A57A2D" w:rsidP="00BA7E3E">
            <w:pPr>
              <w:spacing w:line="259" w:lineRule="auto"/>
              <w:jc w:val="center"/>
              <w:rPr>
                <w:b/>
                <w:bCs/>
              </w:rPr>
            </w:pPr>
          </w:p>
        </w:tc>
        <w:tc>
          <w:tcPr>
            <w:tcW w:w="5387" w:type="dxa"/>
          </w:tcPr>
          <w:p w14:paraId="3217DC92" w14:textId="77777777" w:rsidR="00A57A2D" w:rsidRPr="00B21FAC" w:rsidRDefault="00A57A2D" w:rsidP="00BA7E3E">
            <w:pPr>
              <w:spacing w:line="259" w:lineRule="auto"/>
              <w:jc w:val="center"/>
              <w:rPr>
                <w:b/>
                <w:bCs/>
              </w:rPr>
            </w:pPr>
          </w:p>
          <w:p w14:paraId="5875938C" w14:textId="77777777" w:rsidR="00A57A2D" w:rsidRPr="00B21FAC" w:rsidRDefault="00A57A2D" w:rsidP="00BA7E3E">
            <w:pPr>
              <w:spacing w:line="259" w:lineRule="auto"/>
              <w:jc w:val="center"/>
              <w:rPr>
                <w:b/>
                <w:bCs/>
              </w:rPr>
            </w:pPr>
            <w:r w:rsidRPr="00B21FAC">
              <w:rPr>
                <w:b/>
                <w:bCs/>
              </w:rPr>
              <w:t>Kosten</w:t>
            </w:r>
          </w:p>
        </w:tc>
      </w:tr>
      <w:tr w:rsidR="00A57A2D" w:rsidRPr="00B21FAC" w14:paraId="0A6FF818" w14:textId="77777777" w:rsidTr="00FB3500">
        <w:trPr>
          <w:trHeight w:val="405"/>
        </w:trPr>
        <w:tc>
          <w:tcPr>
            <w:tcW w:w="5671" w:type="dxa"/>
          </w:tcPr>
          <w:p w14:paraId="6A50F8BE" w14:textId="77777777" w:rsidR="00A57A2D" w:rsidRPr="00B21FAC" w:rsidRDefault="00A57A2D" w:rsidP="00BA7E3E">
            <w:pPr>
              <w:spacing w:line="259" w:lineRule="auto"/>
              <w:jc w:val="center"/>
            </w:pPr>
          </w:p>
          <w:p w14:paraId="3F6371AE" w14:textId="77777777" w:rsidR="00A57A2D" w:rsidRPr="00B21FAC" w:rsidRDefault="00A57A2D" w:rsidP="00BA7E3E">
            <w:pPr>
              <w:spacing w:line="259" w:lineRule="auto"/>
              <w:jc w:val="center"/>
            </w:pPr>
            <w:r w:rsidRPr="00B21FAC">
              <w:t>Specifieke vrijstellingen</w:t>
            </w:r>
          </w:p>
          <w:p w14:paraId="650D0630" w14:textId="77777777" w:rsidR="00A57A2D" w:rsidRPr="00B21FAC" w:rsidRDefault="00A57A2D" w:rsidP="00BA7E3E">
            <w:pPr>
              <w:spacing w:line="259" w:lineRule="auto"/>
              <w:jc w:val="center"/>
            </w:pPr>
          </w:p>
        </w:tc>
        <w:tc>
          <w:tcPr>
            <w:tcW w:w="5387" w:type="dxa"/>
            <w:vMerge w:val="restart"/>
          </w:tcPr>
          <w:p w14:paraId="3FB34172" w14:textId="77777777" w:rsidR="00A57A2D" w:rsidRPr="00B21FAC" w:rsidRDefault="00A57A2D" w:rsidP="00BA7E3E">
            <w:pPr>
              <w:spacing w:line="259" w:lineRule="auto"/>
              <w:jc w:val="center"/>
            </w:pPr>
          </w:p>
          <w:p w14:paraId="5AE27C5E" w14:textId="77777777" w:rsidR="00A57A2D" w:rsidRPr="00B21FAC" w:rsidRDefault="00A57A2D" w:rsidP="00BA7E3E">
            <w:pPr>
              <w:spacing w:line="259" w:lineRule="auto"/>
              <w:jc w:val="center"/>
            </w:pPr>
            <w:r w:rsidRPr="00B21FAC">
              <w:t>Specifieke vrijstellingen</w:t>
            </w:r>
          </w:p>
          <w:p w14:paraId="3DCA06B4" w14:textId="77777777" w:rsidR="00A57A2D" w:rsidRPr="00B21FAC" w:rsidRDefault="00A57A2D" w:rsidP="00BA7E3E">
            <w:pPr>
              <w:spacing w:line="259" w:lineRule="auto"/>
              <w:jc w:val="center"/>
              <w:rPr>
                <w:b/>
                <w:bCs/>
              </w:rPr>
            </w:pPr>
          </w:p>
        </w:tc>
      </w:tr>
      <w:tr w:rsidR="00A57A2D" w:rsidRPr="00B21FAC" w14:paraId="40962104" w14:textId="77777777" w:rsidTr="00FB3500">
        <w:trPr>
          <w:trHeight w:val="405"/>
        </w:trPr>
        <w:tc>
          <w:tcPr>
            <w:tcW w:w="5671" w:type="dxa"/>
          </w:tcPr>
          <w:p w14:paraId="048D55E3" w14:textId="77777777" w:rsidR="00A57A2D" w:rsidRPr="00B21FAC" w:rsidRDefault="00A57A2D" w:rsidP="00BA7E3E">
            <w:pPr>
              <w:spacing w:line="259" w:lineRule="auto"/>
              <w:jc w:val="center"/>
            </w:pPr>
            <w:r w:rsidRPr="00B21FAC">
              <w:t>Waardeverminderingen en voorzieningen</w:t>
            </w:r>
          </w:p>
        </w:tc>
        <w:tc>
          <w:tcPr>
            <w:tcW w:w="5387" w:type="dxa"/>
            <w:vMerge/>
          </w:tcPr>
          <w:p w14:paraId="3D249C8A" w14:textId="77777777" w:rsidR="00A57A2D" w:rsidRPr="00B21FAC" w:rsidRDefault="00A57A2D" w:rsidP="00BA7E3E">
            <w:pPr>
              <w:spacing w:line="259" w:lineRule="auto"/>
              <w:jc w:val="center"/>
              <w:rPr>
                <w:b/>
                <w:bCs/>
              </w:rPr>
            </w:pPr>
          </w:p>
        </w:tc>
      </w:tr>
      <w:tr w:rsidR="00A57A2D" w:rsidRPr="00B21FAC" w14:paraId="3186842A" w14:textId="77777777" w:rsidTr="00FB3500">
        <w:tc>
          <w:tcPr>
            <w:tcW w:w="5671" w:type="dxa"/>
          </w:tcPr>
          <w:p w14:paraId="5A7D69D9" w14:textId="77777777" w:rsidR="00A57A2D" w:rsidRPr="00B21FAC" w:rsidRDefault="00A57A2D" w:rsidP="00BA7E3E">
            <w:pPr>
              <w:spacing w:line="259" w:lineRule="auto"/>
              <w:jc w:val="center"/>
              <w:rPr>
                <w:b/>
                <w:bCs/>
              </w:rPr>
            </w:pPr>
            <w:r w:rsidRPr="00B21FAC">
              <w:rPr>
                <w:b/>
                <w:bCs/>
              </w:rPr>
              <w:t>Vermogensrendement</w:t>
            </w:r>
          </w:p>
        </w:tc>
        <w:tc>
          <w:tcPr>
            <w:tcW w:w="5387" w:type="dxa"/>
            <w:vMerge/>
          </w:tcPr>
          <w:p w14:paraId="18528A0B" w14:textId="77777777" w:rsidR="00A57A2D" w:rsidRPr="00B21FAC" w:rsidRDefault="00A57A2D" w:rsidP="00BA7E3E">
            <w:pPr>
              <w:spacing w:line="259" w:lineRule="auto"/>
              <w:jc w:val="center"/>
              <w:rPr>
                <w:b/>
                <w:bCs/>
              </w:rPr>
            </w:pPr>
          </w:p>
        </w:tc>
      </w:tr>
      <w:tr w:rsidR="00A57A2D" w:rsidRPr="00B21FAC" w14:paraId="4D93847C" w14:textId="77777777" w:rsidTr="00FB3500">
        <w:tc>
          <w:tcPr>
            <w:tcW w:w="5671" w:type="dxa"/>
          </w:tcPr>
          <w:p w14:paraId="108913A1" w14:textId="77777777" w:rsidR="00A57A2D" w:rsidRPr="00B21FAC" w:rsidRDefault="00A57A2D" w:rsidP="00BA7E3E">
            <w:pPr>
              <w:spacing w:line="259" w:lineRule="auto"/>
              <w:jc w:val="center"/>
              <w:rPr>
                <w:b/>
                <w:bCs/>
              </w:rPr>
            </w:pPr>
            <w:r w:rsidRPr="00B21FAC">
              <w:rPr>
                <w:b/>
                <w:bCs/>
              </w:rPr>
              <w:t>Beroepsverliezen</w:t>
            </w:r>
          </w:p>
        </w:tc>
        <w:tc>
          <w:tcPr>
            <w:tcW w:w="5387" w:type="dxa"/>
          </w:tcPr>
          <w:p w14:paraId="75C2CF31" w14:textId="77777777" w:rsidR="00A57A2D" w:rsidRPr="00B21FAC" w:rsidRDefault="00A57A2D" w:rsidP="00BA7E3E">
            <w:pPr>
              <w:spacing w:line="259" w:lineRule="auto"/>
              <w:jc w:val="center"/>
              <w:rPr>
                <w:b/>
                <w:bCs/>
              </w:rPr>
            </w:pPr>
            <w:r w:rsidRPr="00B21FAC">
              <w:rPr>
                <w:b/>
                <w:bCs/>
              </w:rPr>
              <w:t>Beroepsverliezen</w:t>
            </w:r>
          </w:p>
        </w:tc>
      </w:tr>
      <w:tr w:rsidR="00A57A2D" w:rsidRPr="00B21FAC" w14:paraId="0AAD007D" w14:textId="77777777" w:rsidTr="00FB3500">
        <w:tc>
          <w:tcPr>
            <w:tcW w:w="11058" w:type="dxa"/>
            <w:gridSpan w:val="2"/>
          </w:tcPr>
          <w:p w14:paraId="2F4E624A" w14:textId="77777777" w:rsidR="00A57A2D" w:rsidRPr="00B21FAC" w:rsidRDefault="00A57A2D" w:rsidP="00BA7E3E">
            <w:pPr>
              <w:spacing w:line="259" w:lineRule="auto"/>
              <w:jc w:val="center"/>
              <w:rPr>
                <w:b/>
                <w:bCs/>
              </w:rPr>
            </w:pPr>
          </w:p>
          <w:p w14:paraId="6D1D712B" w14:textId="77777777" w:rsidR="00A57A2D" w:rsidRPr="00B21FAC" w:rsidRDefault="00A57A2D" w:rsidP="00BA7E3E">
            <w:pPr>
              <w:spacing w:line="259" w:lineRule="auto"/>
              <w:jc w:val="center"/>
              <w:rPr>
                <w:b/>
                <w:bCs/>
              </w:rPr>
            </w:pPr>
            <w:r w:rsidRPr="00B21FAC">
              <w:rPr>
                <w:b/>
                <w:bCs/>
              </w:rPr>
              <w:t>Progressieve tarieven</w:t>
            </w:r>
          </w:p>
          <w:p w14:paraId="1D8B78FB" w14:textId="77777777" w:rsidR="00A57A2D" w:rsidRPr="00B21FAC" w:rsidRDefault="00A57A2D" w:rsidP="00BA7E3E">
            <w:pPr>
              <w:spacing w:line="259" w:lineRule="auto"/>
              <w:ind w:left="720"/>
              <w:rPr>
                <w:b/>
                <w:bCs/>
              </w:rPr>
            </w:pPr>
          </w:p>
        </w:tc>
      </w:tr>
      <w:tr w:rsidR="009971EF" w:rsidRPr="00B21FAC" w14:paraId="5093E393" w14:textId="77777777" w:rsidTr="00FB3500">
        <w:tc>
          <w:tcPr>
            <w:tcW w:w="11058" w:type="dxa"/>
            <w:gridSpan w:val="2"/>
          </w:tcPr>
          <w:p w14:paraId="5D84F410" w14:textId="401574DE" w:rsidR="009971EF" w:rsidRPr="00B21FAC" w:rsidRDefault="002A5F1A" w:rsidP="00BA7E3E">
            <w:pPr>
              <w:spacing w:line="259" w:lineRule="auto"/>
              <w:jc w:val="center"/>
              <w:rPr>
                <w:b/>
                <w:bCs/>
              </w:rPr>
            </w:pPr>
            <w:r>
              <w:rPr>
                <w:b/>
                <w:bCs/>
              </w:rPr>
              <w:t>Belastingvermindering belastingvrije som</w:t>
            </w:r>
          </w:p>
        </w:tc>
      </w:tr>
      <w:bookmarkEnd w:id="168"/>
    </w:tbl>
    <w:p w14:paraId="29F883F1" w14:textId="0A20CA60" w:rsidR="00A57A2D" w:rsidRDefault="00A57A2D">
      <w:pPr>
        <w:spacing w:after="0"/>
      </w:pPr>
    </w:p>
    <w:p w14:paraId="27006CF7" w14:textId="6201FB90" w:rsidR="00CF1E92" w:rsidRDefault="00CF1E92">
      <w:pPr>
        <w:spacing w:after="0"/>
      </w:pPr>
    </w:p>
    <w:p w14:paraId="25E0B907" w14:textId="1480FEE0" w:rsidR="00CF1E92" w:rsidRDefault="00CF1E92">
      <w:r>
        <w:br w:type="page"/>
      </w:r>
    </w:p>
    <w:p w14:paraId="33BE8C80" w14:textId="77777777" w:rsidR="00CF1E92" w:rsidRDefault="00CF1E92">
      <w:pPr>
        <w:spacing w:after="0"/>
      </w:pPr>
    </w:p>
    <w:p w14:paraId="75E74CE9" w14:textId="77777777" w:rsidR="00CF1E92" w:rsidRPr="00B21FAC" w:rsidRDefault="00CF1E92" w:rsidP="00BA7E3E">
      <w:pPr>
        <w:spacing w:after="0"/>
      </w:pPr>
    </w:p>
    <w:p w14:paraId="6685C702" w14:textId="6575726E" w:rsidR="00A57A2D" w:rsidRPr="00B21FAC" w:rsidRDefault="00A57A2D" w:rsidP="00275FEB">
      <w:pPr>
        <w:pStyle w:val="Kop2"/>
        <w:numPr>
          <w:ilvl w:val="0"/>
          <w:numId w:val="40"/>
        </w:numPr>
      </w:pPr>
      <w:bookmarkStart w:id="169" w:name="_Toc107210905"/>
      <w:r w:rsidRPr="00B21FAC">
        <w:t>T</w:t>
      </w:r>
      <w:r w:rsidR="00590993" w:rsidRPr="00B21FAC">
        <w:t>ariefstructuur</w:t>
      </w:r>
      <w:bookmarkEnd w:id="169"/>
    </w:p>
    <w:p w14:paraId="353091B6" w14:textId="0F3732CD" w:rsidR="00A57A2D" w:rsidRPr="00B21FAC" w:rsidRDefault="00A57A2D" w:rsidP="00BA7E3E">
      <w:pPr>
        <w:spacing w:after="0"/>
        <w:jc w:val="both"/>
      </w:pPr>
    </w:p>
    <w:p w14:paraId="53A493B3" w14:textId="6ED870DD" w:rsidR="00022AC6" w:rsidRDefault="00022AC6">
      <w:pPr>
        <w:spacing w:after="0"/>
        <w:jc w:val="both"/>
      </w:pPr>
    </w:p>
    <w:p w14:paraId="006EBB16" w14:textId="28285DF0" w:rsidR="003F6A33" w:rsidRDefault="00B07068">
      <w:pPr>
        <w:spacing w:after="0"/>
        <w:jc w:val="both"/>
      </w:pPr>
      <w:r w:rsidRPr="00BA7E3E">
        <w:rPr>
          <w:b/>
          <w:bCs/>
        </w:rPr>
        <w:t>Voorstel</w:t>
      </w:r>
      <w:r>
        <w:t xml:space="preserve"> </w:t>
      </w:r>
      <w:r w:rsidR="003062E8">
        <w:t>–</w:t>
      </w:r>
      <w:r>
        <w:t xml:space="preserve"> </w:t>
      </w:r>
      <w:r w:rsidR="003062E8">
        <w:t xml:space="preserve">De tariefstructuur (tarieven en/of tariefschijven) worden dermate aangepast </w:t>
      </w:r>
      <w:r w:rsidR="00B83A45">
        <w:t>dat de gemiddelde belastingdruk op activiteitsinkomsten zakt</w:t>
      </w:r>
      <w:r w:rsidR="00065B5F">
        <w:t>.</w:t>
      </w:r>
    </w:p>
    <w:p w14:paraId="2210904E" w14:textId="3C847938" w:rsidR="003F6A33" w:rsidRDefault="003F6A33">
      <w:pPr>
        <w:spacing w:after="0"/>
        <w:jc w:val="both"/>
      </w:pPr>
    </w:p>
    <w:p w14:paraId="412B2DCA" w14:textId="5CC91B30" w:rsidR="00065B5F" w:rsidRPr="00BA7E3E" w:rsidRDefault="00065B5F">
      <w:pPr>
        <w:spacing w:after="0"/>
        <w:jc w:val="both"/>
        <w:rPr>
          <w:u w:val="single"/>
        </w:rPr>
      </w:pPr>
      <w:r w:rsidRPr="00BA7E3E">
        <w:rPr>
          <w:u w:val="single"/>
        </w:rPr>
        <w:t>Toelichting:</w:t>
      </w:r>
    </w:p>
    <w:p w14:paraId="589ED7F3" w14:textId="77777777" w:rsidR="00065B5F" w:rsidRPr="00B21FAC" w:rsidRDefault="00065B5F" w:rsidP="00BA7E3E">
      <w:pPr>
        <w:spacing w:after="0"/>
        <w:jc w:val="both"/>
      </w:pPr>
    </w:p>
    <w:p w14:paraId="2352C1DE" w14:textId="04FBE2E3" w:rsidR="00A57A2D" w:rsidRPr="003D4CD3" w:rsidRDefault="00A57A2D" w:rsidP="00BA7E3E">
      <w:pPr>
        <w:spacing w:after="0"/>
        <w:jc w:val="both"/>
      </w:pPr>
      <w:r w:rsidRPr="003D4CD3">
        <w:t>De ultieme betrachting bestaat erin de gemiddelde belastingdruk op arbeid zoveel als mogelijk te laten zakken</w:t>
      </w:r>
      <w:r w:rsidR="003D4CD3">
        <w:t>.</w:t>
      </w:r>
    </w:p>
    <w:p w14:paraId="38E437D1" w14:textId="77777777" w:rsidR="00A57A2D" w:rsidRPr="00B21FAC" w:rsidRDefault="00A57A2D" w:rsidP="00BA7E3E">
      <w:pPr>
        <w:spacing w:after="0"/>
        <w:jc w:val="both"/>
      </w:pPr>
    </w:p>
    <w:p w14:paraId="263E226C" w14:textId="2CBE09A8" w:rsidR="00A57A2D" w:rsidRPr="00B21FAC" w:rsidRDefault="00A57A2D" w:rsidP="00BA7E3E">
      <w:pPr>
        <w:spacing w:after="0"/>
        <w:jc w:val="both"/>
      </w:pPr>
      <w:r w:rsidRPr="00B21FAC">
        <w:t xml:space="preserve">Teneinde een effectieve verlaging van de gemiddelde belastingdruk te bewerkstelligen voor eenieder, wordt voorgesteld vooral in te zetten op een substantiële verbreding van de tariefschijven, met een aangepaste tariefstructuur. Op die manier wordt </w:t>
      </w:r>
      <w:r w:rsidR="00B22AB6" w:rsidRPr="00B21FAC">
        <w:t>eveneens</w:t>
      </w:r>
      <w:r w:rsidRPr="00B21FAC">
        <w:t xml:space="preserve"> betracht een (al dan niet gedeeltelijk) antwoord te bieden op de problematiek van de werkloosheids- en promotieval (zie hierna). Een dergelijke wijziging leidt tot de objectieve vaststelling dat België daarmee – wat de tariefstructuur betreft – </w:t>
      </w:r>
      <w:r w:rsidR="00E2115F">
        <w:t xml:space="preserve">meer </w:t>
      </w:r>
      <w:r w:rsidRPr="00B21FAC">
        <w:t xml:space="preserve">zou </w:t>
      </w:r>
      <w:r w:rsidR="00E2115F">
        <w:t xml:space="preserve">kunnen </w:t>
      </w:r>
      <w:r w:rsidRPr="00B21FAC">
        <w:t>aansluiten op de tariefstructuur zoals gehanteerd door de ons omringende landen (zie hierna).</w:t>
      </w:r>
    </w:p>
    <w:p w14:paraId="38BB4660" w14:textId="77777777" w:rsidR="00A57A2D" w:rsidRPr="00B21FAC" w:rsidRDefault="00A57A2D" w:rsidP="00BA7E3E">
      <w:pPr>
        <w:spacing w:after="0"/>
        <w:jc w:val="both"/>
      </w:pPr>
    </w:p>
    <w:p w14:paraId="0387B31C" w14:textId="77777777" w:rsidR="00A57A2D" w:rsidRPr="00B21FAC" w:rsidRDefault="00A57A2D" w:rsidP="00BA7E3E">
      <w:pPr>
        <w:spacing w:after="0"/>
        <w:jc w:val="both"/>
      </w:pPr>
      <w:r w:rsidRPr="00B21FAC">
        <w:t>De compensaties die binnen en buiten de personenbelasting (en zelfs binnen de arbeids- en ondernemingsfiscaliteit) worden gevonden, rekening houdend met de budgettaire context, strekken er dan ook toe dit doel te bereiken.</w:t>
      </w:r>
    </w:p>
    <w:p w14:paraId="355ACCAD" w14:textId="77777777" w:rsidR="00F57793" w:rsidRPr="00AE7754" w:rsidRDefault="00F57793" w:rsidP="00BA7E3E">
      <w:pPr>
        <w:spacing w:after="0"/>
        <w:jc w:val="both"/>
      </w:pPr>
    </w:p>
    <w:p w14:paraId="6A8A1144" w14:textId="7EE123BA" w:rsidR="00B47F76" w:rsidRPr="00BA7E3E" w:rsidRDefault="00870CC6" w:rsidP="00BA7E3E">
      <w:pPr>
        <w:pStyle w:val="Tekstopmerking"/>
        <w:spacing w:after="0" w:line="259" w:lineRule="auto"/>
        <w:jc w:val="both"/>
        <w:rPr>
          <w:sz w:val="22"/>
          <w:szCs w:val="22"/>
        </w:rPr>
      </w:pPr>
      <w:r w:rsidRPr="00BA7E3E">
        <w:rPr>
          <w:sz w:val="22"/>
          <w:szCs w:val="22"/>
        </w:rPr>
        <w:t xml:space="preserve">Bij het uitwerken van een dergelijke vernieuwde tariefstructuur moeten de budgettaire en herverdelingseffecten nauwkeurig in kaart worden gebracht. </w:t>
      </w:r>
    </w:p>
    <w:p w14:paraId="39EC4EF0" w14:textId="77777777" w:rsidR="00B47F76" w:rsidRPr="00AE7754" w:rsidRDefault="00B47F76" w:rsidP="00BA7E3E">
      <w:pPr>
        <w:pStyle w:val="Lijstalinea"/>
        <w:spacing w:after="0"/>
        <w:jc w:val="both"/>
      </w:pPr>
    </w:p>
    <w:p w14:paraId="74BA054F" w14:textId="77777777" w:rsidR="00A57A2D" w:rsidRPr="00B21FAC" w:rsidRDefault="00A57A2D" w:rsidP="00BA7E3E">
      <w:pPr>
        <w:pStyle w:val="Lijstalinea"/>
        <w:numPr>
          <w:ilvl w:val="0"/>
          <w:numId w:val="15"/>
        </w:numPr>
        <w:spacing w:after="0"/>
        <w:jc w:val="both"/>
        <w:rPr>
          <w:b/>
          <w:bCs/>
        </w:rPr>
      </w:pPr>
      <w:r w:rsidRPr="00B21FAC">
        <w:rPr>
          <w:b/>
          <w:bCs/>
        </w:rPr>
        <w:t>De actuele tariefstructuur (het uitgangspunt)</w:t>
      </w:r>
    </w:p>
    <w:p w14:paraId="1F6A9FE3" w14:textId="77777777" w:rsidR="00A57A2D" w:rsidRPr="00B21FAC" w:rsidRDefault="00A57A2D" w:rsidP="00BA7E3E">
      <w:pPr>
        <w:pStyle w:val="Lijstalinea"/>
        <w:spacing w:after="0"/>
        <w:jc w:val="both"/>
      </w:pPr>
    </w:p>
    <w:p w14:paraId="5884886D" w14:textId="616EA4C7" w:rsidR="00A57A2D" w:rsidRPr="00B21FAC" w:rsidRDefault="00A57A2D" w:rsidP="00BA7E3E">
      <w:pPr>
        <w:pStyle w:val="Lijstalinea"/>
        <w:spacing w:after="0"/>
        <w:jc w:val="both"/>
      </w:pPr>
      <w:r w:rsidRPr="00B21FAC">
        <w:t>De hiervoor aangehaalde doelstelling impliceert dus dat de actuele tariefstructuur ingrijpend zal moeten worden hervormd. Een dergelijke hervorming (zo deze moet leiden tot een significante daling van de lasten op arbeid) zal een ernstige budgettaire inspanning vergen.</w:t>
      </w:r>
    </w:p>
    <w:p w14:paraId="6F72A9F1" w14:textId="77777777" w:rsidR="00A57A2D" w:rsidRPr="00B21FAC" w:rsidRDefault="00A57A2D" w:rsidP="00BA7E3E">
      <w:pPr>
        <w:pStyle w:val="Lijstalinea"/>
        <w:spacing w:after="0"/>
        <w:jc w:val="both"/>
      </w:pPr>
    </w:p>
    <w:p w14:paraId="1CEE756B" w14:textId="77777777" w:rsidR="00A57A2D" w:rsidRPr="00B21FAC" w:rsidRDefault="00A57A2D" w:rsidP="00BA7E3E">
      <w:pPr>
        <w:pStyle w:val="Lijstalinea"/>
        <w:spacing w:after="0"/>
        <w:jc w:val="both"/>
      </w:pPr>
      <w:r w:rsidRPr="00B21FAC">
        <w:t>Teneinde de mogelijke impact te becijferen (in het licht van een beoogde doelstelling), is het alvast van belang het uitgangspunt goed voor ogen te houden.</w:t>
      </w:r>
    </w:p>
    <w:p w14:paraId="031B4EE2" w14:textId="77777777" w:rsidR="00A57A2D" w:rsidRPr="00B21FAC" w:rsidRDefault="00A57A2D" w:rsidP="00BA7E3E">
      <w:pPr>
        <w:pStyle w:val="Lijstalinea"/>
        <w:spacing w:after="0"/>
        <w:jc w:val="both"/>
      </w:pPr>
    </w:p>
    <w:p w14:paraId="49ADF2BE" w14:textId="77777777" w:rsidR="00A57A2D" w:rsidRPr="00B21FAC" w:rsidRDefault="00A57A2D" w:rsidP="00BA7E3E">
      <w:pPr>
        <w:pStyle w:val="Lijstalinea"/>
        <w:spacing w:after="0"/>
        <w:jc w:val="both"/>
      </w:pPr>
      <w:r w:rsidRPr="00B21FAC">
        <w:t>De hervorming zelf zal ingrijpen op de huidige tariefstructuur (excl. aanvullende gemeentebelasting) zoals die geldt in de personenbelasting:</w:t>
      </w:r>
    </w:p>
    <w:p w14:paraId="3146372C" w14:textId="77777777" w:rsidR="00A57A2D" w:rsidRPr="00B21FAC" w:rsidRDefault="00A57A2D" w:rsidP="00BA7E3E">
      <w:pPr>
        <w:pStyle w:val="Lijstalinea"/>
        <w:spacing w:after="0"/>
        <w:jc w:val="both"/>
      </w:pPr>
    </w:p>
    <w:tbl>
      <w:tblPr>
        <w:tblStyle w:val="Tabelraster"/>
        <w:tblW w:w="0" w:type="auto"/>
        <w:tblInd w:w="720" w:type="dxa"/>
        <w:tblLook w:val="04A0" w:firstRow="1" w:lastRow="0" w:firstColumn="1" w:lastColumn="0" w:noHBand="0" w:noVBand="1"/>
      </w:tblPr>
      <w:tblGrid>
        <w:gridCol w:w="4032"/>
        <w:gridCol w:w="4169"/>
      </w:tblGrid>
      <w:tr w:rsidR="00A57A2D" w:rsidRPr="00B21FAC" w14:paraId="760940F0" w14:textId="77777777" w:rsidTr="00FB3500">
        <w:trPr>
          <w:trHeight w:val="250"/>
        </w:trPr>
        <w:tc>
          <w:tcPr>
            <w:tcW w:w="4835" w:type="dxa"/>
          </w:tcPr>
          <w:p w14:paraId="6DBF5CC9" w14:textId="77777777" w:rsidR="00A57A2D" w:rsidRPr="00B21FAC" w:rsidRDefault="00A57A2D" w:rsidP="00BA7E3E">
            <w:pPr>
              <w:pStyle w:val="Lijstalinea"/>
              <w:spacing w:line="259" w:lineRule="auto"/>
              <w:ind w:left="0"/>
              <w:jc w:val="both"/>
            </w:pPr>
            <w:r w:rsidRPr="00B21FAC">
              <w:t>Huidige tarieven</w:t>
            </w:r>
          </w:p>
        </w:tc>
        <w:tc>
          <w:tcPr>
            <w:tcW w:w="4893" w:type="dxa"/>
          </w:tcPr>
          <w:p w14:paraId="61578800" w14:textId="033B05F5" w:rsidR="00A57A2D" w:rsidRPr="00B21FAC" w:rsidRDefault="00A57A2D" w:rsidP="00BA7E3E">
            <w:pPr>
              <w:pStyle w:val="Lijstalinea"/>
              <w:spacing w:line="259" w:lineRule="auto"/>
              <w:ind w:left="0"/>
              <w:jc w:val="both"/>
            </w:pPr>
            <w:r w:rsidRPr="00B21FAC">
              <w:t>Huidige schijven tot (geïndexeerd</w:t>
            </w:r>
            <w:r w:rsidR="00BA6FCD">
              <w:t xml:space="preserve"> – AJ 2022</w:t>
            </w:r>
            <w:r w:rsidRPr="00B21FAC">
              <w:t>)</w:t>
            </w:r>
          </w:p>
        </w:tc>
      </w:tr>
      <w:tr w:rsidR="00A57A2D" w:rsidRPr="00B21FAC" w14:paraId="10727A1C" w14:textId="77777777" w:rsidTr="00FB3500">
        <w:trPr>
          <w:trHeight w:val="250"/>
        </w:trPr>
        <w:tc>
          <w:tcPr>
            <w:tcW w:w="4835" w:type="dxa"/>
          </w:tcPr>
          <w:p w14:paraId="5C0D2854" w14:textId="77777777" w:rsidR="00A57A2D" w:rsidRPr="00B21FAC" w:rsidRDefault="00A57A2D" w:rsidP="00BA7E3E">
            <w:pPr>
              <w:pStyle w:val="Lijstalinea"/>
              <w:spacing w:line="259" w:lineRule="auto"/>
              <w:ind w:left="0"/>
              <w:jc w:val="both"/>
            </w:pPr>
          </w:p>
        </w:tc>
        <w:tc>
          <w:tcPr>
            <w:tcW w:w="4893" w:type="dxa"/>
          </w:tcPr>
          <w:p w14:paraId="7FD10324" w14:textId="77777777" w:rsidR="00A57A2D" w:rsidRPr="00B21FAC" w:rsidRDefault="00A57A2D" w:rsidP="00BA7E3E">
            <w:pPr>
              <w:pStyle w:val="Lijstalinea"/>
              <w:spacing w:line="259" w:lineRule="auto"/>
              <w:ind w:left="0"/>
              <w:jc w:val="both"/>
            </w:pPr>
          </w:p>
        </w:tc>
      </w:tr>
      <w:tr w:rsidR="00A57A2D" w:rsidRPr="00B21FAC" w14:paraId="65C1A6E8" w14:textId="77777777" w:rsidTr="00FB3500">
        <w:trPr>
          <w:trHeight w:val="262"/>
        </w:trPr>
        <w:tc>
          <w:tcPr>
            <w:tcW w:w="4835" w:type="dxa"/>
          </w:tcPr>
          <w:p w14:paraId="12C34BBB" w14:textId="77777777" w:rsidR="00A57A2D" w:rsidRPr="00B21FAC" w:rsidRDefault="00A57A2D" w:rsidP="00BA7E3E">
            <w:pPr>
              <w:pStyle w:val="Lijstalinea"/>
              <w:spacing w:line="259" w:lineRule="auto"/>
              <w:ind w:left="0"/>
              <w:jc w:val="both"/>
            </w:pPr>
            <w:r w:rsidRPr="00B21FAC">
              <w:t>25%</w:t>
            </w:r>
          </w:p>
        </w:tc>
        <w:tc>
          <w:tcPr>
            <w:tcW w:w="4893" w:type="dxa"/>
          </w:tcPr>
          <w:p w14:paraId="693D0A51" w14:textId="77777777" w:rsidR="00A57A2D" w:rsidRPr="00B21FAC" w:rsidRDefault="00A57A2D" w:rsidP="00BA7E3E">
            <w:pPr>
              <w:spacing w:line="259" w:lineRule="auto"/>
              <w:jc w:val="center"/>
            </w:pPr>
            <w:r w:rsidRPr="00B21FAC">
              <w:t>13.540</w:t>
            </w:r>
          </w:p>
        </w:tc>
      </w:tr>
      <w:tr w:rsidR="00A57A2D" w:rsidRPr="00B21FAC" w14:paraId="5CD66C9C" w14:textId="77777777" w:rsidTr="00FB3500">
        <w:trPr>
          <w:trHeight w:val="250"/>
        </w:trPr>
        <w:tc>
          <w:tcPr>
            <w:tcW w:w="4835" w:type="dxa"/>
          </w:tcPr>
          <w:p w14:paraId="512CF82F" w14:textId="77777777" w:rsidR="00A57A2D" w:rsidRPr="00B21FAC" w:rsidRDefault="00A57A2D" w:rsidP="00BA7E3E">
            <w:pPr>
              <w:pStyle w:val="Lijstalinea"/>
              <w:spacing w:line="259" w:lineRule="auto"/>
              <w:ind w:left="0"/>
              <w:jc w:val="both"/>
            </w:pPr>
            <w:r w:rsidRPr="00B21FAC">
              <w:t>40%</w:t>
            </w:r>
          </w:p>
        </w:tc>
        <w:tc>
          <w:tcPr>
            <w:tcW w:w="4893" w:type="dxa"/>
          </w:tcPr>
          <w:p w14:paraId="4539FE1D" w14:textId="77777777" w:rsidR="00A57A2D" w:rsidRPr="00B21FAC" w:rsidRDefault="00A57A2D" w:rsidP="00BA7E3E">
            <w:pPr>
              <w:pStyle w:val="Lijstalinea"/>
              <w:spacing w:line="259" w:lineRule="auto"/>
              <w:ind w:left="0"/>
              <w:jc w:val="center"/>
            </w:pPr>
            <w:r w:rsidRPr="00B21FAC">
              <w:t>23.900</w:t>
            </w:r>
          </w:p>
        </w:tc>
      </w:tr>
      <w:tr w:rsidR="00A57A2D" w:rsidRPr="00B21FAC" w14:paraId="65BB65A4" w14:textId="77777777" w:rsidTr="00FB3500">
        <w:trPr>
          <w:trHeight w:val="250"/>
        </w:trPr>
        <w:tc>
          <w:tcPr>
            <w:tcW w:w="4835" w:type="dxa"/>
          </w:tcPr>
          <w:p w14:paraId="291180DA" w14:textId="77777777" w:rsidR="00A57A2D" w:rsidRPr="00B21FAC" w:rsidRDefault="00A57A2D" w:rsidP="00BA7E3E">
            <w:pPr>
              <w:pStyle w:val="Lijstalinea"/>
              <w:spacing w:line="259" w:lineRule="auto"/>
              <w:ind w:left="0"/>
              <w:jc w:val="both"/>
            </w:pPr>
            <w:r w:rsidRPr="00B21FAC">
              <w:t>45%</w:t>
            </w:r>
          </w:p>
        </w:tc>
        <w:tc>
          <w:tcPr>
            <w:tcW w:w="4893" w:type="dxa"/>
          </w:tcPr>
          <w:p w14:paraId="1F88FF6B" w14:textId="77777777" w:rsidR="00A57A2D" w:rsidRPr="00B21FAC" w:rsidRDefault="00A57A2D" w:rsidP="00BA7E3E">
            <w:pPr>
              <w:pStyle w:val="Lijstalinea"/>
              <w:spacing w:line="259" w:lineRule="auto"/>
              <w:ind w:left="0"/>
              <w:jc w:val="center"/>
            </w:pPr>
            <w:r w:rsidRPr="00B21FAC">
              <w:t>41.360</w:t>
            </w:r>
          </w:p>
        </w:tc>
      </w:tr>
      <w:tr w:rsidR="00A57A2D" w:rsidRPr="00B21FAC" w14:paraId="0CB8F160" w14:textId="77777777" w:rsidTr="00FB3500">
        <w:trPr>
          <w:trHeight w:val="250"/>
        </w:trPr>
        <w:tc>
          <w:tcPr>
            <w:tcW w:w="4835" w:type="dxa"/>
          </w:tcPr>
          <w:p w14:paraId="61372024" w14:textId="77777777" w:rsidR="00A57A2D" w:rsidRPr="00B21FAC" w:rsidRDefault="00A57A2D" w:rsidP="00BA7E3E">
            <w:pPr>
              <w:pStyle w:val="Lijstalinea"/>
              <w:spacing w:line="259" w:lineRule="auto"/>
              <w:ind w:left="0"/>
              <w:jc w:val="both"/>
            </w:pPr>
            <w:r w:rsidRPr="00B21FAC">
              <w:t>50%</w:t>
            </w:r>
          </w:p>
        </w:tc>
        <w:tc>
          <w:tcPr>
            <w:tcW w:w="4893" w:type="dxa"/>
          </w:tcPr>
          <w:p w14:paraId="1AD8DD92" w14:textId="77777777" w:rsidR="00A57A2D" w:rsidRPr="00B21FAC" w:rsidRDefault="00A57A2D" w:rsidP="00BA7E3E">
            <w:pPr>
              <w:pStyle w:val="Lijstalinea"/>
              <w:spacing w:line="259" w:lineRule="auto"/>
              <w:ind w:left="0"/>
              <w:jc w:val="center"/>
            </w:pPr>
          </w:p>
        </w:tc>
      </w:tr>
      <w:tr w:rsidR="00A57A2D" w:rsidRPr="00B21FAC" w14:paraId="30A3B4EA" w14:textId="77777777" w:rsidTr="00FB3500">
        <w:trPr>
          <w:trHeight w:val="250"/>
        </w:trPr>
        <w:tc>
          <w:tcPr>
            <w:tcW w:w="4835" w:type="dxa"/>
          </w:tcPr>
          <w:p w14:paraId="2E10A05B" w14:textId="77777777" w:rsidR="00A57A2D" w:rsidRPr="00B21FAC" w:rsidRDefault="00A57A2D" w:rsidP="00BA7E3E">
            <w:pPr>
              <w:pStyle w:val="Lijstalinea"/>
              <w:spacing w:line="259" w:lineRule="auto"/>
              <w:ind w:left="0"/>
              <w:jc w:val="both"/>
            </w:pPr>
          </w:p>
        </w:tc>
        <w:tc>
          <w:tcPr>
            <w:tcW w:w="4893" w:type="dxa"/>
          </w:tcPr>
          <w:p w14:paraId="4EE48A8A" w14:textId="77777777" w:rsidR="00A57A2D" w:rsidRPr="00B21FAC" w:rsidRDefault="00A57A2D" w:rsidP="00BA7E3E">
            <w:pPr>
              <w:pStyle w:val="Lijstalinea"/>
              <w:spacing w:line="259" w:lineRule="auto"/>
              <w:ind w:left="0"/>
              <w:jc w:val="both"/>
            </w:pPr>
          </w:p>
        </w:tc>
      </w:tr>
    </w:tbl>
    <w:p w14:paraId="13603440" w14:textId="77777777" w:rsidR="00A57A2D" w:rsidRPr="00B21FAC" w:rsidRDefault="00A57A2D" w:rsidP="00BA7E3E">
      <w:pPr>
        <w:spacing w:after="0"/>
        <w:jc w:val="both"/>
      </w:pPr>
    </w:p>
    <w:p w14:paraId="6CC13A6A" w14:textId="6F7459F7" w:rsidR="00A57A2D" w:rsidRPr="00B21FAC" w:rsidRDefault="00A57A2D" w:rsidP="00BA7E3E">
      <w:pPr>
        <w:pStyle w:val="Lijstalinea"/>
        <w:spacing w:after="0"/>
        <w:jc w:val="both"/>
      </w:pPr>
      <w:r w:rsidRPr="00B21FAC">
        <w:t xml:space="preserve">Ofschoon de parafiscaliteit niet het voorwerp uitmaakt van </w:t>
      </w:r>
      <w:r w:rsidR="00EE061C">
        <w:t xml:space="preserve">meer diepgaande reflecties in </w:t>
      </w:r>
      <w:r w:rsidRPr="00B21FAC">
        <w:t xml:space="preserve">de huidige </w:t>
      </w:r>
      <w:r w:rsidR="00EE061C">
        <w:t>nota</w:t>
      </w:r>
      <w:r w:rsidRPr="00B21FAC">
        <w:t>, kan men – voor de beoordeling van de lasten op arbeid – evenwel geen abstractie maken van de bijkomende heffingsdruk veroorzaakt door de sociale bijdragen. Daarbij moet een onderscheid worden gemaakt tussen zelfstandigen (incl. bedrijfsleiders) en werknemers.</w:t>
      </w:r>
    </w:p>
    <w:p w14:paraId="4BEAD311" w14:textId="77777777" w:rsidR="00A57A2D" w:rsidRPr="00B21FAC" w:rsidRDefault="00A57A2D" w:rsidP="00BA7E3E">
      <w:pPr>
        <w:pStyle w:val="Lijstalinea"/>
        <w:spacing w:after="0"/>
        <w:jc w:val="both"/>
      </w:pPr>
    </w:p>
    <w:p w14:paraId="0AB01603" w14:textId="6CB44526" w:rsidR="00A57A2D" w:rsidRPr="00B21FAC" w:rsidRDefault="00A57A2D" w:rsidP="00BA7E3E">
      <w:pPr>
        <w:pStyle w:val="Lijstalinea"/>
        <w:spacing w:after="0"/>
        <w:ind w:left="709"/>
        <w:jc w:val="both"/>
      </w:pPr>
      <w:r w:rsidRPr="00B21FAC">
        <w:rPr>
          <w:u w:val="single"/>
        </w:rPr>
        <w:t>Zelfstandigen</w:t>
      </w:r>
      <w:r w:rsidRPr="00B21FAC">
        <w:t xml:space="preserve"> zijn een bijdrage verschuldigd, berekend als percentage op hun </w:t>
      </w:r>
      <w:r w:rsidRPr="00B21FAC">
        <w:rPr>
          <w:u w:val="single"/>
        </w:rPr>
        <w:t>netto belastbare beroepsinkomsten</w:t>
      </w:r>
      <w:r w:rsidRPr="00B21FAC">
        <w:t>. De bijdragen zijn gelijk aan (2021):</w:t>
      </w:r>
    </w:p>
    <w:p w14:paraId="2049149C" w14:textId="0E230EE1" w:rsidR="00A57A2D" w:rsidRPr="00B21FAC" w:rsidRDefault="00A57A2D" w:rsidP="00BA7E3E">
      <w:pPr>
        <w:pStyle w:val="Lijstalinea"/>
        <w:numPr>
          <w:ilvl w:val="0"/>
          <w:numId w:val="18"/>
        </w:numPr>
        <w:spacing w:after="0"/>
        <w:jc w:val="both"/>
      </w:pPr>
      <w:r w:rsidRPr="00B21FAC">
        <w:t>20,50% op het gedeelte van het beroepsinkomen dat 60.638,45 EUR niet overschrijdt (en op een minimuminkomen van 14.042,57 EUR)</w:t>
      </w:r>
      <w:r w:rsidR="008E01FC" w:rsidRPr="00B21FAC">
        <w:t>;</w:t>
      </w:r>
    </w:p>
    <w:p w14:paraId="2EA85BE5" w14:textId="77777777" w:rsidR="00A57A2D" w:rsidRPr="00B21FAC" w:rsidRDefault="00A57A2D" w:rsidP="00BA7E3E">
      <w:pPr>
        <w:pStyle w:val="Lijstalinea"/>
        <w:numPr>
          <w:ilvl w:val="0"/>
          <w:numId w:val="18"/>
        </w:numPr>
        <w:spacing w:after="0"/>
        <w:jc w:val="both"/>
      </w:pPr>
      <w:r w:rsidRPr="00B21FAC">
        <w:t>14,16% op het gedeelte van het beroepsinkomen dat begrepen zit tussen 60.638,45 EUR en 89.361,89 EUR.</w:t>
      </w:r>
    </w:p>
    <w:p w14:paraId="0BDA3504" w14:textId="77777777" w:rsidR="00A57A2D" w:rsidRPr="00B21FAC" w:rsidRDefault="00A57A2D" w:rsidP="00BA7E3E">
      <w:pPr>
        <w:pStyle w:val="Lijstalinea"/>
        <w:spacing w:after="0"/>
        <w:ind w:left="709"/>
        <w:jc w:val="both"/>
      </w:pPr>
    </w:p>
    <w:p w14:paraId="4D307F3E" w14:textId="353CB386" w:rsidR="00A57A2D" w:rsidRPr="00B21FAC" w:rsidRDefault="00A57A2D" w:rsidP="00BA7E3E">
      <w:pPr>
        <w:pStyle w:val="Lijstalinea"/>
        <w:spacing w:after="0"/>
        <w:ind w:left="709"/>
        <w:jc w:val="both"/>
      </w:pPr>
      <w:r w:rsidRPr="00B21FAC">
        <w:t xml:space="preserve">De berekeningsbasis voor de sociale bijdragen van zelfstandigen valt m.a.w. samen met de berekeningsbasis voor de personenbelasting. </w:t>
      </w:r>
    </w:p>
    <w:p w14:paraId="588E4E7B" w14:textId="77777777" w:rsidR="00A57A2D" w:rsidRPr="00B21FAC" w:rsidRDefault="00A57A2D" w:rsidP="00BA7E3E">
      <w:pPr>
        <w:pStyle w:val="Lijstalinea"/>
        <w:spacing w:after="0"/>
        <w:jc w:val="both"/>
      </w:pPr>
    </w:p>
    <w:p w14:paraId="6665A02B" w14:textId="77777777" w:rsidR="00A57A2D" w:rsidRPr="00B21FAC" w:rsidRDefault="00A57A2D" w:rsidP="00BA7E3E">
      <w:pPr>
        <w:pStyle w:val="Lijstalinea"/>
        <w:spacing w:after="0"/>
        <w:jc w:val="both"/>
      </w:pPr>
      <w:r w:rsidRPr="00B21FAC">
        <w:t xml:space="preserve">Voor </w:t>
      </w:r>
      <w:r w:rsidRPr="00B21FAC">
        <w:rPr>
          <w:u w:val="single"/>
        </w:rPr>
        <w:t>werknemers</w:t>
      </w:r>
      <w:r w:rsidRPr="00B21FAC">
        <w:t xml:space="preserve"> is (onverminderd de basiswerkgeversbijdragen van ongeveer 25% van het brutoloon) in de regel een persoonlijke bijdrage verschuldigd van 13,07% op het </w:t>
      </w:r>
      <w:r w:rsidRPr="00B21FAC">
        <w:rPr>
          <w:u w:val="single"/>
        </w:rPr>
        <w:t>volledige brutoloon</w:t>
      </w:r>
      <w:r w:rsidRPr="00B21FAC">
        <w:t xml:space="preserve">. </w:t>
      </w:r>
    </w:p>
    <w:p w14:paraId="63BE8981" w14:textId="77777777" w:rsidR="00A57A2D" w:rsidRPr="00B21FAC" w:rsidRDefault="00A57A2D" w:rsidP="00BA7E3E">
      <w:pPr>
        <w:pStyle w:val="Lijstalinea"/>
        <w:spacing w:after="0"/>
        <w:jc w:val="both"/>
      </w:pPr>
    </w:p>
    <w:p w14:paraId="1FAE0BAF" w14:textId="66EE5F7C" w:rsidR="00A57A2D" w:rsidRPr="00B21FAC" w:rsidRDefault="00A57A2D" w:rsidP="00BA7E3E">
      <w:pPr>
        <w:pStyle w:val="Lijstalinea"/>
        <w:spacing w:after="0"/>
        <w:jc w:val="both"/>
      </w:pPr>
      <w:r w:rsidRPr="00B21FAC">
        <w:t>Gevisualiseerd geeft de opeenstapeling van de diverse heffingen (personenbelasting + sociale bijdragen) het volgende resultaat</w:t>
      </w:r>
      <w:r w:rsidR="00F03742">
        <w:t xml:space="preserve"> (</w:t>
      </w:r>
      <w:r w:rsidR="00A35DD7">
        <w:t>gemiddelde heffingsdruk volgens belastbaar inkomen (x 1.000))</w:t>
      </w:r>
      <w:r w:rsidRPr="00B21FAC">
        <w:t>:</w:t>
      </w:r>
    </w:p>
    <w:p w14:paraId="47B7DF13" w14:textId="48F4997C" w:rsidR="00A57A2D" w:rsidRPr="00B21FAC" w:rsidRDefault="00A57A2D" w:rsidP="005061E3">
      <w:pPr>
        <w:spacing w:after="0"/>
        <w:jc w:val="both"/>
      </w:pPr>
    </w:p>
    <w:p w14:paraId="03929688" w14:textId="77777777" w:rsidR="00A57A2D" w:rsidRPr="00B21FAC" w:rsidRDefault="00A57A2D" w:rsidP="00BA7E3E">
      <w:pPr>
        <w:spacing w:after="0"/>
        <w:jc w:val="both"/>
      </w:pPr>
    </w:p>
    <w:p w14:paraId="29A595CE" w14:textId="389B0849" w:rsidR="00A57A2D" w:rsidRDefault="005061E3" w:rsidP="003B4703">
      <w:pPr>
        <w:pStyle w:val="Lijstalinea"/>
        <w:tabs>
          <w:tab w:val="left" w:pos="720"/>
          <w:tab w:val="left" w:pos="8931"/>
        </w:tabs>
        <w:spacing w:after="0"/>
        <w:ind w:hanging="720"/>
        <w:jc w:val="both"/>
      </w:pPr>
      <w:r>
        <w:rPr>
          <w:noProof/>
        </w:rPr>
        <w:drawing>
          <wp:inline distT="0" distB="0" distL="0" distR="0" wp14:anchorId="1176EE6C" wp14:editId="1A696A16">
            <wp:extent cx="6067425" cy="3629025"/>
            <wp:effectExtent l="0" t="0" r="9525" b="952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067425" cy="3629025"/>
                    </a:xfrm>
                    <a:prstGeom prst="rect">
                      <a:avLst/>
                    </a:prstGeom>
                  </pic:spPr>
                </pic:pic>
              </a:graphicData>
            </a:graphic>
          </wp:inline>
        </w:drawing>
      </w:r>
    </w:p>
    <w:p w14:paraId="2E9997AF" w14:textId="59177C26" w:rsidR="003B4703" w:rsidRDefault="003B4703">
      <w:r>
        <w:br w:type="page"/>
      </w:r>
    </w:p>
    <w:p w14:paraId="75029372" w14:textId="77777777" w:rsidR="005061E3" w:rsidRPr="00B21FAC" w:rsidRDefault="005061E3" w:rsidP="00BA7E3E">
      <w:pPr>
        <w:pStyle w:val="Lijstalinea"/>
        <w:spacing w:after="0"/>
        <w:jc w:val="both"/>
      </w:pPr>
    </w:p>
    <w:p w14:paraId="5070D4BB" w14:textId="5E47EF4A" w:rsidR="00A57A2D" w:rsidRPr="00B21FAC" w:rsidRDefault="00A57A2D" w:rsidP="00BA7E3E">
      <w:pPr>
        <w:pStyle w:val="Lijstalinea"/>
        <w:spacing w:after="0"/>
        <w:jc w:val="both"/>
      </w:pPr>
      <w:r w:rsidRPr="00B21FAC">
        <w:t>Bij dit alles is het van belang om te noteren dat de persoonlijke bijdragen van werknemers, alsook de bijdragen verschuldigd door zelfstandigen fiscaal aftrekbaar zijn</w:t>
      </w:r>
      <w:r w:rsidR="00175C37" w:rsidRPr="00B21FAC">
        <w:t xml:space="preserve">. </w:t>
      </w:r>
      <w:bookmarkStart w:id="170" w:name="_Hlk76459318"/>
      <w:r w:rsidRPr="00B21FAC">
        <w:t xml:space="preserve">De aftrek leidt er toe </w:t>
      </w:r>
      <w:r w:rsidR="00175C37" w:rsidRPr="00B21FAC">
        <w:t xml:space="preserve">dat </w:t>
      </w:r>
      <w:r w:rsidRPr="00B21FAC">
        <w:t>de hogere inkomstencategorieën relatief gezien meer fiscaal recupereren dan de onderste inkomstencategorieën.</w:t>
      </w:r>
      <w:bookmarkEnd w:id="170"/>
      <w:r w:rsidRPr="00B21FAC">
        <w:t xml:space="preserve"> Deze wisselwerking leidt er uiteraard ook toe dat bij een verlaging van de fiscale druk</w:t>
      </w:r>
      <w:r w:rsidR="00782772">
        <w:t xml:space="preserve"> ook deze fiscale recuperatie relatief gezien vermindert.</w:t>
      </w:r>
    </w:p>
    <w:p w14:paraId="139DDC0F" w14:textId="77777777" w:rsidR="00A57A2D" w:rsidRPr="00B21FAC" w:rsidRDefault="00A57A2D" w:rsidP="00BA7E3E">
      <w:pPr>
        <w:pStyle w:val="Lijstalinea"/>
        <w:spacing w:after="0"/>
        <w:jc w:val="both"/>
      </w:pPr>
    </w:p>
    <w:p w14:paraId="2A0FE1EC" w14:textId="6945D959" w:rsidR="00A57A2D" w:rsidRPr="00B21FAC" w:rsidRDefault="00A57A2D" w:rsidP="00BA7E3E">
      <w:pPr>
        <w:pStyle w:val="Lijstalinea"/>
        <w:spacing w:after="0"/>
        <w:jc w:val="both"/>
      </w:pPr>
      <w:r w:rsidRPr="00B21FAC">
        <w:rPr>
          <w:u w:val="single"/>
        </w:rPr>
        <w:t>PM:</w:t>
      </w:r>
      <w:r w:rsidRPr="00B21FAC">
        <w:t xml:space="preserve"> De vraag rijst in het algemeen of het niet logischer zou zijn om minstens bepaalde sociale bijdragen (ook de werkgeversbijdragen) te integreren in de fiscale tariefstructuur. Een dergelijke benadering </w:t>
      </w:r>
      <w:r w:rsidR="009C66AE">
        <w:t>(die de vooropgestelde afbakening</w:t>
      </w:r>
      <w:r w:rsidR="008B5321">
        <w:t xml:space="preserve"> overschrijdt) </w:t>
      </w:r>
      <w:r w:rsidRPr="00B21FAC">
        <w:t>leidt tot lagere administratieve kosten en een hogere transparantie. Een dergelijke oefening vergt evenwel een ingrijpen op meerdere vlakken (o.m. veroorzaakt door het onderscheid in sociale statuten, de bevoegdheidsverdelingen, …).</w:t>
      </w:r>
    </w:p>
    <w:p w14:paraId="3E5AF699" w14:textId="77777777" w:rsidR="00A57A2D" w:rsidRPr="00B21FAC" w:rsidRDefault="00A57A2D" w:rsidP="00BA7E3E">
      <w:pPr>
        <w:pStyle w:val="Lijstalinea"/>
        <w:spacing w:after="0"/>
        <w:jc w:val="both"/>
      </w:pPr>
    </w:p>
    <w:p w14:paraId="42B31995" w14:textId="5E6B39F6" w:rsidR="006024D9" w:rsidRDefault="00A57A2D" w:rsidP="00BA7E3E">
      <w:pPr>
        <w:pStyle w:val="Lijstalinea"/>
        <w:spacing w:after="0"/>
        <w:jc w:val="both"/>
      </w:pPr>
      <w:r w:rsidRPr="00B21FAC">
        <w:rPr>
          <w:u w:val="single"/>
        </w:rPr>
        <w:t>PM:</w:t>
      </w:r>
      <w:r w:rsidRPr="00B21FAC">
        <w:t xml:space="preserve"> Er kan – wat het werknemersstelsel betreft – overwogen worden om niet langer (of in mindere mate) sociale bijdragen te heffen boven een bepaald inkomstenniveau</w:t>
      </w:r>
      <w:r w:rsidR="00CE663E">
        <w:t xml:space="preserve"> (</w:t>
      </w:r>
      <w:r w:rsidR="00E35F1B">
        <w:t>bv. loongedeelte boven het plafond voor de pensioenberekening)</w:t>
      </w:r>
      <w:r w:rsidRPr="00B21FAC">
        <w:t xml:space="preserve">, waardoor </w:t>
      </w:r>
      <w:r w:rsidR="00AD0050">
        <w:t xml:space="preserve">de uitholling van het </w:t>
      </w:r>
      <w:r w:rsidRPr="00B21FAC">
        <w:t xml:space="preserve">verzekeringsprincipe </w:t>
      </w:r>
      <w:r w:rsidR="00930EFC">
        <w:t>aan de uitkeringszijde (omwille van de maxima die gelden bij de uitkeringen) op zijn minst in overeenstemming kan worden gebracht met de bijdragenzijde</w:t>
      </w:r>
      <w:r w:rsidR="00EC1E67">
        <w:t xml:space="preserve">. </w:t>
      </w:r>
      <w:r w:rsidR="00E5261A">
        <w:t xml:space="preserve">Ook dit vereist een </w:t>
      </w:r>
      <w:r w:rsidR="00726792">
        <w:t xml:space="preserve">wijziging </w:t>
      </w:r>
      <w:r w:rsidR="00F82D95">
        <w:t>in de bijdragestructuur.</w:t>
      </w:r>
    </w:p>
    <w:p w14:paraId="03832A43" w14:textId="5FC66644" w:rsidR="000A59CF" w:rsidRDefault="000A59CF">
      <w:r>
        <w:br w:type="page"/>
      </w:r>
    </w:p>
    <w:p w14:paraId="594E2E0C" w14:textId="77777777" w:rsidR="00F84355" w:rsidRPr="00B21FAC" w:rsidRDefault="00F84355" w:rsidP="00BA7E3E">
      <w:pPr>
        <w:spacing w:after="0"/>
        <w:jc w:val="both"/>
      </w:pPr>
    </w:p>
    <w:p w14:paraId="6F3C4FF2" w14:textId="77777777" w:rsidR="00A57A2D" w:rsidRPr="00B21FAC" w:rsidRDefault="00A57A2D" w:rsidP="00BA7E3E">
      <w:pPr>
        <w:pStyle w:val="Lijstalinea"/>
        <w:numPr>
          <w:ilvl w:val="0"/>
          <w:numId w:val="18"/>
        </w:numPr>
        <w:spacing w:after="0"/>
        <w:ind w:left="709"/>
        <w:jc w:val="both"/>
        <w:rPr>
          <w:b/>
          <w:bCs/>
        </w:rPr>
      </w:pPr>
      <w:r w:rsidRPr="00B21FAC">
        <w:rPr>
          <w:b/>
          <w:bCs/>
        </w:rPr>
        <w:t xml:space="preserve">Functionele vergelijking met de tariefstructuur van de ons omringende landen </w:t>
      </w:r>
    </w:p>
    <w:p w14:paraId="77D3D6BF" w14:textId="77777777" w:rsidR="00A57A2D" w:rsidRPr="00B21FAC" w:rsidRDefault="00A57A2D" w:rsidP="00BA7E3E">
      <w:pPr>
        <w:pStyle w:val="Lijstalinea"/>
        <w:spacing w:after="0"/>
        <w:jc w:val="both"/>
      </w:pPr>
    </w:p>
    <w:p w14:paraId="14E24384" w14:textId="77777777" w:rsidR="00A57A2D" w:rsidRPr="00B21FAC" w:rsidRDefault="00A57A2D" w:rsidP="00BA7E3E">
      <w:pPr>
        <w:pStyle w:val="Lijstalinea"/>
        <w:spacing w:after="0"/>
        <w:jc w:val="both"/>
      </w:pPr>
      <w:r w:rsidRPr="00B21FAC">
        <w:t>De mate waarin (in verhouding tot het uitgangspunt) gestreefd moet worden naar een verlaging van de tarieven en/of verbreding van de tariefschijven, is uiteraard een beleidskwestie.</w:t>
      </w:r>
    </w:p>
    <w:p w14:paraId="4744E89C" w14:textId="77777777" w:rsidR="00A57A2D" w:rsidRPr="00B21FAC" w:rsidRDefault="00A57A2D" w:rsidP="00BA7E3E">
      <w:pPr>
        <w:pStyle w:val="Lijstalinea"/>
        <w:spacing w:after="0"/>
        <w:jc w:val="both"/>
      </w:pPr>
    </w:p>
    <w:p w14:paraId="399C715A" w14:textId="77777777" w:rsidR="00A57A2D" w:rsidRPr="00B21FAC" w:rsidRDefault="00A57A2D" w:rsidP="00BA7E3E">
      <w:pPr>
        <w:pStyle w:val="Lijstalinea"/>
        <w:spacing w:after="0"/>
        <w:jc w:val="both"/>
      </w:pPr>
      <w:r w:rsidRPr="00B21FAC">
        <w:t>De beleidsmaker kan zich daarin mogelijkerwijze laten inspireren door het belastingstelsel van de ons omringende landen. De vergelijking met de ons omringende landen, toont in ieder geval aan dat de keuze voor een substantiële verbreding van de tariefschijven, gecombineerd met lagere tarieven voor de schijven (tot rond een (boven)gemiddeld inkomen) een keuze is die vele landen maken.</w:t>
      </w:r>
    </w:p>
    <w:p w14:paraId="41B56AE1" w14:textId="77777777" w:rsidR="00A57A2D" w:rsidRPr="00B21FAC" w:rsidRDefault="00A57A2D" w:rsidP="00BA7E3E">
      <w:pPr>
        <w:pStyle w:val="Lijstalinea"/>
        <w:spacing w:after="0"/>
        <w:jc w:val="both"/>
      </w:pPr>
    </w:p>
    <w:p w14:paraId="67D203C4" w14:textId="77777777" w:rsidR="00A57A2D" w:rsidRPr="00B21FAC" w:rsidRDefault="00A57A2D" w:rsidP="00BA7E3E">
      <w:pPr>
        <w:pStyle w:val="Lijstalinea"/>
        <w:spacing w:after="0"/>
        <w:jc w:val="both"/>
      </w:pPr>
      <w:r w:rsidRPr="00B21FAC">
        <w:t>Hierna volgt een louter vergelijkend overzicht met als doel de Belgische positie beter te kunnen omkaderen.</w:t>
      </w:r>
    </w:p>
    <w:p w14:paraId="7EE761B9" w14:textId="77777777" w:rsidR="00A57A2D" w:rsidRPr="00B21FAC" w:rsidRDefault="00A57A2D" w:rsidP="00BA7E3E">
      <w:pPr>
        <w:pStyle w:val="Lijstalinea"/>
        <w:spacing w:after="0"/>
        <w:jc w:val="both"/>
      </w:pPr>
    </w:p>
    <w:p w14:paraId="0D9CE927" w14:textId="77777777" w:rsidR="00A57A2D" w:rsidRPr="00B21FAC" w:rsidRDefault="00A57A2D" w:rsidP="00BA7E3E">
      <w:pPr>
        <w:pStyle w:val="Lijstalinea"/>
        <w:spacing w:after="0"/>
        <w:jc w:val="both"/>
        <w:rPr>
          <w:u w:val="single"/>
        </w:rPr>
      </w:pPr>
      <w:r w:rsidRPr="00B21FAC">
        <w:rPr>
          <w:u w:val="single"/>
        </w:rPr>
        <w:t>Nederland:</w:t>
      </w:r>
    </w:p>
    <w:p w14:paraId="57A922DB" w14:textId="77777777" w:rsidR="00A57A2D" w:rsidRPr="00B21FAC" w:rsidRDefault="00A57A2D" w:rsidP="00BA7E3E">
      <w:pPr>
        <w:pStyle w:val="Lijstalinea"/>
        <w:spacing w:after="0"/>
        <w:jc w:val="both"/>
      </w:pPr>
    </w:p>
    <w:tbl>
      <w:tblPr>
        <w:tblStyle w:val="Tabelraster"/>
        <w:tblW w:w="0" w:type="auto"/>
        <w:tblInd w:w="720" w:type="dxa"/>
        <w:tblLook w:val="04A0" w:firstRow="1" w:lastRow="0" w:firstColumn="1" w:lastColumn="0" w:noHBand="0" w:noVBand="1"/>
      </w:tblPr>
      <w:tblGrid>
        <w:gridCol w:w="3910"/>
        <w:gridCol w:w="4291"/>
      </w:tblGrid>
      <w:tr w:rsidR="00A57A2D" w:rsidRPr="00B21FAC" w14:paraId="2FA17184" w14:textId="77777777" w:rsidTr="00FB3500">
        <w:tc>
          <w:tcPr>
            <w:tcW w:w="6997" w:type="dxa"/>
          </w:tcPr>
          <w:p w14:paraId="0EAB136A" w14:textId="77777777" w:rsidR="00A57A2D" w:rsidRPr="00B21FAC" w:rsidRDefault="00A57A2D" w:rsidP="00BA7E3E">
            <w:pPr>
              <w:pStyle w:val="Lijstalinea"/>
              <w:spacing w:line="259" w:lineRule="auto"/>
              <w:ind w:left="0"/>
              <w:jc w:val="both"/>
            </w:pPr>
            <w:r w:rsidRPr="00B21FAC">
              <w:t>Tarief</w:t>
            </w:r>
          </w:p>
        </w:tc>
        <w:tc>
          <w:tcPr>
            <w:tcW w:w="6997" w:type="dxa"/>
          </w:tcPr>
          <w:p w14:paraId="5414738B" w14:textId="2A8A587A" w:rsidR="00A57A2D" w:rsidRPr="00B21FAC" w:rsidRDefault="00A57A2D" w:rsidP="00BA7E3E">
            <w:pPr>
              <w:pStyle w:val="Lijstalinea"/>
              <w:spacing w:line="259" w:lineRule="auto"/>
              <w:ind w:left="0"/>
              <w:jc w:val="both"/>
            </w:pPr>
            <w:r w:rsidRPr="00B21FAC">
              <w:t>Inkomstenschijf (tot)</w:t>
            </w:r>
            <w:r w:rsidR="005C08AE">
              <w:t xml:space="preserve"> – inkomstenjaar 2021</w:t>
            </w:r>
          </w:p>
        </w:tc>
      </w:tr>
      <w:tr w:rsidR="00A57A2D" w:rsidRPr="00B21FAC" w14:paraId="7DADBBEF" w14:textId="77777777" w:rsidTr="00FB3500">
        <w:tc>
          <w:tcPr>
            <w:tcW w:w="6997" w:type="dxa"/>
          </w:tcPr>
          <w:p w14:paraId="5F8C9C82" w14:textId="47D806E2" w:rsidR="00A57A2D" w:rsidRPr="00B21FAC" w:rsidRDefault="00A57A2D" w:rsidP="00BA7E3E">
            <w:pPr>
              <w:pStyle w:val="Lijstalinea"/>
              <w:spacing w:line="259" w:lineRule="auto"/>
              <w:ind w:left="0"/>
              <w:jc w:val="both"/>
            </w:pPr>
            <w:r w:rsidRPr="00B21FAC">
              <w:t>37,</w:t>
            </w:r>
            <w:r w:rsidR="00F12A14">
              <w:t>10</w:t>
            </w:r>
            <w:r w:rsidRPr="00B21FAC">
              <w:t xml:space="preserve"> %</w:t>
            </w:r>
          </w:p>
        </w:tc>
        <w:tc>
          <w:tcPr>
            <w:tcW w:w="6997" w:type="dxa"/>
          </w:tcPr>
          <w:p w14:paraId="305D12FA" w14:textId="458CEF02" w:rsidR="00A57A2D" w:rsidRPr="00B21FAC" w:rsidRDefault="00A57A2D" w:rsidP="00BA7E3E">
            <w:pPr>
              <w:pStyle w:val="Lijstalinea"/>
              <w:spacing w:line="259" w:lineRule="auto"/>
              <w:ind w:left="0"/>
              <w:jc w:val="both"/>
            </w:pPr>
            <w:r w:rsidRPr="00B21FAC">
              <w:t>3</w:t>
            </w:r>
            <w:r w:rsidR="003D3817">
              <w:t>5.130</w:t>
            </w:r>
          </w:p>
        </w:tc>
      </w:tr>
      <w:tr w:rsidR="00A57A2D" w:rsidRPr="00B21FAC" w14:paraId="7A7915C3" w14:textId="77777777" w:rsidTr="00FB3500">
        <w:tc>
          <w:tcPr>
            <w:tcW w:w="6997" w:type="dxa"/>
          </w:tcPr>
          <w:p w14:paraId="0D0FCC18" w14:textId="4AB9F093" w:rsidR="00A57A2D" w:rsidRPr="00B21FAC" w:rsidRDefault="00A57A2D" w:rsidP="00BA7E3E">
            <w:pPr>
              <w:pStyle w:val="Lijstalinea"/>
              <w:spacing w:line="259" w:lineRule="auto"/>
              <w:ind w:left="0"/>
              <w:jc w:val="both"/>
            </w:pPr>
            <w:r w:rsidRPr="00B21FAC">
              <w:t>37,</w:t>
            </w:r>
            <w:r w:rsidR="00F12A14">
              <w:t>10</w:t>
            </w:r>
            <w:r w:rsidRPr="00B21FAC">
              <w:t>%</w:t>
            </w:r>
          </w:p>
        </w:tc>
        <w:tc>
          <w:tcPr>
            <w:tcW w:w="6997" w:type="dxa"/>
          </w:tcPr>
          <w:p w14:paraId="32156965" w14:textId="5A4F10DE" w:rsidR="00A57A2D" w:rsidRPr="00B21FAC" w:rsidRDefault="00A57A2D" w:rsidP="00BA7E3E">
            <w:pPr>
              <w:pStyle w:val="Lijstalinea"/>
              <w:spacing w:line="259" w:lineRule="auto"/>
              <w:ind w:left="0"/>
              <w:jc w:val="both"/>
            </w:pPr>
            <w:r w:rsidRPr="00B21FAC">
              <w:t>68.50</w:t>
            </w:r>
            <w:r w:rsidR="00F12A14">
              <w:t>8</w:t>
            </w:r>
          </w:p>
        </w:tc>
      </w:tr>
      <w:tr w:rsidR="00A57A2D" w:rsidRPr="00B21FAC" w14:paraId="5A0AD34B" w14:textId="77777777" w:rsidTr="00FB3500">
        <w:tc>
          <w:tcPr>
            <w:tcW w:w="6997" w:type="dxa"/>
          </w:tcPr>
          <w:p w14:paraId="1244E463" w14:textId="77777777" w:rsidR="00A57A2D" w:rsidRPr="00B21FAC" w:rsidRDefault="00A57A2D" w:rsidP="00BA7E3E">
            <w:pPr>
              <w:pStyle w:val="Lijstalinea"/>
              <w:spacing w:line="259" w:lineRule="auto"/>
              <w:ind w:left="0"/>
              <w:jc w:val="both"/>
            </w:pPr>
            <w:r w:rsidRPr="00B21FAC">
              <w:t>49,50%</w:t>
            </w:r>
          </w:p>
        </w:tc>
        <w:tc>
          <w:tcPr>
            <w:tcW w:w="6997" w:type="dxa"/>
          </w:tcPr>
          <w:p w14:paraId="77FA57E5" w14:textId="77777777" w:rsidR="00A57A2D" w:rsidRPr="00B21FAC" w:rsidRDefault="00A57A2D" w:rsidP="00BA7E3E">
            <w:pPr>
              <w:pStyle w:val="Lijstalinea"/>
              <w:spacing w:line="259" w:lineRule="auto"/>
              <w:ind w:left="0"/>
              <w:jc w:val="both"/>
            </w:pPr>
          </w:p>
        </w:tc>
      </w:tr>
    </w:tbl>
    <w:p w14:paraId="6C58BBAF" w14:textId="77777777" w:rsidR="00A57A2D" w:rsidRPr="00B21FAC" w:rsidRDefault="00A57A2D" w:rsidP="00BA7E3E">
      <w:pPr>
        <w:pStyle w:val="Lijstalinea"/>
        <w:spacing w:after="0"/>
        <w:jc w:val="both"/>
      </w:pPr>
    </w:p>
    <w:p w14:paraId="6EF74458" w14:textId="7DA70FD4" w:rsidR="00930839" w:rsidRDefault="00193271" w:rsidP="00BA7E3E">
      <w:pPr>
        <w:pStyle w:val="Lijstalinea"/>
        <w:spacing w:after="0"/>
        <w:jc w:val="both"/>
      </w:pPr>
      <w:r>
        <w:t xml:space="preserve">De hier vermelde tarieven </w:t>
      </w:r>
      <w:r w:rsidR="00BE56BD">
        <w:t xml:space="preserve">omvatten ook de </w:t>
      </w:r>
      <w:r w:rsidR="00A57A2D" w:rsidRPr="00B21FAC">
        <w:t xml:space="preserve">sociale bijdragen </w:t>
      </w:r>
      <w:r w:rsidR="00225B1A">
        <w:t>verschuldigd door de werknemers</w:t>
      </w:r>
      <w:r w:rsidR="00BE56BD">
        <w:t xml:space="preserve"> (zie ook </w:t>
      </w:r>
      <w:hyperlink r:id="rId18" w:history="1">
        <w:r w:rsidR="004D0B74" w:rsidRPr="004D0B74">
          <w:rPr>
            <w:rStyle w:val="Hyperlink"/>
          </w:rPr>
          <w:t>Overzicht tarieven en belastingschijven (belastingdienst.nl)</w:t>
        </w:r>
      </w:hyperlink>
      <w:r w:rsidR="004D0B74">
        <w:t>)</w:t>
      </w:r>
      <w:r w:rsidR="00A57A2D" w:rsidRPr="00B21FAC">
        <w:t xml:space="preserve">. </w:t>
      </w:r>
      <w:r w:rsidR="00A868E5">
        <w:t>Het globale tarief op de eerste schijf omhelst dan ook de premie volksverzekeringen</w:t>
      </w:r>
      <w:r w:rsidR="00A679A3">
        <w:t xml:space="preserve"> (Algemene ouderdomswet / Algemene nabestaandenwet / Wet Langdurige zorg</w:t>
      </w:r>
      <w:r w:rsidR="008639C5">
        <w:t>)</w:t>
      </w:r>
      <w:r w:rsidR="00A57A2D" w:rsidRPr="00B21FAC">
        <w:t>. De</w:t>
      </w:r>
      <w:r w:rsidR="00470DE4">
        <w:t>ze</w:t>
      </w:r>
      <w:r w:rsidR="00A57A2D" w:rsidRPr="00B21FAC">
        <w:t xml:space="preserve"> sociale bijdragen zijn niet aftrekbaar van het belastbaar inkomen.</w:t>
      </w:r>
    </w:p>
    <w:p w14:paraId="232527CE" w14:textId="1DC37614" w:rsidR="00A57A2D" w:rsidRPr="00B21FAC" w:rsidRDefault="00930839" w:rsidP="00BA7E3E">
      <w:pPr>
        <w:pStyle w:val="Lijstalinea"/>
        <w:spacing w:after="0"/>
        <w:jc w:val="both"/>
      </w:pPr>
      <w:r>
        <w:t xml:space="preserve">Daarnaast </w:t>
      </w:r>
      <w:r w:rsidR="00F21AA2">
        <w:t>moeten er premies betaald worden voor</w:t>
      </w:r>
      <w:r>
        <w:t xml:space="preserve"> de werknemersverzekeringen </w:t>
      </w:r>
      <w:r w:rsidR="00C71DDA">
        <w:t>(Werkloosheidswet / Wet op de arbeidsongeschiktheidsverzekering / Wet werk en inkomen naar arbeidsvermogen / Ziektewet</w:t>
      </w:r>
      <w:r w:rsidR="00381C5F">
        <w:t>)</w:t>
      </w:r>
      <w:r>
        <w:t>.</w:t>
      </w:r>
      <w:r w:rsidR="00F21AA2">
        <w:t xml:space="preserve"> Deze zijn in de regel verschuldigd door de werkgever.</w:t>
      </w:r>
    </w:p>
    <w:p w14:paraId="6374CDCB" w14:textId="77777777" w:rsidR="00A57A2D" w:rsidRPr="00B21FAC" w:rsidRDefault="00A57A2D" w:rsidP="00BA7E3E">
      <w:pPr>
        <w:pStyle w:val="Lijstalinea"/>
        <w:spacing w:after="0"/>
        <w:jc w:val="both"/>
      </w:pPr>
    </w:p>
    <w:p w14:paraId="1307DB49" w14:textId="77777777" w:rsidR="00A57A2D" w:rsidRPr="00B21FAC" w:rsidRDefault="00A57A2D" w:rsidP="00BA7E3E">
      <w:pPr>
        <w:pStyle w:val="Lijstalinea"/>
        <w:spacing w:after="0"/>
        <w:jc w:val="both"/>
        <w:rPr>
          <w:u w:val="single"/>
        </w:rPr>
      </w:pPr>
      <w:r w:rsidRPr="00B21FAC">
        <w:rPr>
          <w:u w:val="single"/>
        </w:rPr>
        <w:t>Frankrijk:</w:t>
      </w:r>
    </w:p>
    <w:p w14:paraId="2F7440A2" w14:textId="77777777" w:rsidR="00A57A2D" w:rsidRPr="00B21FAC" w:rsidRDefault="00A57A2D" w:rsidP="00BA7E3E">
      <w:pPr>
        <w:pStyle w:val="Lijstalinea"/>
        <w:spacing w:after="0"/>
        <w:jc w:val="both"/>
      </w:pPr>
    </w:p>
    <w:tbl>
      <w:tblPr>
        <w:tblStyle w:val="Tabelraster"/>
        <w:tblW w:w="0" w:type="auto"/>
        <w:tblInd w:w="720" w:type="dxa"/>
        <w:tblLook w:val="04A0" w:firstRow="1" w:lastRow="0" w:firstColumn="1" w:lastColumn="0" w:noHBand="0" w:noVBand="1"/>
      </w:tblPr>
      <w:tblGrid>
        <w:gridCol w:w="3877"/>
        <w:gridCol w:w="4324"/>
      </w:tblGrid>
      <w:tr w:rsidR="00A57A2D" w:rsidRPr="00B21FAC" w14:paraId="5FB7777C" w14:textId="77777777" w:rsidTr="00FB3500">
        <w:tc>
          <w:tcPr>
            <w:tcW w:w="6609" w:type="dxa"/>
          </w:tcPr>
          <w:p w14:paraId="19E05AC6" w14:textId="77777777" w:rsidR="00A57A2D" w:rsidRPr="00B21FAC" w:rsidRDefault="00A57A2D" w:rsidP="00BA7E3E">
            <w:pPr>
              <w:pStyle w:val="Lijstalinea"/>
              <w:spacing w:line="259" w:lineRule="auto"/>
              <w:ind w:left="0"/>
              <w:jc w:val="both"/>
            </w:pPr>
            <w:r w:rsidRPr="00B21FAC">
              <w:t>Tarief</w:t>
            </w:r>
          </w:p>
        </w:tc>
        <w:tc>
          <w:tcPr>
            <w:tcW w:w="6665" w:type="dxa"/>
          </w:tcPr>
          <w:p w14:paraId="4F072230" w14:textId="46FD0D3B" w:rsidR="00A57A2D" w:rsidRPr="00B21FAC" w:rsidRDefault="00A57A2D" w:rsidP="00BA7E3E">
            <w:pPr>
              <w:pStyle w:val="Lijstalinea"/>
              <w:spacing w:line="259" w:lineRule="auto"/>
              <w:ind w:left="0"/>
              <w:jc w:val="both"/>
            </w:pPr>
            <w:r w:rsidRPr="00B21FAC">
              <w:t>Inkomstenschijf (tot)</w:t>
            </w:r>
            <w:r w:rsidR="00B5418E">
              <w:t xml:space="preserve"> – inkomstenjaar 2021</w:t>
            </w:r>
          </w:p>
        </w:tc>
      </w:tr>
      <w:tr w:rsidR="00A57A2D" w:rsidRPr="00B21FAC" w14:paraId="6AD6CF42" w14:textId="77777777" w:rsidTr="00FB3500">
        <w:tc>
          <w:tcPr>
            <w:tcW w:w="6609" w:type="dxa"/>
          </w:tcPr>
          <w:p w14:paraId="1C6FA70B" w14:textId="77777777" w:rsidR="00A57A2D" w:rsidRPr="00B21FAC" w:rsidRDefault="00A57A2D" w:rsidP="00BA7E3E">
            <w:pPr>
              <w:pStyle w:val="Lijstalinea"/>
              <w:spacing w:line="259" w:lineRule="auto"/>
              <w:ind w:left="0"/>
              <w:jc w:val="both"/>
            </w:pPr>
            <w:r w:rsidRPr="00B21FAC">
              <w:t>11%</w:t>
            </w:r>
          </w:p>
        </w:tc>
        <w:tc>
          <w:tcPr>
            <w:tcW w:w="6665" w:type="dxa"/>
          </w:tcPr>
          <w:p w14:paraId="0268000E" w14:textId="500B001F" w:rsidR="00A57A2D" w:rsidRPr="00B21FAC" w:rsidRDefault="00A57A2D" w:rsidP="00BA7E3E">
            <w:pPr>
              <w:pStyle w:val="Lijstalinea"/>
              <w:spacing w:line="259" w:lineRule="auto"/>
              <w:ind w:left="0"/>
              <w:jc w:val="both"/>
            </w:pPr>
            <w:r w:rsidRPr="00B21FAC">
              <w:t>2</w:t>
            </w:r>
            <w:r w:rsidR="009E1030">
              <w:t>6.070</w:t>
            </w:r>
          </w:p>
        </w:tc>
      </w:tr>
      <w:tr w:rsidR="00A57A2D" w:rsidRPr="00B21FAC" w14:paraId="111059E2" w14:textId="77777777" w:rsidTr="00FB3500">
        <w:tc>
          <w:tcPr>
            <w:tcW w:w="6609" w:type="dxa"/>
          </w:tcPr>
          <w:p w14:paraId="4DD9FD55" w14:textId="77777777" w:rsidR="00A57A2D" w:rsidRPr="00B21FAC" w:rsidRDefault="00A57A2D" w:rsidP="00BA7E3E">
            <w:pPr>
              <w:pStyle w:val="Lijstalinea"/>
              <w:spacing w:line="259" w:lineRule="auto"/>
              <w:ind w:left="0"/>
              <w:jc w:val="both"/>
            </w:pPr>
            <w:r w:rsidRPr="00B21FAC">
              <w:t>30%</w:t>
            </w:r>
          </w:p>
        </w:tc>
        <w:tc>
          <w:tcPr>
            <w:tcW w:w="6665" w:type="dxa"/>
          </w:tcPr>
          <w:p w14:paraId="3ED87514" w14:textId="511094E7" w:rsidR="00A57A2D" w:rsidRPr="00B21FAC" w:rsidRDefault="00A57A2D" w:rsidP="00BA7E3E">
            <w:pPr>
              <w:pStyle w:val="Lijstalinea"/>
              <w:spacing w:line="259" w:lineRule="auto"/>
              <w:ind w:left="0"/>
              <w:jc w:val="both"/>
            </w:pPr>
            <w:r w:rsidRPr="00B21FAC">
              <w:t>7</w:t>
            </w:r>
            <w:r w:rsidR="009E1030">
              <w:t>4.545</w:t>
            </w:r>
          </w:p>
        </w:tc>
      </w:tr>
      <w:tr w:rsidR="00A57A2D" w:rsidRPr="00B21FAC" w14:paraId="70402584" w14:textId="77777777" w:rsidTr="00FB3500">
        <w:tc>
          <w:tcPr>
            <w:tcW w:w="6609" w:type="dxa"/>
          </w:tcPr>
          <w:p w14:paraId="3B54EFDE" w14:textId="77777777" w:rsidR="00A57A2D" w:rsidRPr="00B21FAC" w:rsidRDefault="00A57A2D" w:rsidP="00BA7E3E">
            <w:pPr>
              <w:pStyle w:val="Lijstalinea"/>
              <w:spacing w:line="259" w:lineRule="auto"/>
              <w:ind w:left="0"/>
              <w:jc w:val="both"/>
            </w:pPr>
            <w:r w:rsidRPr="00B21FAC">
              <w:t>41%</w:t>
            </w:r>
          </w:p>
        </w:tc>
        <w:tc>
          <w:tcPr>
            <w:tcW w:w="6665" w:type="dxa"/>
          </w:tcPr>
          <w:p w14:paraId="4482FD67" w14:textId="042D547D" w:rsidR="00A57A2D" w:rsidRPr="00B21FAC" w:rsidRDefault="00A57A2D" w:rsidP="00BA7E3E">
            <w:pPr>
              <w:pStyle w:val="Lijstalinea"/>
              <w:spacing w:line="259" w:lineRule="auto"/>
              <w:ind w:left="0"/>
              <w:jc w:val="both"/>
            </w:pPr>
            <w:r w:rsidRPr="00B21FAC">
              <w:t>1</w:t>
            </w:r>
            <w:r w:rsidR="009E1030">
              <w:t>60.336</w:t>
            </w:r>
          </w:p>
        </w:tc>
      </w:tr>
      <w:tr w:rsidR="00A57A2D" w:rsidRPr="00B21FAC" w14:paraId="026A846C" w14:textId="77777777" w:rsidTr="00FB3500">
        <w:tc>
          <w:tcPr>
            <w:tcW w:w="6609" w:type="dxa"/>
          </w:tcPr>
          <w:p w14:paraId="67EC35A2" w14:textId="77777777" w:rsidR="00A57A2D" w:rsidRPr="00B21FAC" w:rsidRDefault="00A57A2D" w:rsidP="00BA7E3E">
            <w:pPr>
              <w:pStyle w:val="Lijstalinea"/>
              <w:spacing w:line="259" w:lineRule="auto"/>
              <w:ind w:left="0"/>
              <w:jc w:val="both"/>
            </w:pPr>
            <w:r w:rsidRPr="00B21FAC">
              <w:t>45%</w:t>
            </w:r>
          </w:p>
        </w:tc>
        <w:tc>
          <w:tcPr>
            <w:tcW w:w="6665" w:type="dxa"/>
          </w:tcPr>
          <w:p w14:paraId="6BD26B47" w14:textId="77777777" w:rsidR="00A57A2D" w:rsidRPr="00B21FAC" w:rsidRDefault="00A57A2D" w:rsidP="00BA7E3E">
            <w:pPr>
              <w:pStyle w:val="Lijstalinea"/>
              <w:spacing w:line="259" w:lineRule="auto"/>
              <w:ind w:left="0"/>
              <w:jc w:val="both"/>
            </w:pPr>
          </w:p>
        </w:tc>
      </w:tr>
    </w:tbl>
    <w:p w14:paraId="4B66E000" w14:textId="77777777" w:rsidR="00A57A2D" w:rsidRPr="00B21FAC" w:rsidRDefault="00A57A2D" w:rsidP="00BA7E3E">
      <w:pPr>
        <w:pStyle w:val="Lijstalinea"/>
        <w:spacing w:after="0"/>
        <w:jc w:val="both"/>
      </w:pPr>
    </w:p>
    <w:p w14:paraId="44AC45C1" w14:textId="5A0EE878" w:rsidR="00A57A2D" w:rsidRPr="00B21FAC" w:rsidRDefault="00A57A2D" w:rsidP="00BA7E3E">
      <w:pPr>
        <w:pStyle w:val="Lijstalinea"/>
        <w:spacing w:after="0"/>
        <w:jc w:val="both"/>
      </w:pPr>
      <w:r w:rsidRPr="00B21FAC">
        <w:t>Er kan opgemerkt worden dat Frankrijk een 0%-tarief kent tot een inkomen van 10.</w:t>
      </w:r>
      <w:r w:rsidR="00B5418E">
        <w:t>225</w:t>
      </w:r>
      <w:r w:rsidR="00B5418E" w:rsidRPr="00B21FAC">
        <w:t xml:space="preserve"> </w:t>
      </w:r>
      <w:r w:rsidRPr="00B21FAC">
        <w:t>EUR. Met het oog op de vergelijkbaarheid wordt hiervan abstractie gemaakt. Conceptueel sluit dit aan op de belastingvermindering voor de belastingvrije som.</w:t>
      </w:r>
    </w:p>
    <w:p w14:paraId="1FFCE138" w14:textId="77777777" w:rsidR="00A57A2D" w:rsidRPr="00B21FAC" w:rsidRDefault="00A57A2D" w:rsidP="00BA7E3E">
      <w:pPr>
        <w:pStyle w:val="Lijstalinea"/>
        <w:spacing w:after="0"/>
        <w:jc w:val="both"/>
      </w:pPr>
    </w:p>
    <w:p w14:paraId="4358EE98" w14:textId="39C0F3B7" w:rsidR="00A57A2D" w:rsidRPr="00B21FAC" w:rsidRDefault="00A57A2D" w:rsidP="00BA7E3E">
      <w:pPr>
        <w:pStyle w:val="Lijstalinea"/>
        <w:spacing w:after="0"/>
        <w:jc w:val="both"/>
      </w:pPr>
      <w:r w:rsidRPr="00B21FAC">
        <w:t xml:space="preserve">Anders dan in Nederland, weerspiegelen deze tarieven niet de sociale bijdragen. Frankrijk kent een complex stelsel. Werknemers betalen </w:t>
      </w:r>
      <w:r w:rsidR="00B8158E">
        <w:t xml:space="preserve">een bijdrage van ongeveer 22% van het brutoloon. Hieronder vallen </w:t>
      </w:r>
      <w:r w:rsidRPr="00B21FAC">
        <w:t>inzonderheid:</w:t>
      </w:r>
    </w:p>
    <w:p w14:paraId="45C62179" w14:textId="77777777" w:rsidR="00A57A2D" w:rsidRPr="00B21FAC" w:rsidRDefault="00A57A2D" w:rsidP="00BA7E3E">
      <w:pPr>
        <w:pStyle w:val="Lijstalinea"/>
        <w:numPr>
          <w:ilvl w:val="1"/>
          <w:numId w:val="15"/>
        </w:numPr>
        <w:spacing w:after="0"/>
        <w:jc w:val="both"/>
      </w:pPr>
      <w:r w:rsidRPr="00B21FAC">
        <w:t>een gedeeltelijk fiscaal aftrekbare algemene sociale bijdrage (contribution sociale généralisée) van 9,2% berekend op 98,25% van het brutoloon (tot een drempel van 162.096 EUR per jaar) en op 100% boven deze drempel;</w:t>
      </w:r>
    </w:p>
    <w:p w14:paraId="5CFEFA25" w14:textId="77777777" w:rsidR="00A57A2D" w:rsidRPr="00B21FAC" w:rsidRDefault="00A57A2D" w:rsidP="00BA7E3E">
      <w:pPr>
        <w:pStyle w:val="Lijstalinea"/>
        <w:numPr>
          <w:ilvl w:val="1"/>
          <w:numId w:val="15"/>
        </w:numPr>
        <w:spacing w:after="0"/>
        <w:jc w:val="both"/>
      </w:pPr>
      <w:r w:rsidRPr="00B21FAC">
        <w:t>een fiscaal niet-aftrekbare bijdrage tot terugbetaling van de sociale schuld (contribution au remboursement de la dette sociale) van 0,5% op dezelfde berekeningsbasis;</w:t>
      </w:r>
    </w:p>
    <w:p w14:paraId="3CCF3974" w14:textId="7EB6E64F" w:rsidR="00A57A2D" w:rsidRDefault="00A57A2D" w:rsidP="00BA7E3E">
      <w:pPr>
        <w:pStyle w:val="Lijstalinea"/>
        <w:numPr>
          <w:ilvl w:val="1"/>
          <w:numId w:val="15"/>
        </w:numPr>
        <w:spacing w:after="0"/>
        <w:jc w:val="both"/>
      </w:pPr>
      <w:r w:rsidRPr="00B21FAC">
        <w:t>sociale bijdragen (cotisations sociales) die fluctueren in functie van de inkomstenschaal.</w:t>
      </w:r>
    </w:p>
    <w:p w14:paraId="49AE6367" w14:textId="250E70B0" w:rsidR="00B8158E" w:rsidRPr="00B63125" w:rsidRDefault="00B8158E" w:rsidP="00BA7E3E">
      <w:pPr>
        <w:spacing w:after="0"/>
        <w:ind w:left="709"/>
        <w:jc w:val="both"/>
      </w:pPr>
      <w:r>
        <w:t>Daarnaast zijn ook de werkgevers een bijdrage verschuldigd</w:t>
      </w:r>
      <w:r w:rsidR="00B63125">
        <w:t xml:space="preserve"> (zie </w:t>
      </w:r>
      <w:r w:rsidR="009947CA">
        <w:t>voor een algemeen overzicht</w:t>
      </w:r>
      <w:r w:rsidR="00B63125">
        <w:t xml:space="preserve"> </w:t>
      </w:r>
      <w:hyperlink r:id="rId19" w:history="1">
        <w:r w:rsidR="00B63125" w:rsidRPr="00B63125">
          <w:rPr>
            <w:rStyle w:val="Hyperlink"/>
          </w:rPr>
          <w:t>Tableau des cotisations sociales sur salaire en 2021 (inspection-du-travail.com)</w:t>
        </w:r>
      </w:hyperlink>
      <w:r w:rsidR="00B63125">
        <w:t>.</w:t>
      </w:r>
    </w:p>
    <w:p w14:paraId="74DBF313" w14:textId="77777777" w:rsidR="00A57A2D" w:rsidRPr="00B63125" w:rsidRDefault="00A57A2D" w:rsidP="00BA7E3E">
      <w:pPr>
        <w:spacing w:after="0"/>
        <w:jc w:val="both"/>
      </w:pPr>
    </w:p>
    <w:p w14:paraId="35091B3C" w14:textId="77777777" w:rsidR="00A57A2D" w:rsidRPr="00B21FAC" w:rsidRDefault="00A57A2D" w:rsidP="00BA7E3E">
      <w:pPr>
        <w:pStyle w:val="Lijstalinea"/>
        <w:spacing w:after="0"/>
        <w:jc w:val="both"/>
        <w:rPr>
          <w:u w:val="single"/>
        </w:rPr>
      </w:pPr>
      <w:r w:rsidRPr="00B21FAC">
        <w:rPr>
          <w:u w:val="single"/>
        </w:rPr>
        <w:t>Luxemburg</w:t>
      </w:r>
    </w:p>
    <w:p w14:paraId="3966A60A" w14:textId="77777777" w:rsidR="00A57A2D" w:rsidRPr="00B21FAC" w:rsidRDefault="00A57A2D" w:rsidP="00BA7E3E">
      <w:pPr>
        <w:pStyle w:val="Lijstalinea"/>
        <w:spacing w:after="0"/>
        <w:jc w:val="both"/>
      </w:pPr>
    </w:p>
    <w:tbl>
      <w:tblPr>
        <w:tblStyle w:val="Tabelraster"/>
        <w:tblW w:w="0" w:type="auto"/>
        <w:tblInd w:w="720" w:type="dxa"/>
        <w:tblLook w:val="04A0" w:firstRow="1" w:lastRow="0" w:firstColumn="1" w:lastColumn="0" w:noHBand="0" w:noVBand="1"/>
      </w:tblPr>
      <w:tblGrid>
        <w:gridCol w:w="3877"/>
        <w:gridCol w:w="4324"/>
      </w:tblGrid>
      <w:tr w:rsidR="00A57A2D" w:rsidRPr="00B21FAC" w14:paraId="0954532A" w14:textId="77777777" w:rsidTr="00FB3500">
        <w:tc>
          <w:tcPr>
            <w:tcW w:w="6997" w:type="dxa"/>
          </w:tcPr>
          <w:p w14:paraId="31FC8DEC" w14:textId="77777777" w:rsidR="00A57A2D" w:rsidRPr="00B21FAC" w:rsidRDefault="00A57A2D" w:rsidP="00BA7E3E">
            <w:pPr>
              <w:pStyle w:val="Lijstalinea"/>
              <w:spacing w:line="259" w:lineRule="auto"/>
              <w:ind w:left="0"/>
              <w:jc w:val="both"/>
            </w:pPr>
            <w:r w:rsidRPr="00B21FAC">
              <w:t>Tarief</w:t>
            </w:r>
          </w:p>
        </w:tc>
        <w:tc>
          <w:tcPr>
            <w:tcW w:w="6997" w:type="dxa"/>
          </w:tcPr>
          <w:p w14:paraId="40DD6ABB" w14:textId="77777777" w:rsidR="00A57A2D" w:rsidRPr="00B21FAC" w:rsidRDefault="00A57A2D" w:rsidP="00BA7E3E">
            <w:pPr>
              <w:pStyle w:val="Lijstalinea"/>
              <w:spacing w:line="259" w:lineRule="auto"/>
              <w:ind w:left="0"/>
              <w:jc w:val="both"/>
            </w:pPr>
            <w:r w:rsidRPr="00B21FAC">
              <w:t>Inkomstenschijf (tot)</w:t>
            </w:r>
          </w:p>
        </w:tc>
      </w:tr>
      <w:tr w:rsidR="00A57A2D" w:rsidRPr="00B21FAC" w14:paraId="4C46BCEE" w14:textId="77777777" w:rsidTr="00FB3500">
        <w:tc>
          <w:tcPr>
            <w:tcW w:w="6997" w:type="dxa"/>
          </w:tcPr>
          <w:p w14:paraId="030733D3" w14:textId="77777777" w:rsidR="00A57A2D" w:rsidRPr="00B21FAC" w:rsidRDefault="00A57A2D" w:rsidP="00BA7E3E">
            <w:pPr>
              <w:pStyle w:val="Lijstalinea"/>
              <w:spacing w:line="259" w:lineRule="auto"/>
              <w:ind w:left="0"/>
              <w:jc w:val="both"/>
            </w:pPr>
            <w:r w:rsidRPr="00B21FAC">
              <w:t>8</w:t>
            </w:r>
          </w:p>
        </w:tc>
        <w:tc>
          <w:tcPr>
            <w:tcW w:w="6997" w:type="dxa"/>
          </w:tcPr>
          <w:p w14:paraId="465BD6A8" w14:textId="77777777" w:rsidR="00A57A2D" w:rsidRPr="00B21FAC" w:rsidRDefault="00A57A2D" w:rsidP="00BA7E3E">
            <w:pPr>
              <w:pStyle w:val="Lijstalinea"/>
              <w:spacing w:line="259" w:lineRule="auto"/>
              <w:ind w:left="0"/>
              <w:jc w:val="both"/>
            </w:pPr>
            <w:r w:rsidRPr="00B21FAC">
              <w:t>13.137</w:t>
            </w:r>
          </w:p>
        </w:tc>
      </w:tr>
      <w:tr w:rsidR="00A57A2D" w:rsidRPr="00B21FAC" w14:paraId="360212E6" w14:textId="77777777" w:rsidTr="00FB3500">
        <w:tc>
          <w:tcPr>
            <w:tcW w:w="6997" w:type="dxa"/>
          </w:tcPr>
          <w:p w14:paraId="50CAD565" w14:textId="77777777" w:rsidR="00A57A2D" w:rsidRPr="00B21FAC" w:rsidRDefault="00A57A2D" w:rsidP="00BA7E3E">
            <w:pPr>
              <w:pStyle w:val="Lijstalinea"/>
              <w:spacing w:line="259" w:lineRule="auto"/>
              <w:ind w:left="0"/>
              <w:jc w:val="both"/>
            </w:pPr>
            <w:r w:rsidRPr="00B21FAC">
              <w:t>9</w:t>
            </w:r>
          </w:p>
        </w:tc>
        <w:tc>
          <w:tcPr>
            <w:tcW w:w="6997" w:type="dxa"/>
          </w:tcPr>
          <w:p w14:paraId="106962DB" w14:textId="77777777" w:rsidR="00A57A2D" w:rsidRPr="00B21FAC" w:rsidRDefault="00A57A2D" w:rsidP="00BA7E3E">
            <w:pPr>
              <w:pStyle w:val="Lijstalinea"/>
              <w:spacing w:line="259" w:lineRule="auto"/>
              <w:ind w:left="0"/>
              <w:jc w:val="both"/>
            </w:pPr>
            <w:r w:rsidRPr="00B21FAC">
              <w:t>15.009</w:t>
            </w:r>
          </w:p>
        </w:tc>
      </w:tr>
      <w:tr w:rsidR="00A57A2D" w:rsidRPr="00B21FAC" w14:paraId="76971DED" w14:textId="77777777" w:rsidTr="00FB3500">
        <w:tc>
          <w:tcPr>
            <w:tcW w:w="6997" w:type="dxa"/>
          </w:tcPr>
          <w:p w14:paraId="089BC2E5" w14:textId="77777777" w:rsidR="00A57A2D" w:rsidRPr="00B21FAC" w:rsidRDefault="00A57A2D" w:rsidP="00BA7E3E">
            <w:pPr>
              <w:pStyle w:val="Lijstalinea"/>
              <w:spacing w:line="259" w:lineRule="auto"/>
              <w:ind w:left="0"/>
              <w:jc w:val="both"/>
            </w:pPr>
            <w:r w:rsidRPr="00B21FAC">
              <w:t>10</w:t>
            </w:r>
          </w:p>
        </w:tc>
        <w:tc>
          <w:tcPr>
            <w:tcW w:w="6997" w:type="dxa"/>
          </w:tcPr>
          <w:p w14:paraId="5A908DA7" w14:textId="77777777" w:rsidR="00A57A2D" w:rsidRPr="00B21FAC" w:rsidRDefault="00A57A2D" w:rsidP="00BA7E3E">
            <w:pPr>
              <w:pStyle w:val="Lijstalinea"/>
              <w:spacing w:line="259" w:lineRule="auto"/>
              <w:ind w:left="0"/>
              <w:jc w:val="both"/>
            </w:pPr>
            <w:r w:rsidRPr="00B21FAC">
              <w:t>16.881</w:t>
            </w:r>
          </w:p>
        </w:tc>
      </w:tr>
      <w:tr w:rsidR="00A57A2D" w:rsidRPr="00B21FAC" w14:paraId="13CDA6FA" w14:textId="77777777" w:rsidTr="00FB3500">
        <w:tc>
          <w:tcPr>
            <w:tcW w:w="6997" w:type="dxa"/>
          </w:tcPr>
          <w:p w14:paraId="1E63FA45" w14:textId="77777777" w:rsidR="00A57A2D" w:rsidRPr="00B21FAC" w:rsidRDefault="00A57A2D" w:rsidP="00BA7E3E">
            <w:pPr>
              <w:pStyle w:val="Lijstalinea"/>
              <w:spacing w:line="259" w:lineRule="auto"/>
              <w:ind w:left="0"/>
              <w:jc w:val="both"/>
            </w:pPr>
            <w:r w:rsidRPr="00B21FAC">
              <w:t>11</w:t>
            </w:r>
          </w:p>
        </w:tc>
        <w:tc>
          <w:tcPr>
            <w:tcW w:w="6997" w:type="dxa"/>
          </w:tcPr>
          <w:p w14:paraId="7C84F591" w14:textId="77777777" w:rsidR="00A57A2D" w:rsidRPr="00B21FAC" w:rsidRDefault="00A57A2D" w:rsidP="00BA7E3E">
            <w:pPr>
              <w:pStyle w:val="Lijstalinea"/>
              <w:spacing w:line="259" w:lineRule="auto"/>
              <w:ind w:left="0"/>
              <w:jc w:val="both"/>
            </w:pPr>
            <w:r w:rsidRPr="00B21FAC">
              <w:t>18.753</w:t>
            </w:r>
          </w:p>
        </w:tc>
      </w:tr>
      <w:tr w:rsidR="00A57A2D" w:rsidRPr="00B21FAC" w14:paraId="4241466C" w14:textId="77777777" w:rsidTr="00FB3500">
        <w:tc>
          <w:tcPr>
            <w:tcW w:w="6997" w:type="dxa"/>
          </w:tcPr>
          <w:p w14:paraId="538B7C7E" w14:textId="77777777" w:rsidR="00A57A2D" w:rsidRPr="00B21FAC" w:rsidRDefault="00A57A2D" w:rsidP="00BA7E3E">
            <w:pPr>
              <w:pStyle w:val="Lijstalinea"/>
              <w:spacing w:line="259" w:lineRule="auto"/>
              <w:ind w:left="0"/>
              <w:jc w:val="both"/>
            </w:pPr>
            <w:r w:rsidRPr="00B21FAC">
              <w:t>12</w:t>
            </w:r>
          </w:p>
        </w:tc>
        <w:tc>
          <w:tcPr>
            <w:tcW w:w="6997" w:type="dxa"/>
          </w:tcPr>
          <w:p w14:paraId="2933C60A" w14:textId="77777777" w:rsidR="00A57A2D" w:rsidRPr="00B21FAC" w:rsidRDefault="00A57A2D" w:rsidP="00BA7E3E">
            <w:pPr>
              <w:pStyle w:val="Lijstalinea"/>
              <w:spacing w:line="259" w:lineRule="auto"/>
              <w:ind w:left="0"/>
              <w:jc w:val="both"/>
            </w:pPr>
            <w:r w:rsidRPr="00B21FAC">
              <w:t>20.625</w:t>
            </w:r>
          </w:p>
        </w:tc>
      </w:tr>
      <w:tr w:rsidR="00A57A2D" w:rsidRPr="00B21FAC" w14:paraId="07D8C621" w14:textId="77777777" w:rsidTr="00FB3500">
        <w:tc>
          <w:tcPr>
            <w:tcW w:w="6997" w:type="dxa"/>
          </w:tcPr>
          <w:p w14:paraId="5D378070" w14:textId="77777777" w:rsidR="00A57A2D" w:rsidRPr="00B21FAC" w:rsidRDefault="00A57A2D" w:rsidP="00BA7E3E">
            <w:pPr>
              <w:pStyle w:val="Lijstalinea"/>
              <w:spacing w:line="259" w:lineRule="auto"/>
              <w:ind w:left="0"/>
              <w:jc w:val="both"/>
            </w:pPr>
            <w:r w:rsidRPr="00B21FAC">
              <w:t>14</w:t>
            </w:r>
          </w:p>
        </w:tc>
        <w:tc>
          <w:tcPr>
            <w:tcW w:w="6997" w:type="dxa"/>
          </w:tcPr>
          <w:p w14:paraId="35473569" w14:textId="77777777" w:rsidR="00A57A2D" w:rsidRPr="00B21FAC" w:rsidRDefault="00A57A2D" w:rsidP="00BA7E3E">
            <w:pPr>
              <w:pStyle w:val="Lijstalinea"/>
              <w:spacing w:line="259" w:lineRule="auto"/>
              <w:ind w:left="0"/>
              <w:jc w:val="both"/>
            </w:pPr>
            <w:r w:rsidRPr="00B21FAC">
              <w:t>22.569</w:t>
            </w:r>
          </w:p>
        </w:tc>
      </w:tr>
      <w:tr w:rsidR="00A57A2D" w:rsidRPr="00B21FAC" w14:paraId="00FFD0E7" w14:textId="77777777" w:rsidTr="00FB3500">
        <w:tc>
          <w:tcPr>
            <w:tcW w:w="6997" w:type="dxa"/>
          </w:tcPr>
          <w:p w14:paraId="22359052" w14:textId="77777777" w:rsidR="00A57A2D" w:rsidRPr="00B21FAC" w:rsidRDefault="00A57A2D" w:rsidP="00BA7E3E">
            <w:pPr>
              <w:pStyle w:val="Lijstalinea"/>
              <w:spacing w:line="259" w:lineRule="auto"/>
              <w:ind w:left="0"/>
              <w:jc w:val="both"/>
            </w:pPr>
            <w:r w:rsidRPr="00B21FAC">
              <w:t>16</w:t>
            </w:r>
          </w:p>
        </w:tc>
        <w:tc>
          <w:tcPr>
            <w:tcW w:w="6997" w:type="dxa"/>
          </w:tcPr>
          <w:p w14:paraId="7BEE5355" w14:textId="77777777" w:rsidR="00A57A2D" w:rsidRPr="00B21FAC" w:rsidRDefault="00A57A2D" w:rsidP="00BA7E3E">
            <w:pPr>
              <w:pStyle w:val="Lijstalinea"/>
              <w:spacing w:line="259" w:lineRule="auto"/>
              <w:ind w:left="0"/>
              <w:jc w:val="both"/>
            </w:pPr>
            <w:r w:rsidRPr="00B21FAC">
              <w:t>24.513</w:t>
            </w:r>
          </w:p>
        </w:tc>
      </w:tr>
      <w:tr w:rsidR="00A57A2D" w:rsidRPr="00B21FAC" w14:paraId="60A25988" w14:textId="77777777" w:rsidTr="00FB3500">
        <w:tc>
          <w:tcPr>
            <w:tcW w:w="6997" w:type="dxa"/>
          </w:tcPr>
          <w:p w14:paraId="70FDEC7B" w14:textId="77777777" w:rsidR="00A57A2D" w:rsidRPr="00B21FAC" w:rsidRDefault="00A57A2D" w:rsidP="00BA7E3E">
            <w:pPr>
              <w:pStyle w:val="Lijstalinea"/>
              <w:spacing w:line="259" w:lineRule="auto"/>
              <w:ind w:left="0"/>
              <w:jc w:val="both"/>
            </w:pPr>
            <w:r w:rsidRPr="00B21FAC">
              <w:t>18</w:t>
            </w:r>
          </w:p>
        </w:tc>
        <w:tc>
          <w:tcPr>
            <w:tcW w:w="6997" w:type="dxa"/>
          </w:tcPr>
          <w:p w14:paraId="58661E39" w14:textId="77777777" w:rsidR="00A57A2D" w:rsidRPr="00B21FAC" w:rsidRDefault="00A57A2D" w:rsidP="00BA7E3E">
            <w:pPr>
              <w:pStyle w:val="Lijstalinea"/>
              <w:spacing w:line="259" w:lineRule="auto"/>
              <w:ind w:left="0"/>
              <w:jc w:val="both"/>
            </w:pPr>
            <w:r w:rsidRPr="00B21FAC">
              <w:t>26.457</w:t>
            </w:r>
          </w:p>
        </w:tc>
      </w:tr>
      <w:tr w:rsidR="00A57A2D" w:rsidRPr="00B21FAC" w14:paraId="1898B8E4" w14:textId="77777777" w:rsidTr="00FB3500">
        <w:tc>
          <w:tcPr>
            <w:tcW w:w="6997" w:type="dxa"/>
          </w:tcPr>
          <w:p w14:paraId="4F5194AA" w14:textId="77777777" w:rsidR="00A57A2D" w:rsidRPr="00B21FAC" w:rsidRDefault="00A57A2D" w:rsidP="00BA7E3E">
            <w:pPr>
              <w:pStyle w:val="Lijstalinea"/>
              <w:spacing w:line="259" w:lineRule="auto"/>
              <w:ind w:left="0"/>
              <w:jc w:val="both"/>
            </w:pPr>
            <w:r w:rsidRPr="00B21FAC">
              <w:t>20</w:t>
            </w:r>
          </w:p>
        </w:tc>
        <w:tc>
          <w:tcPr>
            <w:tcW w:w="6997" w:type="dxa"/>
          </w:tcPr>
          <w:p w14:paraId="07C12AEF" w14:textId="77777777" w:rsidR="00A57A2D" w:rsidRPr="00B21FAC" w:rsidRDefault="00A57A2D" w:rsidP="00BA7E3E">
            <w:pPr>
              <w:pStyle w:val="Lijstalinea"/>
              <w:spacing w:line="259" w:lineRule="auto"/>
              <w:ind w:left="0"/>
              <w:jc w:val="both"/>
            </w:pPr>
            <w:r w:rsidRPr="00B21FAC">
              <w:t>28.401</w:t>
            </w:r>
          </w:p>
        </w:tc>
      </w:tr>
      <w:tr w:rsidR="00A57A2D" w:rsidRPr="00B21FAC" w14:paraId="6B302ECE" w14:textId="77777777" w:rsidTr="00FB3500">
        <w:tc>
          <w:tcPr>
            <w:tcW w:w="6997" w:type="dxa"/>
          </w:tcPr>
          <w:p w14:paraId="35F9C0CB" w14:textId="77777777" w:rsidR="00A57A2D" w:rsidRPr="00B21FAC" w:rsidRDefault="00A57A2D" w:rsidP="00BA7E3E">
            <w:pPr>
              <w:pStyle w:val="Lijstalinea"/>
              <w:spacing w:line="259" w:lineRule="auto"/>
              <w:ind w:left="0"/>
              <w:jc w:val="both"/>
            </w:pPr>
            <w:r w:rsidRPr="00B21FAC">
              <w:t>22</w:t>
            </w:r>
          </w:p>
        </w:tc>
        <w:tc>
          <w:tcPr>
            <w:tcW w:w="6997" w:type="dxa"/>
          </w:tcPr>
          <w:p w14:paraId="49660DE7" w14:textId="77777777" w:rsidR="00A57A2D" w:rsidRPr="00B21FAC" w:rsidRDefault="00A57A2D" w:rsidP="00BA7E3E">
            <w:pPr>
              <w:pStyle w:val="Lijstalinea"/>
              <w:spacing w:line="259" w:lineRule="auto"/>
              <w:ind w:left="0"/>
              <w:jc w:val="both"/>
            </w:pPr>
            <w:r w:rsidRPr="00B21FAC">
              <w:t>30.345</w:t>
            </w:r>
          </w:p>
        </w:tc>
      </w:tr>
      <w:tr w:rsidR="00A57A2D" w:rsidRPr="00B21FAC" w14:paraId="065B9A1F" w14:textId="77777777" w:rsidTr="00FB3500">
        <w:tc>
          <w:tcPr>
            <w:tcW w:w="6997" w:type="dxa"/>
          </w:tcPr>
          <w:p w14:paraId="32809783" w14:textId="77777777" w:rsidR="00A57A2D" w:rsidRPr="00B21FAC" w:rsidRDefault="00A57A2D" w:rsidP="00BA7E3E">
            <w:pPr>
              <w:pStyle w:val="Lijstalinea"/>
              <w:spacing w:line="259" w:lineRule="auto"/>
              <w:ind w:left="0"/>
              <w:jc w:val="both"/>
            </w:pPr>
            <w:r w:rsidRPr="00B21FAC">
              <w:t>24</w:t>
            </w:r>
          </w:p>
        </w:tc>
        <w:tc>
          <w:tcPr>
            <w:tcW w:w="6997" w:type="dxa"/>
          </w:tcPr>
          <w:p w14:paraId="0A414E0A" w14:textId="77777777" w:rsidR="00A57A2D" w:rsidRPr="00B21FAC" w:rsidRDefault="00A57A2D" w:rsidP="00BA7E3E">
            <w:pPr>
              <w:pStyle w:val="Lijstalinea"/>
              <w:spacing w:line="259" w:lineRule="auto"/>
              <w:ind w:left="0"/>
              <w:jc w:val="both"/>
            </w:pPr>
            <w:r w:rsidRPr="00B21FAC">
              <w:t>32.289</w:t>
            </w:r>
          </w:p>
        </w:tc>
      </w:tr>
      <w:tr w:rsidR="00A57A2D" w:rsidRPr="00B21FAC" w14:paraId="37D3E72E" w14:textId="77777777" w:rsidTr="00FB3500">
        <w:tc>
          <w:tcPr>
            <w:tcW w:w="6997" w:type="dxa"/>
          </w:tcPr>
          <w:p w14:paraId="03344B7E" w14:textId="77777777" w:rsidR="00A57A2D" w:rsidRPr="00B21FAC" w:rsidRDefault="00A57A2D" w:rsidP="00BA7E3E">
            <w:pPr>
              <w:pStyle w:val="Lijstalinea"/>
              <w:spacing w:line="259" w:lineRule="auto"/>
              <w:ind w:left="0"/>
              <w:jc w:val="both"/>
            </w:pPr>
            <w:r w:rsidRPr="00B21FAC">
              <w:t>26</w:t>
            </w:r>
          </w:p>
        </w:tc>
        <w:tc>
          <w:tcPr>
            <w:tcW w:w="6997" w:type="dxa"/>
          </w:tcPr>
          <w:p w14:paraId="0840C50B" w14:textId="77777777" w:rsidR="00A57A2D" w:rsidRPr="00B21FAC" w:rsidRDefault="00A57A2D" w:rsidP="00BA7E3E">
            <w:pPr>
              <w:pStyle w:val="Lijstalinea"/>
              <w:spacing w:line="259" w:lineRule="auto"/>
              <w:ind w:left="0"/>
              <w:jc w:val="both"/>
            </w:pPr>
            <w:r w:rsidRPr="00B21FAC">
              <w:t>34.233</w:t>
            </w:r>
          </w:p>
        </w:tc>
      </w:tr>
      <w:tr w:rsidR="00A57A2D" w:rsidRPr="00B21FAC" w14:paraId="09C3AA4B" w14:textId="77777777" w:rsidTr="00FB3500">
        <w:tc>
          <w:tcPr>
            <w:tcW w:w="6997" w:type="dxa"/>
          </w:tcPr>
          <w:p w14:paraId="57589250" w14:textId="77777777" w:rsidR="00A57A2D" w:rsidRPr="00B21FAC" w:rsidRDefault="00A57A2D" w:rsidP="00BA7E3E">
            <w:pPr>
              <w:pStyle w:val="Lijstalinea"/>
              <w:spacing w:line="259" w:lineRule="auto"/>
              <w:ind w:left="0"/>
              <w:jc w:val="both"/>
            </w:pPr>
            <w:r w:rsidRPr="00B21FAC">
              <w:t>28</w:t>
            </w:r>
          </w:p>
        </w:tc>
        <w:tc>
          <w:tcPr>
            <w:tcW w:w="6997" w:type="dxa"/>
          </w:tcPr>
          <w:p w14:paraId="7BF1E3F8" w14:textId="77777777" w:rsidR="00A57A2D" w:rsidRPr="00B21FAC" w:rsidRDefault="00A57A2D" w:rsidP="00BA7E3E">
            <w:pPr>
              <w:pStyle w:val="Lijstalinea"/>
              <w:spacing w:line="259" w:lineRule="auto"/>
              <w:ind w:left="0"/>
              <w:jc w:val="both"/>
            </w:pPr>
            <w:r w:rsidRPr="00B21FAC">
              <w:t>36.177</w:t>
            </w:r>
          </w:p>
        </w:tc>
      </w:tr>
      <w:tr w:rsidR="00A57A2D" w:rsidRPr="00B21FAC" w14:paraId="58B2C44E" w14:textId="77777777" w:rsidTr="00FB3500">
        <w:tc>
          <w:tcPr>
            <w:tcW w:w="6997" w:type="dxa"/>
          </w:tcPr>
          <w:p w14:paraId="3268A2D7" w14:textId="77777777" w:rsidR="00A57A2D" w:rsidRPr="00B21FAC" w:rsidRDefault="00A57A2D" w:rsidP="00BA7E3E">
            <w:pPr>
              <w:pStyle w:val="Lijstalinea"/>
              <w:spacing w:line="259" w:lineRule="auto"/>
              <w:ind w:left="0"/>
              <w:jc w:val="both"/>
            </w:pPr>
            <w:r w:rsidRPr="00B21FAC">
              <w:t>30</w:t>
            </w:r>
          </w:p>
        </w:tc>
        <w:tc>
          <w:tcPr>
            <w:tcW w:w="6997" w:type="dxa"/>
          </w:tcPr>
          <w:p w14:paraId="733BD04B" w14:textId="77777777" w:rsidR="00A57A2D" w:rsidRPr="00B21FAC" w:rsidRDefault="00A57A2D" w:rsidP="00BA7E3E">
            <w:pPr>
              <w:pStyle w:val="Lijstalinea"/>
              <w:spacing w:line="259" w:lineRule="auto"/>
              <w:ind w:left="0"/>
              <w:jc w:val="both"/>
            </w:pPr>
            <w:r w:rsidRPr="00B21FAC">
              <w:t>38.121</w:t>
            </w:r>
          </w:p>
        </w:tc>
      </w:tr>
      <w:tr w:rsidR="00A57A2D" w:rsidRPr="00B21FAC" w14:paraId="57DE4800" w14:textId="77777777" w:rsidTr="00FB3500">
        <w:tc>
          <w:tcPr>
            <w:tcW w:w="6997" w:type="dxa"/>
          </w:tcPr>
          <w:p w14:paraId="5D21D64D" w14:textId="77777777" w:rsidR="00A57A2D" w:rsidRPr="00B21FAC" w:rsidRDefault="00A57A2D" w:rsidP="00BA7E3E">
            <w:pPr>
              <w:pStyle w:val="Lijstalinea"/>
              <w:spacing w:line="259" w:lineRule="auto"/>
              <w:ind w:left="0"/>
              <w:jc w:val="both"/>
            </w:pPr>
            <w:r w:rsidRPr="00B21FAC">
              <w:t>32</w:t>
            </w:r>
          </w:p>
        </w:tc>
        <w:tc>
          <w:tcPr>
            <w:tcW w:w="6997" w:type="dxa"/>
          </w:tcPr>
          <w:p w14:paraId="76272C60" w14:textId="77777777" w:rsidR="00A57A2D" w:rsidRPr="00B21FAC" w:rsidRDefault="00A57A2D" w:rsidP="00BA7E3E">
            <w:pPr>
              <w:pStyle w:val="Lijstalinea"/>
              <w:spacing w:line="259" w:lineRule="auto"/>
              <w:ind w:left="0"/>
              <w:jc w:val="both"/>
            </w:pPr>
            <w:r w:rsidRPr="00B21FAC">
              <w:t>40.065</w:t>
            </w:r>
          </w:p>
        </w:tc>
      </w:tr>
      <w:tr w:rsidR="00A57A2D" w:rsidRPr="00B21FAC" w14:paraId="0BBEA26F" w14:textId="77777777" w:rsidTr="00FB3500">
        <w:tc>
          <w:tcPr>
            <w:tcW w:w="6997" w:type="dxa"/>
          </w:tcPr>
          <w:p w14:paraId="057CFBD9" w14:textId="77777777" w:rsidR="00A57A2D" w:rsidRPr="00B21FAC" w:rsidRDefault="00A57A2D" w:rsidP="00BA7E3E">
            <w:pPr>
              <w:pStyle w:val="Lijstalinea"/>
              <w:spacing w:line="259" w:lineRule="auto"/>
              <w:ind w:left="0"/>
              <w:jc w:val="both"/>
            </w:pPr>
            <w:r w:rsidRPr="00B21FAC">
              <w:t>34</w:t>
            </w:r>
          </w:p>
        </w:tc>
        <w:tc>
          <w:tcPr>
            <w:tcW w:w="6997" w:type="dxa"/>
          </w:tcPr>
          <w:p w14:paraId="26D67120" w14:textId="77777777" w:rsidR="00A57A2D" w:rsidRPr="00B21FAC" w:rsidRDefault="00A57A2D" w:rsidP="00BA7E3E">
            <w:pPr>
              <w:pStyle w:val="Lijstalinea"/>
              <w:spacing w:line="259" w:lineRule="auto"/>
              <w:ind w:left="0"/>
              <w:jc w:val="both"/>
            </w:pPr>
            <w:r w:rsidRPr="00B21FAC">
              <w:t>42.009</w:t>
            </w:r>
          </w:p>
        </w:tc>
      </w:tr>
      <w:tr w:rsidR="00A57A2D" w:rsidRPr="00B21FAC" w14:paraId="769DA488" w14:textId="77777777" w:rsidTr="00FB3500">
        <w:tc>
          <w:tcPr>
            <w:tcW w:w="6997" w:type="dxa"/>
          </w:tcPr>
          <w:p w14:paraId="2B6A2C94" w14:textId="77777777" w:rsidR="00A57A2D" w:rsidRPr="00B21FAC" w:rsidRDefault="00A57A2D" w:rsidP="00BA7E3E">
            <w:pPr>
              <w:pStyle w:val="Lijstalinea"/>
              <w:spacing w:line="259" w:lineRule="auto"/>
              <w:ind w:left="0"/>
              <w:jc w:val="both"/>
            </w:pPr>
            <w:r w:rsidRPr="00B21FAC">
              <w:t>36</w:t>
            </w:r>
          </w:p>
        </w:tc>
        <w:tc>
          <w:tcPr>
            <w:tcW w:w="6997" w:type="dxa"/>
          </w:tcPr>
          <w:p w14:paraId="233D02B5" w14:textId="77777777" w:rsidR="00A57A2D" w:rsidRPr="00B21FAC" w:rsidRDefault="00A57A2D" w:rsidP="00BA7E3E">
            <w:pPr>
              <w:pStyle w:val="Lijstalinea"/>
              <w:spacing w:line="259" w:lineRule="auto"/>
              <w:ind w:left="0"/>
              <w:jc w:val="both"/>
            </w:pPr>
            <w:r w:rsidRPr="00B21FAC">
              <w:t>43.953</w:t>
            </w:r>
          </w:p>
        </w:tc>
      </w:tr>
      <w:tr w:rsidR="00A57A2D" w:rsidRPr="00B21FAC" w14:paraId="6AF064AE" w14:textId="77777777" w:rsidTr="00FB3500">
        <w:tc>
          <w:tcPr>
            <w:tcW w:w="6997" w:type="dxa"/>
          </w:tcPr>
          <w:p w14:paraId="18BDD9E3" w14:textId="77777777" w:rsidR="00A57A2D" w:rsidRPr="00B21FAC" w:rsidRDefault="00A57A2D" w:rsidP="00BA7E3E">
            <w:pPr>
              <w:pStyle w:val="Lijstalinea"/>
              <w:spacing w:line="259" w:lineRule="auto"/>
              <w:ind w:left="0"/>
              <w:jc w:val="both"/>
            </w:pPr>
            <w:r w:rsidRPr="00B21FAC">
              <w:t>38</w:t>
            </w:r>
          </w:p>
        </w:tc>
        <w:tc>
          <w:tcPr>
            <w:tcW w:w="6997" w:type="dxa"/>
          </w:tcPr>
          <w:p w14:paraId="465CA345" w14:textId="77777777" w:rsidR="00A57A2D" w:rsidRPr="00B21FAC" w:rsidRDefault="00A57A2D" w:rsidP="00BA7E3E">
            <w:pPr>
              <w:pStyle w:val="Lijstalinea"/>
              <w:spacing w:line="259" w:lineRule="auto"/>
              <w:ind w:left="0"/>
              <w:jc w:val="both"/>
            </w:pPr>
            <w:r w:rsidRPr="00B21FAC">
              <w:t>45.897</w:t>
            </w:r>
          </w:p>
        </w:tc>
      </w:tr>
      <w:tr w:rsidR="00A57A2D" w:rsidRPr="00B21FAC" w14:paraId="3475EA49" w14:textId="77777777" w:rsidTr="00FB3500">
        <w:tc>
          <w:tcPr>
            <w:tcW w:w="6997" w:type="dxa"/>
          </w:tcPr>
          <w:p w14:paraId="23536684" w14:textId="77777777" w:rsidR="00A57A2D" w:rsidRPr="00B21FAC" w:rsidRDefault="00A57A2D" w:rsidP="00BA7E3E">
            <w:pPr>
              <w:pStyle w:val="Lijstalinea"/>
              <w:spacing w:line="259" w:lineRule="auto"/>
              <w:ind w:left="0"/>
              <w:jc w:val="both"/>
            </w:pPr>
            <w:r w:rsidRPr="00B21FAC">
              <w:t>39</w:t>
            </w:r>
          </w:p>
        </w:tc>
        <w:tc>
          <w:tcPr>
            <w:tcW w:w="6997" w:type="dxa"/>
          </w:tcPr>
          <w:p w14:paraId="5190A0CE" w14:textId="77777777" w:rsidR="00A57A2D" w:rsidRPr="00B21FAC" w:rsidRDefault="00A57A2D" w:rsidP="00BA7E3E">
            <w:pPr>
              <w:pStyle w:val="Lijstalinea"/>
              <w:spacing w:line="259" w:lineRule="auto"/>
              <w:ind w:left="0"/>
              <w:jc w:val="both"/>
            </w:pPr>
            <w:r w:rsidRPr="00B21FAC">
              <w:t>100.002</w:t>
            </w:r>
          </w:p>
        </w:tc>
      </w:tr>
      <w:tr w:rsidR="00A57A2D" w:rsidRPr="00B21FAC" w14:paraId="27663EA2" w14:textId="77777777" w:rsidTr="00FB3500">
        <w:tc>
          <w:tcPr>
            <w:tcW w:w="6997" w:type="dxa"/>
          </w:tcPr>
          <w:p w14:paraId="2AA9B821" w14:textId="77777777" w:rsidR="00A57A2D" w:rsidRPr="00B21FAC" w:rsidRDefault="00A57A2D" w:rsidP="00BA7E3E">
            <w:pPr>
              <w:pStyle w:val="Lijstalinea"/>
              <w:spacing w:line="259" w:lineRule="auto"/>
              <w:ind w:left="0"/>
              <w:jc w:val="both"/>
            </w:pPr>
            <w:r w:rsidRPr="00B21FAC">
              <w:t>40</w:t>
            </w:r>
          </w:p>
        </w:tc>
        <w:tc>
          <w:tcPr>
            <w:tcW w:w="6997" w:type="dxa"/>
          </w:tcPr>
          <w:p w14:paraId="4C099A03" w14:textId="77777777" w:rsidR="00A57A2D" w:rsidRPr="00B21FAC" w:rsidRDefault="00A57A2D" w:rsidP="00BA7E3E">
            <w:pPr>
              <w:pStyle w:val="Lijstalinea"/>
              <w:spacing w:line="259" w:lineRule="auto"/>
              <w:ind w:left="0"/>
              <w:jc w:val="both"/>
            </w:pPr>
            <w:r w:rsidRPr="00B21FAC">
              <w:t>150.000</w:t>
            </w:r>
          </w:p>
        </w:tc>
      </w:tr>
      <w:tr w:rsidR="00A57A2D" w:rsidRPr="00B21FAC" w14:paraId="754F256F" w14:textId="77777777" w:rsidTr="00FB3500">
        <w:tc>
          <w:tcPr>
            <w:tcW w:w="6997" w:type="dxa"/>
          </w:tcPr>
          <w:p w14:paraId="187D82A7" w14:textId="77777777" w:rsidR="00A57A2D" w:rsidRPr="00B21FAC" w:rsidRDefault="00A57A2D" w:rsidP="00BA7E3E">
            <w:pPr>
              <w:pStyle w:val="Lijstalinea"/>
              <w:spacing w:line="259" w:lineRule="auto"/>
              <w:ind w:left="0"/>
              <w:jc w:val="both"/>
            </w:pPr>
            <w:r w:rsidRPr="00B21FAC">
              <w:t>41</w:t>
            </w:r>
          </w:p>
        </w:tc>
        <w:tc>
          <w:tcPr>
            <w:tcW w:w="6997" w:type="dxa"/>
          </w:tcPr>
          <w:p w14:paraId="220A042E" w14:textId="77777777" w:rsidR="00A57A2D" w:rsidRPr="00B21FAC" w:rsidRDefault="00A57A2D" w:rsidP="00BA7E3E">
            <w:pPr>
              <w:pStyle w:val="Lijstalinea"/>
              <w:spacing w:line="259" w:lineRule="auto"/>
              <w:ind w:left="0"/>
              <w:jc w:val="both"/>
            </w:pPr>
            <w:r w:rsidRPr="00B21FAC">
              <w:t>200.004</w:t>
            </w:r>
          </w:p>
        </w:tc>
      </w:tr>
      <w:tr w:rsidR="00A57A2D" w:rsidRPr="00B21FAC" w14:paraId="05466CD2" w14:textId="77777777" w:rsidTr="00FB3500">
        <w:tc>
          <w:tcPr>
            <w:tcW w:w="6997" w:type="dxa"/>
          </w:tcPr>
          <w:p w14:paraId="785C1386" w14:textId="77777777" w:rsidR="00A57A2D" w:rsidRPr="00B21FAC" w:rsidRDefault="00A57A2D" w:rsidP="00BA7E3E">
            <w:pPr>
              <w:pStyle w:val="Lijstalinea"/>
              <w:spacing w:line="259" w:lineRule="auto"/>
              <w:ind w:left="0"/>
              <w:jc w:val="both"/>
            </w:pPr>
            <w:r w:rsidRPr="00B21FAC">
              <w:t>42</w:t>
            </w:r>
          </w:p>
        </w:tc>
        <w:tc>
          <w:tcPr>
            <w:tcW w:w="6997" w:type="dxa"/>
          </w:tcPr>
          <w:p w14:paraId="7F65F3C9" w14:textId="77777777" w:rsidR="00A57A2D" w:rsidRPr="00B21FAC" w:rsidRDefault="00A57A2D" w:rsidP="00BA7E3E">
            <w:pPr>
              <w:pStyle w:val="Lijstalinea"/>
              <w:spacing w:line="259" w:lineRule="auto"/>
              <w:ind w:left="0"/>
              <w:jc w:val="both"/>
            </w:pPr>
          </w:p>
        </w:tc>
      </w:tr>
    </w:tbl>
    <w:p w14:paraId="79C95F12" w14:textId="77777777" w:rsidR="00A57A2D" w:rsidRPr="00B21FAC" w:rsidRDefault="00A57A2D" w:rsidP="00BA7E3E">
      <w:pPr>
        <w:pStyle w:val="Lijstalinea"/>
        <w:spacing w:after="0"/>
        <w:jc w:val="both"/>
      </w:pPr>
    </w:p>
    <w:p w14:paraId="3D512AE1" w14:textId="77777777" w:rsidR="00A57A2D" w:rsidRPr="00B21FAC" w:rsidRDefault="00A57A2D" w:rsidP="00BA7E3E">
      <w:pPr>
        <w:pStyle w:val="Lijstalinea"/>
        <w:spacing w:after="0"/>
        <w:jc w:val="both"/>
      </w:pPr>
      <w:r w:rsidRPr="00B21FAC">
        <w:t>Er kan opgemerkt worden dat Luxemburg een 0%-tarief kent tot een inkomen van 11.265 EUR. Met het oog op de vergelijkbaarheid wordt hiervan abstractie gemaakt. Conceptueel sluit dit aan op de belastingvermindering voor de belastingvrije som.</w:t>
      </w:r>
    </w:p>
    <w:p w14:paraId="6DE6BE98" w14:textId="77777777" w:rsidR="00A57A2D" w:rsidRPr="00B21FAC" w:rsidRDefault="00A57A2D" w:rsidP="00BA7E3E">
      <w:pPr>
        <w:pStyle w:val="Lijstalinea"/>
        <w:spacing w:after="0"/>
        <w:jc w:val="both"/>
      </w:pPr>
    </w:p>
    <w:p w14:paraId="482ACAA6" w14:textId="5C4BDAF1" w:rsidR="00A57A2D" w:rsidRPr="00B21FAC" w:rsidRDefault="00A57A2D" w:rsidP="00BA7E3E">
      <w:pPr>
        <w:pStyle w:val="Lijstalinea"/>
        <w:spacing w:after="0"/>
        <w:jc w:val="both"/>
      </w:pPr>
      <w:r w:rsidRPr="00B21FAC">
        <w:t xml:space="preserve">Daarnaast zijn in Luxemburg ook sociale zekerheidsbijdragen verschuldigd, waarvan het tarief (globaal genomen) </w:t>
      </w:r>
      <w:r w:rsidR="00D93E41">
        <w:t xml:space="preserve">ongeveer 25% </w:t>
      </w:r>
      <w:r w:rsidR="00200E47">
        <w:t xml:space="preserve">van het loon </w:t>
      </w:r>
      <w:r w:rsidR="00D93E41">
        <w:t>bedraagt</w:t>
      </w:r>
      <w:r w:rsidR="003F7731">
        <w:t xml:space="preserve"> (zie </w:t>
      </w:r>
      <w:hyperlink r:id="rId20" w:history="1">
        <w:r w:rsidR="003F7731" w:rsidRPr="003F7731">
          <w:rPr>
            <w:rStyle w:val="Hyperlink"/>
          </w:rPr>
          <w:t xml:space="preserve">Paramètres sociaux </w:t>
        </w:r>
        <w:r w:rsidR="003F7731">
          <w:rPr>
            <w:rStyle w:val="Hyperlink"/>
          </w:rPr>
          <w:t>–</w:t>
        </w:r>
        <w:r w:rsidR="003F7731" w:rsidRPr="003F7731">
          <w:rPr>
            <w:rStyle w:val="Hyperlink"/>
          </w:rPr>
          <w:t xml:space="preserve"> CCSS (Centre commun de la sécurité sociale) </w:t>
        </w:r>
        <w:r w:rsidR="003F7731">
          <w:rPr>
            <w:rStyle w:val="Hyperlink"/>
          </w:rPr>
          <w:t>–</w:t>
        </w:r>
        <w:r w:rsidR="003F7731" w:rsidRPr="003F7731">
          <w:rPr>
            <w:rStyle w:val="Hyperlink"/>
          </w:rPr>
          <w:t xml:space="preserve"> Luxembourg (public.lu)</w:t>
        </w:r>
      </w:hyperlink>
      <w:r w:rsidR="003F7731">
        <w:t xml:space="preserve">. </w:t>
      </w:r>
      <w:r w:rsidR="00DA30A1">
        <w:t xml:space="preserve">De totale bijdrage wordt voor ongeveer de helft ingehouden op het </w:t>
      </w:r>
      <w:r w:rsidR="00EE24C7">
        <w:t xml:space="preserve">loon van de werknemer (en zijn in diens hoofde fiscaal aftrekbaar). De andere helft wordt </w:t>
      </w:r>
      <w:r w:rsidR="0069738F">
        <w:t xml:space="preserve">geheven onder de vorm van een werkgeversbijdrage. </w:t>
      </w:r>
      <w:r w:rsidR="00CC763C">
        <w:t xml:space="preserve">Een groot deel van die bijdragen wordt </w:t>
      </w:r>
      <w:r w:rsidRPr="00B21FAC">
        <w:t>berekend op een geplafonneerd maandinkomen van 11.</w:t>
      </w:r>
      <w:r w:rsidR="00B729BF">
        <w:t>284,77</w:t>
      </w:r>
      <w:r w:rsidRPr="00B21FAC">
        <w:t xml:space="preserve"> EUR</w:t>
      </w:r>
      <w:r w:rsidR="00B729BF">
        <w:t xml:space="preserve"> (geïndexeerd bedrag vanaf 1 oktober 2021)</w:t>
      </w:r>
      <w:r w:rsidRPr="00B21FAC">
        <w:t>.</w:t>
      </w:r>
      <w:r w:rsidR="007E4824">
        <w:t xml:space="preserve"> Daarnaast wordt ook nog een solidari</w:t>
      </w:r>
      <w:r w:rsidR="00256A0D">
        <w:t>teitsbelasting geheven ter (mede-)financiering van het stelsel van de werkloosheid.</w:t>
      </w:r>
    </w:p>
    <w:p w14:paraId="2CAD1ED8" w14:textId="77777777" w:rsidR="00A57A2D" w:rsidRPr="00B21FAC" w:rsidRDefault="00A57A2D" w:rsidP="00BA7E3E">
      <w:pPr>
        <w:pStyle w:val="Lijstalinea"/>
        <w:spacing w:after="0"/>
        <w:jc w:val="both"/>
      </w:pPr>
    </w:p>
    <w:p w14:paraId="08850476" w14:textId="77777777" w:rsidR="00A57A2D" w:rsidRPr="00B21FAC" w:rsidRDefault="00A57A2D" w:rsidP="00BA7E3E">
      <w:pPr>
        <w:pStyle w:val="Lijstalinea"/>
        <w:spacing w:after="0"/>
        <w:jc w:val="both"/>
        <w:rPr>
          <w:u w:val="single"/>
        </w:rPr>
      </w:pPr>
      <w:r w:rsidRPr="00B21FAC">
        <w:rPr>
          <w:u w:val="single"/>
        </w:rPr>
        <w:t>Duitsland:</w:t>
      </w:r>
    </w:p>
    <w:p w14:paraId="7208DAFC" w14:textId="77777777" w:rsidR="00A57A2D" w:rsidRPr="00B21FAC" w:rsidRDefault="00A57A2D" w:rsidP="00BA7E3E">
      <w:pPr>
        <w:pStyle w:val="Lijstalinea"/>
        <w:spacing w:after="0"/>
        <w:jc w:val="both"/>
      </w:pPr>
    </w:p>
    <w:p w14:paraId="58C5F79F" w14:textId="41EC515B" w:rsidR="00A57A2D" w:rsidRPr="00B21FAC" w:rsidRDefault="00A57A2D" w:rsidP="00BA7E3E">
      <w:pPr>
        <w:pStyle w:val="Lijstalinea"/>
        <w:spacing w:after="0"/>
        <w:jc w:val="both"/>
      </w:pPr>
      <w:r w:rsidRPr="00B21FAC">
        <w:t xml:space="preserve">Duitsland kent een ingewikkeld tariefsysteem, dat bovendien gedifferentieerd wordt in functie van een </w:t>
      </w:r>
      <w:r w:rsidR="00B46C75">
        <w:t>belastingheffing</w:t>
      </w:r>
      <w:r w:rsidRPr="00B21FAC">
        <w:t xml:space="preserve"> in hoofde van alleenstaanden, dan wel in hoofde van samenwonende partners.</w:t>
      </w:r>
    </w:p>
    <w:p w14:paraId="52566478" w14:textId="77777777" w:rsidR="009704AA" w:rsidRPr="00B21FAC" w:rsidRDefault="009704AA" w:rsidP="00BA7E3E">
      <w:pPr>
        <w:pStyle w:val="Lijstalinea"/>
        <w:spacing w:after="0"/>
        <w:jc w:val="both"/>
      </w:pPr>
    </w:p>
    <w:p w14:paraId="3DB97530" w14:textId="77777777" w:rsidR="00A57A2D" w:rsidRPr="00B21FAC" w:rsidRDefault="00A57A2D" w:rsidP="00BA7E3E">
      <w:pPr>
        <w:pStyle w:val="Lijstalinea"/>
        <w:spacing w:after="0"/>
        <w:jc w:val="both"/>
      </w:pPr>
      <w:r w:rsidRPr="00B21FAC">
        <w:t>Onderstaande tabel bevat een vereenvoudigd overzicht, zoals van toepassing op alleenstaanden:</w:t>
      </w:r>
    </w:p>
    <w:p w14:paraId="0ED197E5" w14:textId="77777777" w:rsidR="00A57A2D" w:rsidRPr="00B21FAC" w:rsidRDefault="00A57A2D" w:rsidP="00BA7E3E">
      <w:pPr>
        <w:pStyle w:val="Lijstalinea"/>
        <w:spacing w:after="0"/>
        <w:jc w:val="both"/>
      </w:pPr>
    </w:p>
    <w:tbl>
      <w:tblPr>
        <w:tblStyle w:val="Tabelraster"/>
        <w:tblW w:w="8206" w:type="dxa"/>
        <w:tblInd w:w="720" w:type="dxa"/>
        <w:tblLook w:val="04A0" w:firstRow="1" w:lastRow="0" w:firstColumn="1" w:lastColumn="0" w:noHBand="0" w:noVBand="1"/>
      </w:tblPr>
      <w:tblGrid>
        <w:gridCol w:w="2758"/>
        <w:gridCol w:w="5448"/>
      </w:tblGrid>
      <w:tr w:rsidR="00E90F90" w:rsidRPr="00B21FAC" w14:paraId="609ACBEE" w14:textId="77777777" w:rsidTr="00BA7E3E">
        <w:tc>
          <w:tcPr>
            <w:tcW w:w="2758" w:type="dxa"/>
          </w:tcPr>
          <w:p w14:paraId="19BCDD6C" w14:textId="77777777" w:rsidR="00E90F90" w:rsidRPr="00B21FAC" w:rsidRDefault="00E90F90" w:rsidP="00BA7E3E">
            <w:pPr>
              <w:pStyle w:val="Lijstalinea"/>
              <w:spacing w:line="259" w:lineRule="auto"/>
              <w:ind w:left="0"/>
              <w:jc w:val="both"/>
            </w:pPr>
            <w:r w:rsidRPr="00B21FAC">
              <w:t>Tarief (opklimmend binnen schijf)</w:t>
            </w:r>
          </w:p>
        </w:tc>
        <w:tc>
          <w:tcPr>
            <w:tcW w:w="5448" w:type="dxa"/>
          </w:tcPr>
          <w:p w14:paraId="7D8738AB" w14:textId="0D91D441" w:rsidR="00E90F90" w:rsidRPr="00B21FAC" w:rsidRDefault="00E90F90" w:rsidP="00BA7E3E">
            <w:pPr>
              <w:pStyle w:val="Lijstalinea"/>
              <w:spacing w:line="259" w:lineRule="auto"/>
              <w:ind w:left="0"/>
              <w:jc w:val="both"/>
            </w:pPr>
            <w:r w:rsidRPr="00B21FAC">
              <w:t>Inkomstenschijf (van tot)</w:t>
            </w:r>
            <w:r>
              <w:t xml:space="preserve"> </w:t>
            </w:r>
            <w:r w:rsidR="00F84743">
              <w:t>–</w:t>
            </w:r>
            <w:r>
              <w:t xml:space="preserve"> </w:t>
            </w:r>
            <w:r w:rsidR="00F84743">
              <w:t>inkomstenjaar 2021</w:t>
            </w:r>
          </w:p>
        </w:tc>
      </w:tr>
      <w:tr w:rsidR="00E90F90" w:rsidRPr="00B21FAC" w14:paraId="32BEDF1C" w14:textId="77777777" w:rsidTr="00BA7E3E">
        <w:tc>
          <w:tcPr>
            <w:tcW w:w="2758" w:type="dxa"/>
          </w:tcPr>
          <w:p w14:paraId="2D8E591B" w14:textId="77777777" w:rsidR="00E90F90" w:rsidRPr="00B21FAC" w:rsidRDefault="00E90F90" w:rsidP="00BA7E3E">
            <w:pPr>
              <w:pStyle w:val="Lijstalinea"/>
              <w:spacing w:line="259" w:lineRule="auto"/>
              <w:ind w:left="0"/>
              <w:jc w:val="both"/>
            </w:pPr>
            <w:r w:rsidRPr="00B21FAC">
              <w:t>14 – 23,97</w:t>
            </w:r>
          </w:p>
        </w:tc>
        <w:tc>
          <w:tcPr>
            <w:tcW w:w="5448" w:type="dxa"/>
          </w:tcPr>
          <w:p w14:paraId="48FD2D03" w14:textId="61DB4749" w:rsidR="00E90F90" w:rsidRPr="00B21FAC" w:rsidRDefault="00E90F90" w:rsidP="00BA7E3E">
            <w:pPr>
              <w:pStyle w:val="Lijstalinea"/>
              <w:spacing w:line="259" w:lineRule="auto"/>
              <w:ind w:left="0"/>
              <w:jc w:val="both"/>
            </w:pPr>
            <w:r w:rsidRPr="00B21FAC">
              <w:t>9.</w:t>
            </w:r>
            <w:r>
              <w:t>744</w:t>
            </w:r>
            <w:r w:rsidRPr="00B21FAC">
              <w:t xml:space="preserve"> – 14.</w:t>
            </w:r>
            <w:r>
              <w:t>753</w:t>
            </w:r>
          </w:p>
        </w:tc>
      </w:tr>
      <w:tr w:rsidR="00E90F90" w:rsidRPr="00B21FAC" w14:paraId="4BB20658" w14:textId="77777777" w:rsidTr="00BA7E3E">
        <w:tc>
          <w:tcPr>
            <w:tcW w:w="2758" w:type="dxa"/>
          </w:tcPr>
          <w:p w14:paraId="5F820BF0" w14:textId="77777777" w:rsidR="00E90F90" w:rsidRPr="00B21FAC" w:rsidRDefault="00E90F90" w:rsidP="00BA7E3E">
            <w:pPr>
              <w:pStyle w:val="Lijstalinea"/>
              <w:spacing w:line="259" w:lineRule="auto"/>
              <w:ind w:left="0"/>
              <w:jc w:val="both"/>
            </w:pPr>
            <w:r w:rsidRPr="00B21FAC">
              <w:t>23,97 - 42</w:t>
            </w:r>
          </w:p>
        </w:tc>
        <w:tc>
          <w:tcPr>
            <w:tcW w:w="5448" w:type="dxa"/>
          </w:tcPr>
          <w:p w14:paraId="1B10DD11" w14:textId="30390F17" w:rsidR="00E90F90" w:rsidRPr="00B21FAC" w:rsidRDefault="00E90F90" w:rsidP="00BA7E3E">
            <w:pPr>
              <w:pStyle w:val="Lijstalinea"/>
              <w:spacing w:line="259" w:lineRule="auto"/>
              <w:ind w:left="0"/>
              <w:jc w:val="both"/>
            </w:pPr>
            <w:r w:rsidRPr="00B21FAC">
              <w:t>14.</w:t>
            </w:r>
            <w:r>
              <w:t>754</w:t>
            </w:r>
            <w:r w:rsidRPr="00B21FAC">
              <w:t xml:space="preserve"> – </w:t>
            </w:r>
            <w:r>
              <w:t>57.918</w:t>
            </w:r>
          </w:p>
        </w:tc>
      </w:tr>
      <w:tr w:rsidR="00E90F90" w:rsidRPr="00B21FAC" w14:paraId="4C86F402" w14:textId="77777777" w:rsidTr="00BA7E3E">
        <w:tc>
          <w:tcPr>
            <w:tcW w:w="2758" w:type="dxa"/>
          </w:tcPr>
          <w:p w14:paraId="07AA4719" w14:textId="77777777" w:rsidR="00E90F90" w:rsidRPr="00B21FAC" w:rsidRDefault="00E90F90" w:rsidP="00BA7E3E">
            <w:pPr>
              <w:pStyle w:val="Lijstalinea"/>
              <w:spacing w:line="259" w:lineRule="auto"/>
              <w:ind w:left="0"/>
              <w:jc w:val="both"/>
            </w:pPr>
            <w:r w:rsidRPr="00B21FAC">
              <w:t>42</w:t>
            </w:r>
          </w:p>
        </w:tc>
        <w:tc>
          <w:tcPr>
            <w:tcW w:w="5448" w:type="dxa"/>
          </w:tcPr>
          <w:p w14:paraId="2A76377D" w14:textId="06E30CF7" w:rsidR="00E90F90" w:rsidRPr="00B21FAC" w:rsidRDefault="00E90F90" w:rsidP="00BA7E3E">
            <w:pPr>
              <w:pStyle w:val="Lijstalinea"/>
              <w:spacing w:line="259" w:lineRule="auto"/>
              <w:ind w:left="0"/>
              <w:jc w:val="both"/>
            </w:pPr>
            <w:r w:rsidRPr="00B21FAC">
              <w:t>57.</w:t>
            </w:r>
            <w:r>
              <w:t>919</w:t>
            </w:r>
            <w:r w:rsidRPr="00B21FAC">
              <w:t xml:space="preserve"> – </w:t>
            </w:r>
            <w:r>
              <w:t>274.612</w:t>
            </w:r>
          </w:p>
        </w:tc>
      </w:tr>
      <w:tr w:rsidR="00E90F90" w:rsidRPr="00B21FAC" w14:paraId="61232E70" w14:textId="77777777" w:rsidTr="00BA7E3E">
        <w:tc>
          <w:tcPr>
            <w:tcW w:w="2758" w:type="dxa"/>
          </w:tcPr>
          <w:p w14:paraId="704BC6F7" w14:textId="77777777" w:rsidR="00E90F90" w:rsidRPr="00B21FAC" w:rsidRDefault="00E90F90" w:rsidP="00BA7E3E">
            <w:pPr>
              <w:pStyle w:val="Lijstalinea"/>
              <w:spacing w:line="259" w:lineRule="auto"/>
              <w:ind w:left="0"/>
              <w:jc w:val="both"/>
            </w:pPr>
            <w:r w:rsidRPr="00B21FAC">
              <w:t>45</w:t>
            </w:r>
          </w:p>
        </w:tc>
        <w:tc>
          <w:tcPr>
            <w:tcW w:w="5448" w:type="dxa"/>
          </w:tcPr>
          <w:p w14:paraId="261CF48F" w14:textId="4F750738" w:rsidR="00E90F90" w:rsidRPr="00B21FAC" w:rsidRDefault="00E90F90" w:rsidP="00BA7E3E">
            <w:pPr>
              <w:pStyle w:val="Lijstalinea"/>
              <w:spacing w:line="259" w:lineRule="auto"/>
              <w:ind w:left="0"/>
              <w:jc w:val="both"/>
            </w:pPr>
            <w:r w:rsidRPr="00B21FAC">
              <w:t>27</w:t>
            </w:r>
            <w:r>
              <w:t>4.613</w:t>
            </w:r>
            <w:r w:rsidRPr="00B21FAC">
              <w:t xml:space="preserve"> - …</w:t>
            </w:r>
          </w:p>
        </w:tc>
      </w:tr>
    </w:tbl>
    <w:p w14:paraId="1DB97826" w14:textId="77777777" w:rsidR="00A57A2D" w:rsidRPr="00B21FAC" w:rsidRDefault="00A57A2D" w:rsidP="00BA7E3E">
      <w:pPr>
        <w:pStyle w:val="Lijstalinea"/>
        <w:spacing w:after="0"/>
        <w:jc w:val="both"/>
      </w:pPr>
    </w:p>
    <w:p w14:paraId="6F430E23" w14:textId="57A2BE9E" w:rsidR="00A57A2D" w:rsidRPr="00B21FAC" w:rsidRDefault="00A57A2D" w:rsidP="00BA7E3E">
      <w:pPr>
        <w:pStyle w:val="Lijstalinea"/>
        <w:spacing w:after="0"/>
        <w:jc w:val="both"/>
      </w:pPr>
      <w:r w:rsidRPr="00B21FAC">
        <w:t>Er kan opgemerkt worden dat Duitsland een 0%-tarief kent tot een inkomen van 9.</w:t>
      </w:r>
      <w:r w:rsidR="00F84743">
        <w:t>744</w:t>
      </w:r>
      <w:r w:rsidR="00F84743" w:rsidRPr="00B21FAC">
        <w:t xml:space="preserve"> </w:t>
      </w:r>
      <w:r w:rsidRPr="00B21FAC">
        <w:t>EUR. Met het oog op de vergelijkbaarheid wordt hiervan abstractie gemaakt. Conceptueel sluit dit aan op de belastingvermindering voor de belastingvrije som.</w:t>
      </w:r>
    </w:p>
    <w:p w14:paraId="7A8247BA" w14:textId="77777777" w:rsidR="00A57A2D" w:rsidRPr="00B21FAC" w:rsidRDefault="00A57A2D" w:rsidP="00BA7E3E">
      <w:pPr>
        <w:pStyle w:val="Lijstalinea"/>
        <w:spacing w:after="0"/>
        <w:jc w:val="both"/>
      </w:pPr>
    </w:p>
    <w:p w14:paraId="7306A3E0" w14:textId="77777777" w:rsidR="00A57A2D" w:rsidRPr="00B21FAC" w:rsidRDefault="00A57A2D" w:rsidP="00BA7E3E">
      <w:pPr>
        <w:pStyle w:val="Lijstalinea"/>
        <w:spacing w:after="0"/>
        <w:jc w:val="both"/>
      </w:pPr>
      <w:r w:rsidRPr="00B21FAC">
        <w:t>Daarnaast is er nog een solidariteitsbijdrage van 5,5% verschuldigd. Deze wordt berekend op het bedrag van de verschuldigde belasting.</w:t>
      </w:r>
    </w:p>
    <w:p w14:paraId="60C9CB93" w14:textId="77777777" w:rsidR="00A57A2D" w:rsidRPr="00B21FAC" w:rsidRDefault="00A57A2D" w:rsidP="00BA7E3E">
      <w:pPr>
        <w:pStyle w:val="Lijstalinea"/>
        <w:spacing w:after="0"/>
        <w:jc w:val="both"/>
      </w:pPr>
    </w:p>
    <w:p w14:paraId="6553ED53" w14:textId="642BB45C" w:rsidR="00A57A2D" w:rsidRPr="00B21FAC" w:rsidRDefault="00A57A2D" w:rsidP="00BA7E3E">
      <w:pPr>
        <w:pStyle w:val="Lijstalinea"/>
        <w:spacing w:after="0"/>
        <w:jc w:val="both"/>
      </w:pPr>
      <w:r w:rsidRPr="00B21FAC">
        <w:t>Daarnaast zijn er ook sociale zekerheidsbijdragen verschuldigd</w:t>
      </w:r>
      <w:r w:rsidR="000D6115">
        <w:t xml:space="preserve"> (</w:t>
      </w:r>
      <w:r w:rsidR="00F853B3">
        <w:t>in totaal ongeveer 40%</w:t>
      </w:r>
      <w:r w:rsidR="002651D1">
        <w:t>, geïnd via werkgevers- en via werknemersbijdragen).</w:t>
      </w:r>
      <w:r w:rsidR="00F853B3">
        <w:t xml:space="preserve"> </w:t>
      </w:r>
      <w:r w:rsidRPr="00B21FAC">
        <w:t>Deze bijdragen zijn soms maar gedeeltelijk fiscaal aftrekbaar.</w:t>
      </w:r>
    </w:p>
    <w:p w14:paraId="5651E248" w14:textId="2D194BE5" w:rsidR="00673ECD" w:rsidRDefault="00673ECD" w:rsidP="00BA7E3E">
      <w:pPr>
        <w:pStyle w:val="Lijstalinea"/>
        <w:spacing w:after="0"/>
        <w:ind w:left="0"/>
        <w:jc w:val="both"/>
      </w:pPr>
    </w:p>
    <w:p w14:paraId="3E814C82" w14:textId="51C3902A" w:rsidR="00673ECD" w:rsidRDefault="009A5F91" w:rsidP="00BA7E3E">
      <w:pPr>
        <w:pStyle w:val="Lijstalinea"/>
        <w:numPr>
          <w:ilvl w:val="0"/>
          <w:numId w:val="18"/>
        </w:numPr>
        <w:spacing w:after="0"/>
        <w:ind w:left="709" w:hanging="425"/>
        <w:jc w:val="both"/>
        <w:rPr>
          <w:b/>
          <w:bCs/>
        </w:rPr>
      </w:pPr>
      <w:r w:rsidRPr="00BA7E3E">
        <w:rPr>
          <w:b/>
          <w:bCs/>
        </w:rPr>
        <w:t>Visualisatie van de mogelijke impact</w:t>
      </w:r>
    </w:p>
    <w:p w14:paraId="567E6BBB" w14:textId="3580CCCB" w:rsidR="009A5F91" w:rsidRPr="00BA7E3E" w:rsidRDefault="009A5F91" w:rsidP="00BA7E3E">
      <w:pPr>
        <w:pStyle w:val="Lijstalinea"/>
        <w:spacing w:after="0"/>
        <w:ind w:left="709"/>
        <w:jc w:val="both"/>
      </w:pPr>
    </w:p>
    <w:p w14:paraId="293D6230" w14:textId="1F65D708" w:rsidR="009A5F91" w:rsidRDefault="009A5F91" w:rsidP="00BA7E3E">
      <w:pPr>
        <w:pStyle w:val="Lijstalinea"/>
        <w:spacing w:after="0"/>
        <w:ind w:left="709"/>
        <w:jc w:val="both"/>
      </w:pPr>
      <w:r>
        <w:t xml:space="preserve">De mate waarin </w:t>
      </w:r>
      <w:r w:rsidR="003C47B5">
        <w:t>de doelstelling kan behaald worden om de gemiddelde belastingdruk op arbeid te laten zakken, hangt uiteraard grotendeels af van de beschikbare budgettaire ruimte.</w:t>
      </w:r>
    </w:p>
    <w:p w14:paraId="20F7226D" w14:textId="458E55F5" w:rsidR="003C47B5" w:rsidRDefault="003C47B5" w:rsidP="00BA7E3E">
      <w:pPr>
        <w:pStyle w:val="Lijstalinea"/>
        <w:spacing w:after="0"/>
        <w:ind w:left="709"/>
        <w:jc w:val="both"/>
      </w:pPr>
    </w:p>
    <w:p w14:paraId="0084609D" w14:textId="054CCF43" w:rsidR="003C47B5" w:rsidRDefault="003C47B5" w:rsidP="00BA7E3E">
      <w:pPr>
        <w:pStyle w:val="Lijstalinea"/>
        <w:spacing w:after="0"/>
        <w:ind w:left="709"/>
        <w:jc w:val="both"/>
      </w:pPr>
      <w:r>
        <w:t xml:space="preserve">Op vandaag is het niet mogelijk en opportuun </w:t>
      </w:r>
      <w:r w:rsidR="006E6B52">
        <w:t xml:space="preserve">reeds zeer concrete voorstellen hieromtrent te formuleren. </w:t>
      </w:r>
    </w:p>
    <w:p w14:paraId="6EB7FDB3" w14:textId="3606A502" w:rsidR="006E6B52" w:rsidRDefault="006E6B52" w:rsidP="00BA7E3E">
      <w:pPr>
        <w:pStyle w:val="Lijstalinea"/>
        <w:spacing w:after="0"/>
        <w:ind w:left="709"/>
        <w:jc w:val="both"/>
      </w:pPr>
    </w:p>
    <w:p w14:paraId="37F509C8" w14:textId="3CEAFD09" w:rsidR="006E6B52" w:rsidRDefault="00E2703F" w:rsidP="00BA7E3E">
      <w:pPr>
        <w:pStyle w:val="Lijstalinea"/>
        <w:spacing w:after="0"/>
        <w:ind w:left="709"/>
        <w:jc w:val="both"/>
      </w:pPr>
      <w:r>
        <w:t xml:space="preserve">Dit neemt niet weg dat het toch nuttig lijkt om in grote lijnen </w:t>
      </w:r>
      <w:r w:rsidR="00F507E9">
        <w:t>na te gaan welke de mogelijke impact kan zijn, binnen een welbepaalde budgettaire marge.</w:t>
      </w:r>
      <w:r w:rsidR="002C1CB6">
        <w:t xml:space="preserve"> Dit laat ook meteen toe een bepaald ambitieniveau te formuleren</w:t>
      </w:r>
      <w:r w:rsidR="007E71A6">
        <w:t>.</w:t>
      </w:r>
    </w:p>
    <w:p w14:paraId="5E8CD123" w14:textId="26F0B9E8" w:rsidR="00E75C09" w:rsidRDefault="00E75C09">
      <w:r>
        <w:br w:type="page"/>
      </w:r>
    </w:p>
    <w:p w14:paraId="7C18C3C2" w14:textId="77777777" w:rsidR="00F507E9" w:rsidRDefault="00F507E9" w:rsidP="00BA7E3E">
      <w:pPr>
        <w:pStyle w:val="Lijstalinea"/>
        <w:spacing w:after="0"/>
        <w:ind w:left="709"/>
        <w:jc w:val="both"/>
      </w:pPr>
    </w:p>
    <w:p w14:paraId="05D8F92F" w14:textId="43505030" w:rsidR="009B492A" w:rsidRDefault="00F507E9" w:rsidP="00BA7E3E">
      <w:pPr>
        <w:pStyle w:val="Lijstalinea"/>
        <w:spacing w:after="0"/>
        <w:ind w:left="709"/>
        <w:jc w:val="both"/>
      </w:pPr>
      <w:r>
        <w:t xml:space="preserve">De onderstaande grafiek toont hiertoe enkele simulaties, waarbij </w:t>
      </w:r>
      <w:r w:rsidR="001736CE">
        <w:t xml:space="preserve">in elk scenario de BBSZ volledig werd geschrapt en waarbij </w:t>
      </w:r>
      <w:r w:rsidR="0052626C">
        <w:t xml:space="preserve">de </w:t>
      </w:r>
      <w:r w:rsidR="0052626C" w:rsidRPr="00303355">
        <w:rPr>
          <w:b/>
          <w:bCs/>
        </w:rPr>
        <w:t>bestaande tariefschijven werden verbreed</w:t>
      </w:r>
      <w:r w:rsidR="0052626C">
        <w:t>, respectievelijk met 2.1</w:t>
      </w:r>
      <w:r w:rsidR="00C24895">
        <w:t>30</w:t>
      </w:r>
      <w:r w:rsidR="0052626C">
        <w:t xml:space="preserve"> EUR, 4.4</w:t>
      </w:r>
      <w:r w:rsidR="006E3833">
        <w:t>60</w:t>
      </w:r>
      <w:r w:rsidR="0052626C">
        <w:t xml:space="preserve"> EUR</w:t>
      </w:r>
      <w:r w:rsidR="00853D41">
        <w:t xml:space="preserve">, </w:t>
      </w:r>
      <w:r w:rsidR="0052626C">
        <w:t>7.</w:t>
      </w:r>
      <w:r w:rsidR="006E3833">
        <w:t>1</w:t>
      </w:r>
      <w:r w:rsidR="0052626C">
        <w:t>00 EUR</w:t>
      </w:r>
      <w:r w:rsidR="00853D41">
        <w:t>, 10.</w:t>
      </w:r>
      <w:r w:rsidR="006E3833">
        <w:t>25</w:t>
      </w:r>
      <w:r w:rsidR="00853D41">
        <w:t xml:space="preserve">0 EUR en </w:t>
      </w:r>
      <w:r w:rsidR="007705F1">
        <w:t>14.</w:t>
      </w:r>
      <w:r w:rsidR="002A1947">
        <w:t>3</w:t>
      </w:r>
      <w:r w:rsidR="007705F1">
        <w:t>00 EUR</w:t>
      </w:r>
      <w:r w:rsidR="009B492A">
        <w:t>:</w:t>
      </w:r>
    </w:p>
    <w:p w14:paraId="39ED073F" w14:textId="30B97E2F" w:rsidR="0013076B" w:rsidRDefault="0013076B" w:rsidP="00F92526">
      <w:pPr>
        <w:spacing w:after="0"/>
        <w:jc w:val="both"/>
      </w:pPr>
    </w:p>
    <w:p w14:paraId="572AA18C" w14:textId="77777777" w:rsidR="005A0ED2" w:rsidRDefault="005A0ED2" w:rsidP="00F92526">
      <w:pPr>
        <w:spacing w:after="0"/>
        <w:jc w:val="both"/>
      </w:pPr>
    </w:p>
    <w:tbl>
      <w:tblPr>
        <w:tblW w:w="8198"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426"/>
        <w:gridCol w:w="1417"/>
        <w:gridCol w:w="1276"/>
        <w:gridCol w:w="1559"/>
        <w:gridCol w:w="1560"/>
      </w:tblGrid>
      <w:tr w:rsidR="00165434" w:rsidRPr="00165434" w14:paraId="58FC0F39" w14:textId="77777777" w:rsidTr="00F92526">
        <w:trPr>
          <w:trHeight w:val="288"/>
        </w:trPr>
        <w:tc>
          <w:tcPr>
            <w:tcW w:w="960" w:type="dxa"/>
            <w:shd w:val="clear" w:color="auto" w:fill="auto"/>
            <w:noWrap/>
            <w:vAlign w:val="bottom"/>
            <w:hideMark/>
          </w:tcPr>
          <w:p w14:paraId="79EA422C" w14:textId="14924895" w:rsidR="00165434" w:rsidRPr="00165434" w:rsidRDefault="00165434" w:rsidP="00165434">
            <w:pPr>
              <w:spacing w:after="0" w:line="240" w:lineRule="auto"/>
              <w:rPr>
                <w:rFonts w:ascii="Calibri" w:eastAsia="Times New Roman" w:hAnsi="Calibri" w:cs="Calibri"/>
                <w:color w:val="000000"/>
                <w:lang w:eastAsia="nl-BE"/>
              </w:rPr>
            </w:pPr>
          </w:p>
        </w:tc>
        <w:tc>
          <w:tcPr>
            <w:tcW w:w="1426" w:type="dxa"/>
            <w:shd w:val="clear" w:color="auto" w:fill="auto"/>
            <w:noWrap/>
            <w:vAlign w:val="bottom"/>
            <w:hideMark/>
          </w:tcPr>
          <w:p w14:paraId="2AF97EEF" w14:textId="50B301F1" w:rsidR="00165434" w:rsidRPr="00165434" w:rsidRDefault="006F72E1" w:rsidP="00165434">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+ 2.130</w:t>
            </w:r>
          </w:p>
        </w:tc>
        <w:tc>
          <w:tcPr>
            <w:tcW w:w="1417" w:type="dxa"/>
            <w:shd w:val="clear" w:color="auto" w:fill="auto"/>
            <w:noWrap/>
            <w:vAlign w:val="bottom"/>
            <w:hideMark/>
          </w:tcPr>
          <w:p w14:paraId="40874E7F" w14:textId="051F8275" w:rsidR="00165434" w:rsidRPr="00165434" w:rsidRDefault="006F72E1" w:rsidP="00165434">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+ 4.460</w:t>
            </w:r>
          </w:p>
        </w:tc>
        <w:tc>
          <w:tcPr>
            <w:tcW w:w="1276" w:type="dxa"/>
            <w:shd w:val="clear" w:color="auto" w:fill="auto"/>
            <w:noWrap/>
            <w:vAlign w:val="bottom"/>
            <w:hideMark/>
          </w:tcPr>
          <w:p w14:paraId="21DB3668" w14:textId="6D763312" w:rsidR="00165434" w:rsidRPr="00165434" w:rsidRDefault="006F72E1" w:rsidP="00165434">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+ 7.100</w:t>
            </w:r>
          </w:p>
        </w:tc>
        <w:tc>
          <w:tcPr>
            <w:tcW w:w="1559" w:type="dxa"/>
            <w:shd w:val="clear" w:color="auto" w:fill="auto"/>
            <w:noWrap/>
            <w:vAlign w:val="bottom"/>
            <w:hideMark/>
          </w:tcPr>
          <w:p w14:paraId="71C2E635" w14:textId="53B72455" w:rsidR="00165434" w:rsidRPr="00165434" w:rsidRDefault="006F72E1" w:rsidP="00165434">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+ 10.250</w:t>
            </w:r>
          </w:p>
        </w:tc>
        <w:tc>
          <w:tcPr>
            <w:tcW w:w="1560" w:type="dxa"/>
            <w:shd w:val="clear" w:color="auto" w:fill="auto"/>
            <w:noWrap/>
            <w:vAlign w:val="bottom"/>
            <w:hideMark/>
          </w:tcPr>
          <w:p w14:paraId="5D066275" w14:textId="2EA1640B" w:rsidR="00165434" w:rsidRPr="00165434" w:rsidRDefault="006F72E1" w:rsidP="00165434">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+ 14.300</w:t>
            </w:r>
          </w:p>
        </w:tc>
      </w:tr>
      <w:tr w:rsidR="00165434" w:rsidRPr="00165434" w14:paraId="10E94153" w14:textId="77777777" w:rsidTr="00F92526">
        <w:trPr>
          <w:trHeight w:val="288"/>
        </w:trPr>
        <w:tc>
          <w:tcPr>
            <w:tcW w:w="960" w:type="dxa"/>
            <w:shd w:val="clear" w:color="auto" w:fill="auto"/>
            <w:noWrap/>
            <w:vAlign w:val="bottom"/>
            <w:hideMark/>
          </w:tcPr>
          <w:p w14:paraId="58E0ED0D" w14:textId="77777777" w:rsidR="00165434" w:rsidRPr="00165434" w:rsidRDefault="00165434" w:rsidP="00165434">
            <w:pPr>
              <w:spacing w:after="0" w:line="240" w:lineRule="auto"/>
              <w:rPr>
                <w:rFonts w:ascii="Calibri" w:eastAsia="Times New Roman" w:hAnsi="Calibri" w:cs="Calibri"/>
                <w:color w:val="000000"/>
                <w:lang w:eastAsia="nl-BE"/>
              </w:rPr>
            </w:pPr>
          </w:p>
        </w:tc>
        <w:tc>
          <w:tcPr>
            <w:tcW w:w="1426" w:type="dxa"/>
            <w:shd w:val="clear" w:color="auto" w:fill="auto"/>
            <w:noWrap/>
            <w:vAlign w:val="bottom"/>
            <w:hideMark/>
          </w:tcPr>
          <w:p w14:paraId="47F2E26A" w14:textId="77777777" w:rsidR="00165434" w:rsidRPr="00165434" w:rsidRDefault="00165434" w:rsidP="00165434">
            <w:pPr>
              <w:spacing w:after="0" w:line="240" w:lineRule="auto"/>
              <w:rPr>
                <w:rFonts w:ascii="Times New Roman" w:eastAsia="Times New Roman" w:hAnsi="Times New Roman" w:cs="Times New Roman"/>
                <w:sz w:val="20"/>
                <w:szCs w:val="20"/>
                <w:lang w:eastAsia="nl-BE"/>
              </w:rPr>
            </w:pPr>
          </w:p>
        </w:tc>
        <w:tc>
          <w:tcPr>
            <w:tcW w:w="1417" w:type="dxa"/>
            <w:shd w:val="clear" w:color="auto" w:fill="auto"/>
            <w:noWrap/>
            <w:vAlign w:val="bottom"/>
            <w:hideMark/>
          </w:tcPr>
          <w:p w14:paraId="4BE4DC6A" w14:textId="77777777" w:rsidR="00165434" w:rsidRPr="00165434" w:rsidRDefault="00165434" w:rsidP="00165434">
            <w:pPr>
              <w:spacing w:after="0" w:line="240" w:lineRule="auto"/>
              <w:rPr>
                <w:rFonts w:ascii="Times New Roman" w:eastAsia="Times New Roman" w:hAnsi="Times New Roman" w:cs="Times New Roman"/>
                <w:sz w:val="20"/>
                <w:szCs w:val="20"/>
                <w:lang w:eastAsia="nl-BE"/>
              </w:rPr>
            </w:pPr>
          </w:p>
        </w:tc>
        <w:tc>
          <w:tcPr>
            <w:tcW w:w="1276" w:type="dxa"/>
            <w:shd w:val="clear" w:color="auto" w:fill="auto"/>
            <w:noWrap/>
            <w:vAlign w:val="bottom"/>
            <w:hideMark/>
          </w:tcPr>
          <w:p w14:paraId="25E8BB88" w14:textId="77777777" w:rsidR="00165434" w:rsidRPr="00165434" w:rsidRDefault="00165434" w:rsidP="00165434">
            <w:pPr>
              <w:spacing w:after="0" w:line="240" w:lineRule="auto"/>
              <w:rPr>
                <w:rFonts w:ascii="Times New Roman" w:eastAsia="Times New Roman" w:hAnsi="Times New Roman" w:cs="Times New Roman"/>
                <w:sz w:val="20"/>
                <w:szCs w:val="20"/>
                <w:lang w:eastAsia="nl-BE"/>
              </w:rPr>
            </w:pPr>
          </w:p>
        </w:tc>
        <w:tc>
          <w:tcPr>
            <w:tcW w:w="1559" w:type="dxa"/>
            <w:shd w:val="clear" w:color="auto" w:fill="auto"/>
            <w:noWrap/>
            <w:vAlign w:val="bottom"/>
            <w:hideMark/>
          </w:tcPr>
          <w:p w14:paraId="6C6F0EE5" w14:textId="77777777" w:rsidR="00165434" w:rsidRPr="00165434" w:rsidRDefault="00165434" w:rsidP="00165434">
            <w:pPr>
              <w:spacing w:after="0" w:line="240" w:lineRule="auto"/>
              <w:rPr>
                <w:rFonts w:ascii="Times New Roman" w:eastAsia="Times New Roman" w:hAnsi="Times New Roman" w:cs="Times New Roman"/>
                <w:sz w:val="20"/>
                <w:szCs w:val="20"/>
                <w:lang w:eastAsia="nl-BE"/>
              </w:rPr>
            </w:pPr>
          </w:p>
        </w:tc>
        <w:tc>
          <w:tcPr>
            <w:tcW w:w="1560" w:type="dxa"/>
            <w:shd w:val="clear" w:color="auto" w:fill="auto"/>
            <w:noWrap/>
            <w:vAlign w:val="bottom"/>
            <w:hideMark/>
          </w:tcPr>
          <w:p w14:paraId="7B9B53C2" w14:textId="77777777" w:rsidR="00165434" w:rsidRPr="00165434" w:rsidRDefault="00165434" w:rsidP="00165434">
            <w:pPr>
              <w:spacing w:after="0" w:line="240" w:lineRule="auto"/>
              <w:rPr>
                <w:rFonts w:ascii="Times New Roman" w:eastAsia="Times New Roman" w:hAnsi="Times New Roman" w:cs="Times New Roman"/>
                <w:sz w:val="20"/>
                <w:szCs w:val="20"/>
                <w:lang w:eastAsia="nl-BE"/>
              </w:rPr>
            </w:pPr>
          </w:p>
        </w:tc>
      </w:tr>
      <w:tr w:rsidR="00165434" w:rsidRPr="00165434" w14:paraId="4E3240FD" w14:textId="77777777" w:rsidTr="00F92526">
        <w:trPr>
          <w:trHeight w:val="288"/>
        </w:trPr>
        <w:tc>
          <w:tcPr>
            <w:tcW w:w="960" w:type="dxa"/>
            <w:shd w:val="clear" w:color="auto" w:fill="auto"/>
            <w:noWrap/>
            <w:vAlign w:val="bottom"/>
            <w:hideMark/>
          </w:tcPr>
          <w:p w14:paraId="5F7BCCC4" w14:textId="56BC04BB" w:rsidR="00165434" w:rsidRPr="00165434" w:rsidRDefault="00165434" w:rsidP="00F9252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13</w:t>
            </w:r>
            <w:r w:rsidR="0099343F">
              <w:rPr>
                <w:rFonts w:ascii="Calibri" w:eastAsia="Times New Roman" w:hAnsi="Calibri" w:cs="Calibri"/>
                <w:color w:val="000000"/>
                <w:lang w:eastAsia="nl-BE"/>
              </w:rPr>
              <w:t>.</w:t>
            </w:r>
            <w:r w:rsidRPr="00165434">
              <w:rPr>
                <w:rFonts w:ascii="Calibri" w:eastAsia="Times New Roman" w:hAnsi="Calibri" w:cs="Calibri"/>
                <w:color w:val="000000"/>
                <w:lang w:eastAsia="nl-BE"/>
              </w:rPr>
              <w:t>540</w:t>
            </w:r>
          </w:p>
        </w:tc>
        <w:tc>
          <w:tcPr>
            <w:tcW w:w="1426" w:type="dxa"/>
            <w:shd w:val="clear" w:color="auto" w:fill="auto"/>
            <w:noWrap/>
            <w:vAlign w:val="bottom"/>
            <w:hideMark/>
          </w:tcPr>
          <w:p w14:paraId="2B6B5D36" w14:textId="7BEBE20D" w:rsidR="00165434" w:rsidRPr="00165434" w:rsidRDefault="00165434" w:rsidP="00F9252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15</w:t>
            </w:r>
            <w:r w:rsidR="005C32DF">
              <w:rPr>
                <w:rFonts w:ascii="Calibri" w:eastAsia="Times New Roman" w:hAnsi="Calibri" w:cs="Calibri"/>
                <w:color w:val="000000"/>
                <w:lang w:eastAsia="nl-BE"/>
              </w:rPr>
              <w:t>.</w:t>
            </w:r>
            <w:r w:rsidRPr="00165434">
              <w:rPr>
                <w:rFonts w:ascii="Calibri" w:eastAsia="Times New Roman" w:hAnsi="Calibri" w:cs="Calibri"/>
                <w:color w:val="000000"/>
                <w:lang w:eastAsia="nl-BE"/>
              </w:rPr>
              <w:t>670</w:t>
            </w:r>
          </w:p>
        </w:tc>
        <w:tc>
          <w:tcPr>
            <w:tcW w:w="1417" w:type="dxa"/>
            <w:shd w:val="clear" w:color="auto" w:fill="auto"/>
            <w:noWrap/>
            <w:vAlign w:val="bottom"/>
            <w:hideMark/>
          </w:tcPr>
          <w:p w14:paraId="50E3AA92" w14:textId="1C2A6306" w:rsidR="00165434" w:rsidRPr="00165434" w:rsidRDefault="00165434" w:rsidP="00F9252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18</w:t>
            </w:r>
            <w:r w:rsidR="005C32DF">
              <w:rPr>
                <w:rFonts w:ascii="Calibri" w:eastAsia="Times New Roman" w:hAnsi="Calibri" w:cs="Calibri"/>
                <w:color w:val="000000"/>
                <w:lang w:eastAsia="nl-BE"/>
              </w:rPr>
              <w:t>.</w:t>
            </w:r>
            <w:r w:rsidRPr="00165434">
              <w:rPr>
                <w:rFonts w:ascii="Calibri" w:eastAsia="Times New Roman" w:hAnsi="Calibri" w:cs="Calibri"/>
                <w:color w:val="000000"/>
                <w:lang w:eastAsia="nl-BE"/>
              </w:rPr>
              <w:t>000</w:t>
            </w:r>
          </w:p>
        </w:tc>
        <w:tc>
          <w:tcPr>
            <w:tcW w:w="1276" w:type="dxa"/>
            <w:shd w:val="clear" w:color="auto" w:fill="auto"/>
            <w:noWrap/>
            <w:vAlign w:val="bottom"/>
            <w:hideMark/>
          </w:tcPr>
          <w:p w14:paraId="49138798" w14:textId="44DCCC88" w:rsidR="00165434" w:rsidRPr="00165434" w:rsidRDefault="00165434" w:rsidP="00F9252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20</w:t>
            </w:r>
            <w:r w:rsidR="005C32DF">
              <w:rPr>
                <w:rFonts w:ascii="Calibri" w:eastAsia="Times New Roman" w:hAnsi="Calibri" w:cs="Calibri"/>
                <w:color w:val="000000"/>
                <w:lang w:eastAsia="nl-BE"/>
              </w:rPr>
              <w:t>.</w:t>
            </w:r>
            <w:r w:rsidRPr="00165434">
              <w:rPr>
                <w:rFonts w:ascii="Calibri" w:eastAsia="Times New Roman" w:hAnsi="Calibri" w:cs="Calibri"/>
                <w:color w:val="000000"/>
                <w:lang w:eastAsia="nl-BE"/>
              </w:rPr>
              <w:t>640</w:t>
            </w:r>
          </w:p>
        </w:tc>
        <w:tc>
          <w:tcPr>
            <w:tcW w:w="1559" w:type="dxa"/>
            <w:shd w:val="clear" w:color="auto" w:fill="auto"/>
            <w:noWrap/>
            <w:vAlign w:val="bottom"/>
            <w:hideMark/>
          </w:tcPr>
          <w:p w14:paraId="0D45A2EC" w14:textId="22CDD4E1" w:rsidR="00165434" w:rsidRPr="00165434" w:rsidRDefault="00165434" w:rsidP="00F9252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23</w:t>
            </w:r>
            <w:r w:rsidR="005C32DF">
              <w:rPr>
                <w:rFonts w:ascii="Calibri" w:eastAsia="Times New Roman" w:hAnsi="Calibri" w:cs="Calibri"/>
                <w:color w:val="000000"/>
                <w:lang w:eastAsia="nl-BE"/>
              </w:rPr>
              <w:t>.</w:t>
            </w:r>
            <w:r w:rsidRPr="00165434">
              <w:rPr>
                <w:rFonts w:ascii="Calibri" w:eastAsia="Times New Roman" w:hAnsi="Calibri" w:cs="Calibri"/>
                <w:color w:val="000000"/>
                <w:lang w:eastAsia="nl-BE"/>
              </w:rPr>
              <w:t>790</w:t>
            </w:r>
          </w:p>
        </w:tc>
        <w:tc>
          <w:tcPr>
            <w:tcW w:w="1560" w:type="dxa"/>
            <w:shd w:val="clear" w:color="auto" w:fill="auto"/>
            <w:noWrap/>
            <w:vAlign w:val="bottom"/>
            <w:hideMark/>
          </w:tcPr>
          <w:p w14:paraId="4387DCE6" w14:textId="654514AB" w:rsidR="00165434" w:rsidRPr="00165434" w:rsidRDefault="00165434" w:rsidP="00F9252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27</w:t>
            </w:r>
            <w:r w:rsidR="005C32DF">
              <w:rPr>
                <w:rFonts w:ascii="Calibri" w:eastAsia="Times New Roman" w:hAnsi="Calibri" w:cs="Calibri"/>
                <w:color w:val="000000"/>
                <w:lang w:eastAsia="nl-BE"/>
              </w:rPr>
              <w:t>.</w:t>
            </w:r>
            <w:r w:rsidRPr="00165434">
              <w:rPr>
                <w:rFonts w:ascii="Calibri" w:eastAsia="Times New Roman" w:hAnsi="Calibri" w:cs="Calibri"/>
                <w:color w:val="000000"/>
                <w:lang w:eastAsia="nl-BE"/>
              </w:rPr>
              <w:t>840</w:t>
            </w:r>
          </w:p>
        </w:tc>
      </w:tr>
      <w:tr w:rsidR="00165434" w:rsidRPr="00165434" w14:paraId="3E12A55F" w14:textId="77777777" w:rsidTr="00F92526">
        <w:trPr>
          <w:trHeight w:val="288"/>
        </w:trPr>
        <w:tc>
          <w:tcPr>
            <w:tcW w:w="960" w:type="dxa"/>
            <w:shd w:val="clear" w:color="auto" w:fill="auto"/>
            <w:noWrap/>
            <w:vAlign w:val="bottom"/>
            <w:hideMark/>
          </w:tcPr>
          <w:p w14:paraId="78F41727" w14:textId="5F47A0AB" w:rsidR="00165434" w:rsidRPr="00165434" w:rsidRDefault="00165434" w:rsidP="00F9252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23</w:t>
            </w:r>
            <w:r w:rsidR="005C32DF">
              <w:rPr>
                <w:rFonts w:ascii="Calibri" w:eastAsia="Times New Roman" w:hAnsi="Calibri" w:cs="Calibri"/>
                <w:color w:val="000000"/>
                <w:lang w:eastAsia="nl-BE"/>
              </w:rPr>
              <w:t>.</w:t>
            </w:r>
            <w:r w:rsidRPr="00165434">
              <w:rPr>
                <w:rFonts w:ascii="Calibri" w:eastAsia="Times New Roman" w:hAnsi="Calibri" w:cs="Calibri"/>
                <w:color w:val="000000"/>
                <w:lang w:eastAsia="nl-BE"/>
              </w:rPr>
              <w:t>900</w:t>
            </w:r>
          </w:p>
        </w:tc>
        <w:tc>
          <w:tcPr>
            <w:tcW w:w="1426" w:type="dxa"/>
            <w:shd w:val="clear" w:color="auto" w:fill="auto"/>
            <w:noWrap/>
            <w:vAlign w:val="bottom"/>
            <w:hideMark/>
          </w:tcPr>
          <w:p w14:paraId="47292CED" w14:textId="47BB244C" w:rsidR="00165434" w:rsidRPr="00165434" w:rsidRDefault="00165434" w:rsidP="00F9252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26</w:t>
            </w:r>
            <w:r w:rsidR="005C32DF">
              <w:rPr>
                <w:rFonts w:ascii="Calibri" w:eastAsia="Times New Roman" w:hAnsi="Calibri" w:cs="Calibri"/>
                <w:color w:val="000000"/>
                <w:lang w:eastAsia="nl-BE"/>
              </w:rPr>
              <w:t>.</w:t>
            </w:r>
            <w:r w:rsidRPr="00165434">
              <w:rPr>
                <w:rFonts w:ascii="Calibri" w:eastAsia="Times New Roman" w:hAnsi="Calibri" w:cs="Calibri"/>
                <w:color w:val="000000"/>
                <w:lang w:eastAsia="nl-BE"/>
              </w:rPr>
              <w:t>030</w:t>
            </w:r>
          </w:p>
        </w:tc>
        <w:tc>
          <w:tcPr>
            <w:tcW w:w="1417" w:type="dxa"/>
            <w:shd w:val="clear" w:color="auto" w:fill="auto"/>
            <w:noWrap/>
            <w:vAlign w:val="bottom"/>
            <w:hideMark/>
          </w:tcPr>
          <w:p w14:paraId="11AD6062" w14:textId="32F16A41" w:rsidR="00165434" w:rsidRPr="00165434" w:rsidRDefault="00165434" w:rsidP="00F9252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28</w:t>
            </w:r>
            <w:r w:rsidR="005C32DF">
              <w:rPr>
                <w:rFonts w:ascii="Calibri" w:eastAsia="Times New Roman" w:hAnsi="Calibri" w:cs="Calibri"/>
                <w:color w:val="000000"/>
                <w:lang w:eastAsia="nl-BE"/>
              </w:rPr>
              <w:t>.</w:t>
            </w:r>
            <w:r w:rsidRPr="00165434">
              <w:rPr>
                <w:rFonts w:ascii="Calibri" w:eastAsia="Times New Roman" w:hAnsi="Calibri" w:cs="Calibri"/>
                <w:color w:val="000000"/>
                <w:lang w:eastAsia="nl-BE"/>
              </w:rPr>
              <w:t>360</w:t>
            </w:r>
          </w:p>
        </w:tc>
        <w:tc>
          <w:tcPr>
            <w:tcW w:w="1276" w:type="dxa"/>
            <w:shd w:val="clear" w:color="auto" w:fill="auto"/>
            <w:noWrap/>
            <w:vAlign w:val="bottom"/>
            <w:hideMark/>
          </w:tcPr>
          <w:p w14:paraId="435752BD" w14:textId="05915720" w:rsidR="00165434" w:rsidRPr="00165434" w:rsidRDefault="00165434" w:rsidP="00F9252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31</w:t>
            </w:r>
            <w:r w:rsidR="005C32DF">
              <w:rPr>
                <w:rFonts w:ascii="Calibri" w:eastAsia="Times New Roman" w:hAnsi="Calibri" w:cs="Calibri"/>
                <w:color w:val="000000"/>
                <w:lang w:eastAsia="nl-BE"/>
              </w:rPr>
              <w:t>.</w:t>
            </w:r>
            <w:r w:rsidRPr="00165434">
              <w:rPr>
                <w:rFonts w:ascii="Calibri" w:eastAsia="Times New Roman" w:hAnsi="Calibri" w:cs="Calibri"/>
                <w:color w:val="000000"/>
                <w:lang w:eastAsia="nl-BE"/>
              </w:rPr>
              <w:t>000</w:t>
            </w:r>
          </w:p>
        </w:tc>
        <w:tc>
          <w:tcPr>
            <w:tcW w:w="1559" w:type="dxa"/>
            <w:shd w:val="clear" w:color="auto" w:fill="auto"/>
            <w:noWrap/>
            <w:vAlign w:val="bottom"/>
            <w:hideMark/>
          </w:tcPr>
          <w:p w14:paraId="080DECE9" w14:textId="1793498A" w:rsidR="00165434" w:rsidRPr="00165434" w:rsidRDefault="00165434" w:rsidP="00F9252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34</w:t>
            </w:r>
            <w:r w:rsidR="005C32DF">
              <w:rPr>
                <w:rFonts w:ascii="Calibri" w:eastAsia="Times New Roman" w:hAnsi="Calibri" w:cs="Calibri"/>
                <w:color w:val="000000"/>
                <w:lang w:eastAsia="nl-BE"/>
              </w:rPr>
              <w:t>.</w:t>
            </w:r>
            <w:r w:rsidRPr="00165434">
              <w:rPr>
                <w:rFonts w:ascii="Calibri" w:eastAsia="Times New Roman" w:hAnsi="Calibri" w:cs="Calibri"/>
                <w:color w:val="000000"/>
                <w:lang w:eastAsia="nl-BE"/>
              </w:rPr>
              <w:t>150</w:t>
            </w:r>
          </w:p>
        </w:tc>
        <w:tc>
          <w:tcPr>
            <w:tcW w:w="1560" w:type="dxa"/>
            <w:shd w:val="clear" w:color="auto" w:fill="auto"/>
            <w:noWrap/>
            <w:vAlign w:val="bottom"/>
            <w:hideMark/>
          </w:tcPr>
          <w:p w14:paraId="19466EBA" w14:textId="7E3D5373" w:rsidR="00165434" w:rsidRPr="00165434" w:rsidRDefault="00165434" w:rsidP="00F9252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38</w:t>
            </w:r>
            <w:r w:rsidR="005C32DF">
              <w:rPr>
                <w:rFonts w:ascii="Calibri" w:eastAsia="Times New Roman" w:hAnsi="Calibri" w:cs="Calibri"/>
                <w:color w:val="000000"/>
                <w:lang w:eastAsia="nl-BE"/>
              </w:rPr>
              <w:t>.</w:t>
            </w:r>
            <w:r w:rsidRPr="00165434">
              <w:rPr>
                <w:rFonts w:ascii="Calibri" w:eastAsia="Times New Roman" w:hAnsi="Calibri" w:cs="Calibri"/>
                <w:color w:val="000000"/>
                <w:lang w:eastAsia="nl-BE"/>
              </w:rPr>
              <w:t>200</w:t>
            </w:r>
          </w:p>
        </w:tc>
      </w:tr>
      <w:tr w:rsidR="00165434" w:rsidRPr="00165434" w14:paraId="54131F9F" w14:textId="77777777" w:rsidTr="00F92526">
        <w:trPr>
          <w:trHeight w:val="288"/>
        </w:trPr>
        <w:tc>
          <w:tcPr>
            <w:tcW w:w="960" w:type="dxa"/>
            <w:shd w:val="clear" w:color="auto" w:fill="auto"/>
            <w:noWrap/>
            <w:vAlign w:val="bottom"/>
            <w:hideMark/>
          </w:tcPr>
          <w:p w14:paraId="6C5EF225" w14:textId="3F9A2D49" w:rsidR="00165434" w:rsidRPr="00165434" w:rsidRDefault="00165434" w:rsidP="00F9252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41</w:t>
            </w:r>
            <w:r w:rsidR="005C32DF">
              <w:rPr>
                <w:rFonts w:ascii="Calibri" w:eastAsia="Times New Roman" w:hAnsi="Calibri" w:cs="Calibri"/>
                <w:color w:val="000000"/>
                <w:lang w:eastAsia="nl-BE"/>
              </w:rPr>
              <w:t>.</w:t>
            </w:r>
            <w:r w:rsidRPr="00165434">
              <w:rPr>
                <w:rFonts w:ascii="Calibri" w:eastAsia="Times New Roman" w:hAnsi="Calibri" w:cs="Calibri"/>
                <w:color w:val="000000"/>
                <w:lang w:eastAsia="nl-BE"/>
              </w:rPr>
              <w:t>360</w:t>
            </w:r>
          </w:p>
        </w:tc>
        <w:tc>
          <w:tcPr>
            <w:tcW w:w="1426" w:type="dxa"/>
            <w:shd w:val="clear" w:color="auto" w:fill="auto"/>
            <w:noWrap/>
            <w:vAlign w:val="bottom"/>
            <w:hideMark/>
          </w:tcPr>
          <w:p w14:paraId="117C5DF8" w14:textId="42C45557" w:rsidR="00165434" w:rsidRPr="00165434" w:rsidRDefault="00165434" w:rsidP="00F9252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43</w:t>
            </w:r>
            <w:r w:rsidR="005C32DF">
              <w:rPr>
                <w:rFonts w:ascii="Calibri" w:eastAsia="Times New Roman" w:hAnsi="Calibri" w:cs="Calibri"/>
                <w:color w:val="000000"/>
                <w:lang w:eastAsia="nl-BE"/>
              </w:rPr>
              <w:t>.</w:t>
            </w:r>
            <w:r w:rsidRPr="00165434">
              <w:rPr>
                <w:rFonts w:ascii="Calibri" w:eastAsia="Times New Roman" w:hAnsi="Calibri" w:cs="Calibri"/>
                <w:color w:val="000000"/>
                <w:lang w:eastAsia="nl-BE"/>
              </w:rPr>
              <w:t>490</w:t>
            </w:r>
          </w:p>
        </w:tc>
        <w:tc>
          <w:tcPr>
            <w:tcW w:w="1417" w:type="dxa"/>
            <w:shd w:val="clear" w:color="auto" w:fill="auto"/>
            <w:noWrap/>
            <w:vAlign w:val="bottom"/>
            <w:hideMark/>
          </w:tcPr>
          <w:p w14:paraId="6B2DB58E" w14:textId="27FF0450" w:rsidR="00165434" w:rsidRPr="00165434" w:rsidRDefault="00165434" w:rsidP="00F9252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45</w:t>
            </w:r>
            <w:r w:rsidR="005C32DF">
              <w:rPr>
                <w:rFonts w:ascii="Calibri" w:eastAsia="Times New Roman" w:hAnsi="Calibri" w:cs="Calibri"/>
                <w:color w:val="000000"/>
                <w:lang w:eastAsia="nl-BE"/>
              </w:rPr>
              <w:t>.</w:t>
            </w:r>
            <w:r w:rsidRPr="00165434">
              <w:rPr>
                <w:rFonts w:ascii="Calibri" w:eastAsia="Times New Roman" w:hAnsi="Calibri" w:cs="Calibri"/>
                <w:color w:val="000000"/>
                <w:lang w:eastAsia="nl-BE"/>
              </w:rPr>
              <w:t>820</w:t>
            </w:r>
          </w:p>
        </w:tc>
        <w:tc>
          <w:tcPr>
            <w:tcW w:w="1276" w:type="dxa"/>
            <w:shd w:val="clear" w:color="auto" w:fill="auto"/>
            <w:noWrap/>
            <w:vAlign w:val="bottom"/>
            <w:hideMark/>
          </w:tcPr>
          <w:p w14:paraId="539AE6D8" w14:textId="1C3FFBBE" w:rsidR="00165434" w:rsidRPr="00165434" w:rsidRDefault="00165434" w:rsidP="00F9252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48</w:t>
            </w:r>
            <w:r w:rsidR="005C32DF">
              <w:rPr>
                <w:rFonts w:ascii="Calibri" w:eastAsia="Times New Roman" w:hAnsi="Calibri" w:cs="Calibri"/>
                <w:color w:val="000000"/>
                <w:lang w:eastAsia="nl-BE"/>
              </w:rPr>
              <w:t>.</w:t>
            </w:r>
            <w:r w:rsidRPr="00165434">
              <w:rPr>
                <w:rFonts w:ascii="Calibri" w:eastAsia="Times New Roman" w:hAnsi="Calibri" w:cs="Calibri"/>
                <w:color w:val="000000"/>
                <w:lang w:eastAsia="nl-BE"/>
              </w:rPr>
              <w:t>460</w:t>
            </w:r>
          </w:p>
        </w:tc>
        <w:tc>
          <w:tcPr>
            <w:tcW w:w="1559" w:type="dxa"/>
            <w:shd w:val="clear" w:color="auto" w:fill="auto"/>
            <w:noWrap/>
            <w:vAlign w:val="bottom"/>
            <w:hideMark/>
          </w:tcPr>
          <w:p w14:paraId="7896D9C9" w14:textId="306731AD" w:rsidR="00165434" w:rsidRPr="00165434" w:rsidRDefault="00165434" w:rsidP="00F9252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51</w:t>
            </w:r>
            <w:r w:rsidR="005C32DF">
              <w:rPr>
                <w:rFonts w:ascii="Calibri" w:eastAsia="Times New Roman" w:hAnsi="Calibri" w:cs="Calibri"/>
                <w:color w:val="000000"/>
                <w:lang w:eastAsia="nl-BE"/>
              </w:rPr>
              <w:t>.</w:t>
            </w:r>
            <w:r w:rsidRPr="00165434">
              <w:rPr>
                <w:rFonts w:ascii="Calibri" w:eastAsia="Times New Roman" w:hAnsi="Calibri" w:cs="Calibri"/>
                <w:color w:val="000000"/>
                <w:lang w:eastAsia="nl-BE"/>
              </w:rPr>
              <w:t>610</w:t>
            </w:r>
          </w:p>
        </w:tc>
        <w:tc>
          <w:tcPr>
            <w:tcW w:w="1560" w:type="dxa"/>
            <w:shd w:val="clear" w:color="auto" w:fill="auto"/>
            <w:noWrap/>
            <w:vAlign w:val="bottom"/>
            <w:hideMark/>
          </w:tcPr>
          <w:p w14:paraId="4E2DF4BF" w14:textId="7F930F4A" w:rsidR="00165434" w:rsidRPr="00165434" w:rsidRDefault="00165434" w:rsidP="00F9252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55</w:t>
            </w:r>
            <w:r w:rsidR="005C32DF">
              <w:rPr>
                <w:rFonts w:ascii="Calibri" w:eastAsia="Times New Roman" w:hAnsi="Calibri" w:cs="Calibri"/>
                <w:color w:val="000000"/>
                <w:lang w:eastAsia="nl-BE"/>
              </w:rPr>
              <w:t>.</w:t>
            </w:r>
            <w:r w:rsidRPr="00165434">
              <w:rPr>
                <w:rFonts w:ascii="Calibri" w:eastAsia="Times New Roman" w:hAnsi="Calibri" w:cs="Calibri"/>
                <w:color w:val="000000"/>
                <w:lang w:eastAsia="nl-BE"/>
              </w:rPr>
              <w:t>660</w:t>
            </w:r>
          </w:p>
        </w:tc>
      </w:tr>
    </w:tbl>
    <w:p w14:paraId="47561C74" w14:textId="4CE8D944" w:rsidR="0013076B" w:rsidRDefault="0013076B" w:rsidP="002A1947">
      <w:pPr>
        <w:spacing w:after="0"/>
        <w:jc w:val="both"/>
      </w:pPr>
    </w:p>
    <w:p w14:paraId="1BE3DCB3" w14:textId="77777777" w:rsidR="00A26AED" w:rsidRDefault="00A26AED" w:rsidP="00F92526">
      <w:pPr>
        <w:spacing w:after="0"/>
        <w:jc w:val="both"/>
      </w:pPr>
    </w:p>
    <w:p w14:paraId="665313C5" w14:textId="390D9213" w:rsidR="002C40CF" w:rsidRPr="002C40CF" w:rsidRDefault="002C40CF" w:rsidP="00BA7E3E">
      <w:pPr>
        <w:pStyle w:val="Lijstalinea"/>
        <w:spacing w:after="0"/>
        <w:ind w:left="709"/>
        <w:jc w:val="both"/>
      </w:pPr>
      <w:r w:rsidRPr="002C40CF">
        <w:t xml:space="preserve">Met deze ingrepen </w:t>
      </w:r>
      <w:r w:rsidR="00FE18FA">
        <w:t xml:space="preserve">(budget 2019) </w:t>
      </w:r>
      <w:r w:rsidRPr="002C40CF">
        <w:t xml:space="preserve">zouden de </w:t>
      </w:r>
      <w:r w:rsidR="00487844">
        <w:t>ontvang</w:t>
      </w:r>
      <w:r w:rsidR="00487844" w:rsidRPr="002C40CF">
        <w:t xml:space="preserve">sten </w:t>
      </w:r>
      <w:r w:rsidR="00D20926">
        <w:t xml:space="preserve">uit de personenbelasting </w:t>
      </w:r>
      <w:r w:rsidRPr="002C40CF">
        <w:t xml:space="preserve">met resp. </w:t>
      </w:r>
      <w:r w:rsidRPr="00CA2D19">
        <w:t xml:space="preserve">2.017,36 </w:t>
      </w:r>
      <w:r w:rsidR="00CA2D19" w:rsidRPr="00CA2D19">
        <w:t>miljoen euro</w:t>
      </w:r>
      <w:r w:rsidR="00EC170C">
        <w:t xml:space="preserve"> (I)</w:t>
      </w:r>
      <w:r w:rsidRPr="00CA2D19">
        <w:t xml:space="preserve">, 4.036,57 </w:t>
      </w:r>
      <w:r w:rsidR="00CA2D19" w:rsidRPr="00CA2D19">
        <w:t>miljoen euro</w:t>
      </w:r>
      <w:r w:rsidR="00EC170C">
        <w:t xml:space="preserve"> (II)</w:t>
      </w:r>
      <w:r w:rsidR="00785267" w:rsidRPr="00CA2D19">
        <w:t xml:space="preserve">, </w:t>
      </w:r>
      <w:r w:rsidRPr="00CA2D19">
        <w:t xml:space="preserve">6.037,86 </w:t>
      </w:r>
      <w:r w:rsidR="00CA2D19" w:rsidRPr="00CA2D19">
        <w:t>miljoen euro</w:t>
      </w:r>
      <w:r w:rsidR="002342E8">
        <w:t xml:space="preserve"> (III)</w:t>
      </w:r>
      <w:r w:rsidR="00785267" w:rsidRPr="00CA2D19">
        <w:t xml:space="preserve">, </w:t>
      </w:r>
      <w:r w:rsidR="007705F1" w:rsidRPr="00CA2D19">
        <w:t xml:space="preserve">8.042,02 </w:t>
      </w:r>
      <w:r w:rsidR="00CA2D19" w:rsidRPr="00CA2D19">
        <w:t>miljoen euro</w:t>
      </w:r>
      <w:r w:rsidR="002342E8">
        <w:t xml:space="preserve"> (IV)</w:t>
      </w:r>
      <w:r w:rsidR="00785267" w:rsidRPr="00CA2D19">
        <w:t xml:space="preserve">, </w:t>
      </w:r>
      <w:r w:rsidR="00D66E23" w:rsidRPr="00CA2D19">
        <w:t xml:space="preserve">10.090,04 </w:t>
      </w:r>
      <w:r w:rsidR="00CA2D19">
        <w:t>miljoen euro</w:t>
      </w:r>
      <w:r w:rsidRPr="00CA2D19">
        <w:t xml:space="preserve"> </w:t>
      </w:r>
      <w:r w:rsidR="002342E8">
        <w:t xml:space="preserve">(V) </w:t>
      </w:r>
      <w:r w:rsidRPr="00CA2D19">
        <w:t xml:space="preserve">dalen. </w:t>
      </w:r>
      <w:r w:rsidR="00E512F7">
        <w:t xml:space="preserve">De x-as </w:t>
      </w:r>
      <w:r w:rsidR="002C01AB">
        <w:t>geeft de loonkost/winst weer.</w:t>
      </w:r>
    </w:p>
    <w:p w14:paraId="44AE6CE7" w14:textId="3996F0C9" w:rsidR="00F507E9" w:rsidRDefault="00F507E9" w:rsidP="00BA7E3E">
      <w:pPr>
        <w:spacing w:after="0"/>
        <w:jc w:val="both"/>
      </w:pPr>
    </w:p>
    <w:p w14:paraId="6EA01287" w14:textId="77777777" w:rsidR="000E6055" w:rsidRDefault="000E6055" w:rsidP="00BA7E3E">
      <w:pPr>
        <w:spacing w:after="0"/>
        <w:jc w:val="both"/>
      </w:pPr>
    </w:p>
    <w:p w14:paraId="4DA0874F" w14:textId="707D71D9" w:rsidR="001C5F39" w:rsidRDefault="00D30FBC" w:rsidP="00D30FBC">
      <w:pPr>
        <w:spacing w:after="0"/>
        <w:ind w:left="-567"/>
        <w:jc w:val="both"/>
      </w:pPr>
      <w:r>
        <w:rPr>
          <w:noProof/>
        </w:rPr>
        <w:drawing>
          <wp:inline distT="0" distB="0" distL="0" distR="0" wp14:anchorId="178580A7" wp14:editId="06A2C8FD">
            <wp:extent cx="6507480" cy="4732020"/>
            <wp:effectExtent l="0" t="0" r="7620" b="11430"/>
            <wp:docPr id="5" name="Grafiek 5">
              <a:extLst xmlns:a="http://schemas.openxmlformats.org/drawingml/2006/main">
                <a:ext uri="{FF2B5EF4-FFF2-40B4-BE49-F238E27FC236}">
                  <a16:creationId xmlns:a16="http://schemas.microsoft.com/office/drawing/2014/main" id="{657A778C-1C4D-4A94-AD64-706A2EDE66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9989BC6" w14:textId="69196B19" w:rsidR="00D674B3" w:rsidRDefault="00D674B3" w:rsidP="00BA7E3E">
      <w:pPr>
        <w:spacing w:after="0"/>
        <w:jc w:val="both"/>
      </w:pPr>
    </w:p>
    <w:p w14:paraId="0F2E7F1E" w14:textId="709B5A62" w:rsidR="001C5F39" w:rsidRDefault="001C5F39" w:rsidP="00275FEB">
      <w:r>
        <w:br w:type="page"/>
      </w:r>
    </w:p>
    <w:p w14:paraId="12E754FF" w14:textId="77777777" w:rsidR="001C5F39" w:rsidRDefault="001C5F39" w:rsidP="00BA7E3E">
      <w:pPr>
        <w:spacing w:after="0"/>
        <w:jc w:val="both"/>
      </w:pPr>
    </w:p>
    <w:p w14:paraId="0C8932FB" w14:textId="4576F9FA" w:rsidR="00474C68" w:rsidRDefault="00474C68" w:rsidP="00BA7E3E">
      <w:pPr>
        <w:spacing w:after="0"/>
        <w:ind w:left="709"/>
        <w:jc w:val="both"/>
      </w:pPr>
      <w:bookmarkStart w:id="171" w:name="_Hlk94284439"/>
      <w:r>
        <w:t xml:space="preserve">In de navolgende tabellen worden de resultaten van deze grafiek weergegeven t.o.v. </w:t>
      </w:r>
      <w:r w:rsidR="00E64DDD">
        <w:t>verschillende inkomstencategorieën</w:t>
      </w:r>
      <w:r w:rsidR="006360B3">
        <w:t xml:space="preserve">, die grosso </w:t>
      </w:r>
      <w:r w:rsidR="007D4938">
        <w:t xml:space="preserve">modo </w:t>
      </w:r>
      <w:r w:rsidR="006360B3">
        <w:t xml:space="preserve">overeenstemmen met de looncategorieën </w:t>
      </w:r>
      <w:r w:rsidR="0024334C">
        <w:t>(van respec</w:t>
      </w:r>
      <w:r w:rsidR="00F32F1B">
        <w:t>ti</w:t>
      </w:r>
      <w:r w:rsidR="0024334C">
        <w:t>evelijk 67%, 100% en 167% van het gemiddeld inkomen</w:t>
      </w:r>
      <w:r w:rsidR="00B44743">
        <w:t>)</w:t>
      </w:r>
      <w:r w:rsidR="0024334C">
        <w:t xml:space="preserve">, </w:t>
      </w:r>
      <w:r w:rsidR="006360B3">
        <w:t xml:space="preserve">die klassiek </w:t>
      </w:r>
      <w:r w:rsidR="004966A4">
        <w:t>door de OESO worden weerhouden om de zogenaamde ‘tax wedge’ te meten.</w:t>
      </w:r>
    </w:p>
    <w:bookmarkEnd w:id="171"/>
    <w:p w14:paraId="790C5638" w14:textId="336F4DA3" w:rsidR="001C5F39" w:rsidRDefault="001C5F39" w:rsidP="00BA7E3E">
      <w:pPr>
        <w:pStyle w:val="Lijstalinea"/>
        <w:spacing w:after="0"/>
        <w:ind w:left="0"/>
        <w:jc w:val="both"/>
      </w:pPr>
    </w:p>
    <w:p w14:paraId="500222FB" w14:textId="77777777" w:rsidR="000A6BC5" w:rsidRDefault="000A6BC5" w:rsidP="00BA7E3E">
      <w:pPr>
        <w:pStyle w:val="Lijstalinea"/>
        <w:spacing w:after="0"/>
        <w:ind w:left="0"/>
        <w:jc w:val="both"/>
      </w:pPr>
    </w:p>
    <w:tbl>
      <w:tblPr>
        <w:tblW w:w="811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2208"/>
        <w:gridCol w:w="2128"/>
        <w:gridCol w:w="2408"/>
      </w:tblGrid>
      <w:tr w:rsidR="008D4B8A" w:rsidRPr="0076210D" w14:paraId="3143E056" w14:textId="77777777" w:rsidTr="00202E8A">
        <w:trPr>
          <w:trHeight w:val="288"/>
        </w:trPr>
        <w:tc>
          <w:tcPr>
            <w:tcW w:w="1374" w:type="dxa"/>
            <w:tcMar>
              <w:top w:w="15" w:type="dxa"/>
              <w:left w:w="15" w:type="dxa"/>
              <w:bottom w:w="15" w:type="dxa"/>
              <w:right w:w="15" w:type="dxa"/>
            </w:tcMar>
            <w:vAlign w:val="bottom"/>
            <w:hideMark/>
          </w:tcPr>
          <w:p w14:paraId="1E353861" w14:textId="0506AF7B" w:rsidR="008D4B8A" w:rsidRPr="0076210D" w:rsidRDefault="008D4B8A" w:rsidP="007D46E4">
            <w:pPr>
              <w:spacing w:after="0"/>
              <w:rPr>
                <w:rFonts w:eastAsia="Times New Roman"/>
                <w:color w:val="000000"/>
                <w:u w:val="single"/>
              </w:rPr>
            </w:pPr>
            <w:r>
              <w:rPr>
                <w:color w:val="000000"/>
                <w:u w:val="single"/>
              </w:rPr>
              <w:t>Werknemers</w:t>
            </w:r>
          </w:p>
        </w:tc>
        <w:tc>
          <w:tcPr>
            <w:tcW w:w="2208" w:type="dxa"/>
            <w:tcMar>
              <w:top w:w="15" w:type="dxa"/>
              <w:left w:w="15" w:type="dxa"/>
              <w:bottom w:w="15" w:type="dxa"/>
              <w:right w:w="15" w:type="dxa"/>
            </w:tcMar>
            <w:vAlign w:val="bottom"/>
            <w:hideMark/>
          </w:tcPr>
          <w:p w14:paraId="7AC09C94" w14:textId="77777777" w:rsidR="008D4B8A" w:rsidRPr="0076210D" w:rsidRDefault="008D4B8A" w:rsidP="007D46E4">
            <w:pPr>
              <w:spacing w:after="0"/>
              <w:jc w:val="right"/>
              <w:rPr>
                <w:rFonts w:ascii="Calibri" w:eastAsia="Times New Roman" w:hAnsi="Calibri" w:cs="Calibri"/>
                <w:b/>
                <w:bCs/>
              </w:rPr>
            </w:pPr>
          </w:p>
        </w:tc>
        <w:tc>
          <w:tcPr>
            <w:tcW w:w="2128" w:type="dxa"/>
            <w:tcMar>
              <w:top w:w="15" w:type="dxa"/>
              <w:left w:w="15" w:type="dxa"/>
              <w:bottom w:w="15" w:type="dxa"/>
              <w:right w:w="15" w:type="dxa"/>
            </w:tcMar>
            <w:vAlign w:val="bottom"/>
            <w:hideMark/>
          </w:tcPr>
          <w:p w14:paraId="4A43D493" w14:textId="77777777" w:rsidR="008D4B8A" w:rsidRPr="0076210D" w:rsidRDefault="008D4B8A" w:rsidP="007D46E4">
            <w:pPr>
              <w:spacing w:after="0"/>
              <w:jc w:val="right"/>
              <w:rPr>
                <w:rFonts w:ascii="Calibri" w:eastAsia="Times New Roman" w:hAnsi="Calibri" w:cs="Calibri"/>
                <w:b/>
                <w:bCs/>
              </w:rPr>
            </w:pPr>
          </w:p>
        </w:tc>
        <w:tc>
          <w:tcPr>
            <w:tcW w:w="2408" w:type="dxa"/>
            <w:tcMar>
              <w:top w:w="15" w:type="dxa"/>
              <w:left w:w="15" w:type="dxa"/>
              <w:bottom w:w="15" w:type="dxa"/>
              <w:right w:w="15" w:type="dxa"/>
            </w:tcMar>
            <w:vAlign w:val="bottom"/>
            <w:hideMark/>
          </w:tcPr>
          <w:p w14:paraId="273EDA27" w14:textId="77777777" w:rsidR="008D4B8A" w:rsidRPr="0076210D" w:rsidRDefault="008D4B8A" w:rsidP="007D46E4">
            <w:pPr>
              <w:spacing w:after="0"/>
              <w:jc w:val="right"/>
              <w:rPr>
                <w:rFonts w:ascii="Calibri" w:eastAsia="Times New Roman" w:hAnsi="Calibri" w:cs="Calibri"/>
                <w:b/>
                <w:bCs/>
              </w:rPr>
            </w:pPr>
          </w:p>
        </w:tc>
      </w:tr>
      <w:tr w:rsidR="008D4B8A" w:rsidRPr="0076210D" w14:paraId="7470B470" w14:textId="77777777" w:rsidTr="00202E8A">
        <w:trPr>
          <w:trHeight w:val="288"/>
        </w:trPr>
        <w:tc>
          <w:tcPr>
            <w:tcW w:w="0" w:type="auto"/>
            <w:tcMar>
              <w:top w:w="15" w:type="dxa"/>
              <w:left w:w="15" w:type="dxa"/>
              <w:bottom w:w="15" w:type="dxa"/>
              <w:right w:w="15" w:type="dxa"/>
            </w:tcMar>
            <w:vAlign w:val="bottom"/>
            <w:hideMark/>
          </w:tcPr>
          <w:p w14:paraId="140218BD" w14:textId="77777777" w:rsidR="008D4B8A" w:rsidRPr="0076210D" w:rsidRDefault="008D4B8A" w:rsidP="007D46E4">
            <w:pPr>
              <w:spacing w:after="0"/>
              <w:rPr>
                <w:rFonts w:ascii="Times New Roman" w:eastAsia="Times New Roman" w:hAnsi="Times New Roman" w:cs="Times New Roman"/>
                <w:sz w:val="20"/>
                <w:szCs w:val="20"/>
              </w:rPr>
            </w:pPr>
          </w:p>
        </w:tc>
        <w:tc>
          <w:tcPr>
            <w:tcW w:w="2208" w:type="dxa"/>
            <w:tcMar>
              <w:top w:w="15" w:type="dxa"/>
              <w:left w:w="15" w:type="dxa"/>
              <w:bottom w:w="15" w:type="dxa"/>
              <w:right w:w="15" w:type="dxa"/>
            </w:tcMar>
            <w:vAlign w:val="bottom"/>
            <w:hideMark/>
          </w:tcPr>
          <w:p w14:paraId="2F7BC7CE" w14:textId="77777777" w:rsidR="008D4B8A" w:rsidRPr="0076210D" w:rsidRDefault="008D4B8A" w:rsidP="007D46E4">
            <w:pPr>
              <w:spacing w:after="0"/>
              <w:jc w:val="right"/>
              <w:rPr>
                <w:rFonts w:ascii="Calibri" w:eastAsia="Times New Roman" w:hAnsi="Calibri" w:cs="Calibri"/>
                <w:b/>
                <w:bCs/>
                <w:color w:val="000000"/>
              </w:rPr>
            </w:pPr>
            <w:r>
              <w:rPr>
                <w:rFonts w:ascii="Calibri" w:eastAsia="Times New Roman" w:hAnsi="Calibri" w:cs="Calibri"/>
                <w:b/>
                <w:bCs/>
                <w:color w:val="000000"/>
              </w:rPr>
              <w:t>67%</w:t>
            </w:r>
          </w:p>
        </w:tc>
        <w:tc>
          <w:tcPr>
            <w:tcW w:w="2128" w:type="dxa"/>
            <w:tcMar>
              <w:top w:w="15" w:type="dxa"/>
              <w:left w:w="15" w:type="dxa"/>
              <w:bottom w:w="15" w:type="dxa"/>
              <w:right w:w="15" w:type="dxa"/>
            </w:tcMar>
            <w:vAlign w:val="bottom"/>
            <w:hideMark/>
          </w:tcPr>
          <w:p w14:paraId="3AACE5B4" w14:textId="77777777" w:rsidR="008D4B8A" w:rsidRPr="0076210D" w:rsidRDefault="008D4B8A" w:rsidP="007D46E4">
            <w:pPr>
              <w:spacing w:after="0"/>
              <w:jc w:val="right"/>
              <w:rPr>
                <w:rFonts w:eastAsia="Times New Roman"/>
                <w:b/>
                <w:bCs/>
                <w:color w:val="000000"/>
              </w:rPr>
            </w:pPr>
            <w:r>
              <w:rPr>
                <w:rFonts w:eastAsia="Times New Roman"/>
                <w:b/>
                <w:bCs/>
                <w:color w:val="000000"/>
              </w:rPr>
              <w:t>100%</w:t>
            </w:r>
          </w:p>
        </w:tc>
        <w:tc>
          <w:tcPr>
            <w:tcW w:w="2408" w:type="dxa"/>
            <w:tcMar>
              <w:top w:w="15" w:type="dxa"/>
              <w:left w:w="15" w:type="dxa"/>
              <w:bottom w:w="15" w:type="dxa"/>
              <w:right w:w="15" w:type="dxa"/>
            </w:tcMar>
            <w:vAlign w:val="bottom"/>
            <w:hideMark/>
          </w:tcPr>
          <w:p w14:paraId="15F50941" w14:textId="77777777" w:rsidR="008D4B8A" w:rsidRPr="0076210D" w:rsidRDefault="008D4B8A" w:rsidP="007D46E4">
            <w:pPr>
              <w:spacing w:after="0"/>
              <w:jc w:val="right"/>
              <w:rPr>
                <w:rFonts w:eastAsia="Times New Roman"/>
                <w:b/>
                <w:bCs/>
                <w:color w:val="000000"/>
              </w:rPr>
            </w:pPr>
            <w:r>
              <w:rPr>
                <w:rFonts w:eastAsia="Times New Roman"/>
                <w:b/>
                <w:bCs/>
                <w:color w:val="000000"/>
              </w:rPr>
              <w:t>167%</w:t>
            </w:r>
          </w:p>
        </w:tc>
      </w:tr>
      <w:tr w:rsidR="008D4B8A" w:rsidRPr="0076210D" w14:paraId="5145AC5B" w14:textId="77777777" w:rsidTr="00202E8A">
        <w:trPr>
          <w:trHeight w:val="288"/>
        </w:trPr>
        <w:tc>
          <w:tcPr>
            <w:tcW w:w="0" w:type="auto"/>
            <w:tcMar>
              <w:top w:w="15" w:type="dxa"/>
              <w:left w:w="15" w:type="dxa"/>
              <w:bottom w:w="15" w:type="dxa"/>
              <w:right w:w="15" w:type="dxa"/>
            </w:tcMar>
            <w:vAlign w:val="bottom"/>
            <w:hideMark/>
          </w:tcPr>
          <w:p w14:paraId="22C724E0" w14:textId="29396CE2" w:rsidR="008D4B8A" w:rsidRPr="0076210D" w:rsidRDefault="008D4B8A" w:rsidP="002342E8">
            <w:pPr>
              <w:spacing w:after="0"/>
              <w:jc w:val="center"/>
              <w:rPr>
                <w:rFonts w:eastAsia="Times New Roman"/>
                <w:b/>
                <w:bCs/>
                <w:color w:val="000000"/>
              </w:rPr>
            </w:pPr>
            <w:r w:rsidRPr="0076210D">
              <w:rPr>
                <w:b/>
                <w:color w:val="000000"/>
              </w:rPr>
              <w:t>Bas</w:t>
            </w:r>
            <w:r>
              <w:rPr>
                <w:b/>
                <w:color w:val="000000"/>
              </w:rPr>
              <w:t>is</w:t>
            </w:r>
          </w:p>
        </w:tc>
        <w:tc>
          <w:tcPr>
            <w:tcW w:w="2208" w:type="dxa"/>
            <w:shd w:val="clear" w:color="auto" w:fill="auto"/>
            <w:tcMar>
              <w:top w:w="15" w:type="dxa"/>
              <w:left w:w="15" w:type="dxa"/>
              <w:bottom w:w="15" w:type="dxa"/>
              <w:right w:w="15" w:type="dxa"/>
            </w:tcMar>
            <w:vAlign w:val="bottom"/>
            <w:hideMark/>
          </w:tcPr>
          <w:p w14:paraId="4CDE6656" w14:textId="77777777" w:rsidR="008D4B8A" w:rsidRPr="0076210D" w:rsidRDefault="008D4B8A" w:rsidP="007D46E4">
            <w:pPr>
              <w:spacing w:after="0"/>
              <w:jc w:val="right"/>
              <w:rPr>
                <w:rFonts w:ascii="Calibri" w:eastAsia="Times New Roman" w:hAnsi="Calibri" w:cs="Calibri"/>
                <w:color w:val="000000"/>
              </w:rPr>
            </w:pPr>
            <w:r>
              <w:rPr>
                <w:rFonts w:ascii="Calibri" w:hAnsi="Calibri" w:cs="Calibri"/>
                <w:color w:val="000000"/>
              </w:rPr>
              <w:t>44,75%</w:t>
            </w:r>
          </w:p>
        </w:tc>
        <w:tc>
          <w:tcPr>
            <w:tcW w:w="2128" w:type="dxa"/>
            <w:shd w:val="clear" w:color="auto" w:fill="auto"/>
            <w:tcMar>
              <w:top w:w="15" w:type="dxa"/>
              <w:left w:w="15" w:type="dxa"/>
              <w:bottom w:w="15" w:type="dxa"/>
              <w:right w:w="15" w:type="dxa"/>
            </w:tcMar>
            <w:vAlign w:val="bottom"/>
            <w:hideMark/>
          </w:tcPr>
          <w:p w14:paraId="0B08DD98" w14:textId="77777777" w:rsidR="008D4B8A" w:rsidRPr="0076210D" w:rsidRDefault="008D4B8A" w:rsidP="007D46E4">
            <w:pPr>
              <w:spacing w:after="0"/>
              <w:jc w:val="right"/>
              <w:rPr>
                <w:rFonts w:eastAsia="Times New Roman"/>
                <w:color w:val="000000"/>
              </w:rPr>
            </w:pPr>
            <w:r>
              <w:rPr>
                <w:rFonts w:ascii="Calibri" w:hAnsi="Calibri" w:cs="Calibri"/>
                <w:color w:val="000000"/>
              </w:rPr>
              <w:t>50,56%</w:t>
            </w:r>
          </w:p>
        </w:tc>
        <w:tc>
          <w:tcPr>
            <w:tcW w:w="2408" w:type="dxa"/>
            <w:shd w:val="clear" w:color="auto" w:fill="auto"/>
            <w:tcMar>
              <w:top w:w="15" w:type="dxa"/>
              <w:left w:w="15" w:type="dxa"/>
              <w:bottom w:w="15" w:type="dxa"/>
              <w:right w:w="15" w:type="dxa"/>
            </w:tcMar>
            <w:vAlign w:val="bottom"/>
            <w:hideMark/>
          </w:tcPr>
          <w:p w14:paraId="6E29B65B" w14:textId="77777777" w:rsidR="008D4B8A" w:rsidRPr="0076210D" w:rsidRDefault="008D4B8A" w:rsidP="007D46E4">
            <w:pPr>
              <w:spacing w:after="0"/>
              <w:jc w:val="right"/>
              <w:rPr>
                <w:rFonts w:eastAsia="Times New Roman"/>
                <w:color w:val="000000"/>
              </w:rPr>
            </w:pPr>
            <w:r>
              <w:rPr>
                <w:rFonts w:ascii="Calibri" w:hAnsi="Calibri" w:cs="Calibri"/>
                <w:color w:val="000000"/>
              </w:rPr>
              <w:t>56,69%</w:t>
            </w:r>
          </w:p>
        </w:tc>
      </w:tr>
      <w:tr w:rsidR="008D4B8A" w:rsidRPr="0076210D" w14:paraId="2883DCCA" w14:textId="77777777" w:rsidTr="00202E8A">
        <w:trPr>
          <w:trHeight w:val="288"/>
        </w:trPr>
        <w:tc>
          <w:tcPr>
            <w:tcW w:w="0" w:type="auto"/>
            <w:tcMar>
              <w:top w:w="15" w:type="dxa"/>
              <w:left w:w="15" w:type="dxa"/>
              <w:bottom w:w="15" w:type="dxa"/>
              <w:right w:w="15" w:type="dxa"/>
            </w:tcMar>
            <w:vAlign w:val="bottom"/>
            <w:hideMark/>
          </w:tcPr>
          <w:p w14:paraId="78F1FD17" w14:textId="3A7D76A9" w:rsidR="008D4B8A" w:rsidRPr="00522ABB" w:rsidRDefault="002342E8" w:rsidP="002342E8">
            <w:pPr>
              <w:spacing w:after="0"/>
              <w:jc w:val="center"/>
              <w:rPr>
                <w:rFonts w:eastAsia="Times New Roman"/>
                <w:bCs/>
                <w:color w:val="000000"/>
              </w:rPr>
            </w:pPr>
            <w:r w:rsidRPr="00522ABB">
              <w:rPr>
                <w:bCs/>
                <w:color w:val="000000"/>
              </w:rPr>
              <w:t>I</w:t>
            </w:r>
          </w:p>
        </w:tc>
        <w:tc>
          <w:tcPr>
            <w:tcW w:w="2208" w:type="dxa"/>
            <w:shd w:val="clear" w:color="auto" w:fill="auto"/>
            <w:tcMar>
              <w:top w:w="15" w:type="dxa"/>
              <w:left w:w="15" w:type="dxa"/>
              <w:bottom w:w="15" w:type="dxa"/>
              <w:right w:w="15" w:type="dxa"/>
            </w:tcMar>
            <w:vAlign w:val="bottom"/>
            <w:hideMark/>
          </w:tcPr>
          <w:p w14:paraId="768759FB" w14:textId="77777777" w:rsidR="008D4B8A" w:rsidRPr="0076210D" w:rsidRDefault="008D4B8A" w:rsidP="007D46E4">
            <w:pPr>
              <w:spacing w:after="0"/>
              <w:jc w:val="right"/>
              <w:rPr>
                <w:rFonts w:ascii="Calibri" w:eastAsia="Times New Roman" w:hAnsi="Calibri" w:cs="Calibri"/>
                <w:color w:val="000000"/>
              </w:rPr>
            </w:pPr>
            <w:r>
              <w:rPr>
                <w:rFonts w:ascii="Calibri" w:hAnsi="Calibri" w:cs="Calibri"/>
                <w:color w:val="000000"/>
              </w:rPr>
              <w:t>43,17%</w:t>
            </w:r>
          </w:p>
        </w:tc>
        <w:tc>
          <w:tcPr>
            <w:tcW w:w="2128" w:type="dxa"/>
            <w:shd w:val="clear" w:color="auto" w:fill="auto"/>
            <w:tcMar>
              <w:top w:w="15" w:type="dxa"/>
              <w:left w:w="15" w:type="dxa"/>
              <w:bottom w:w="15" w:type="dxa"/>
              <w:right w:w="15" w:type="dxa"/>
            </w:tcMar>
            <w:vAlign w:val="bottom"/>
            <w:hideMark/>
          </w:tcPr>
          <w:p w14:paraId="4193F17D" w14:textId="77777777" w:rsidR="008D4B8A" w:rsidRPr="0076210D" w:rsidRDefault="008D4B8A" w:rsidP="007D46E4">
            <w:pPr>
              <w:spacing w:after="0"/>
              <w:jc w:val="right"/>
              <w:rPr>
                <w:rFonts w:eastAsia="Times New Roman"/>
                <w:color w:val="000000"/>
              </w:rPr>
            </w:pPr>
            <w:r>
              <w:rPr>
                <w:rFonts w:ascii="Calibri" w:hAnsi="Calibri" w:cs="Calibri"/>
                <w:color w:val="000000"/>
              </w:rPr>
              <w:t>49,25%</w:t>
            </w:r>
          </w:p>
        </w:tc>
        <w:tc>
          <w:tcPr>
            <w:tcW w:w="2408" w:type="dxa"/>
            <w:shd w:val="clear" w:color="auto" w:fill="auto"/>
            <w:tcMar>
              <w:top w:w="15" w:type="dxa"/>
              <w:left w:w="15" w:type="dxa"/>
              <w:bottom w:w="15" w:type="dxa"/>
              <w:right w:w="15" w:type="dxa"/>
            </w:tcMar>
            <w:vAlign w:val="bottom"/>
            <w:hideMark/>
          </w:tcPr>
          <w:p w14:paraId="63A41343" w14:textId="77777777" w:rsidR="008D4B8A" w:rsidRPr="0076210D" w:rsidRDefault="008D4B8A" w:rsidP="007D46E4">
            <w:pPr>
              <w:spacing w:after="0"/>
              <w:jc w:val="right"/>
              <w:rPr>
                <w:rFonts w:eastAsia="Times New Roman"/>
                <w:color w:val="000000"/>
              </w:rPr>
            </w:pPr>
            <w:r>
              <w:rPr>
                <w:rFonts w:ascii="Calibri" w:hAnsi="Calibri" w:cs="Calibri"/>
                <w:color w:val="000000"/>
              </w:rPr>
              <w:t>55,53%</w:t>
            </w:r>
          </w:p>
        </w:tc>
      </w:tr>
      <w:tr w:rsidR="008D4B8A" w:rsidRPr="0076210D" w14:paraId="65B8419A" w14:textId="77777777" w:rsidTr="00202E8A">
        <w:trPr>
          <w:trHeight w:val="288"/>
        </w:trPr>
        <w:tc>
          <w:tcPr>
            <w:tcW w:w="0" w:type="auto"/>
            <w:tcMar>
              <w:top w:w="15" w:type="dxa"/>
              <w:left w:w="15" w:type="dxa"/>
              <w:bottom w:w="15" w:type="dxa"/>
              <w:right w:w="15" w:type="dxa"/>
            </w:tcMar>
            <w:vAlign w:val="bottom"/>
            <w:hideMark/>
          </w:tcPr>
          <w:p w14:paraId="65B9F6FD" w14:textId="0AE99CA9" w:rsidR="008D4B8A" w:rsidRPr="00522ABB" w:rsidRDefault="002342E8" w:rsidP="002342E8">
            <w:pPr>
              <w:spacing w:after="0"/>
              <w:jc w:val="center"/>
              <w:rPr>
                <w:rFonts w:eastAsia="Times New Roman"/>
                <w:bCs/>
                <w:color w:val="000000"/>
              </w:rPr>
            </w:pPr>
            <w:r w:rsidRPr="00522ABB">
              <w:rPr>
                <w:rFonts w:eastAsia="Times New Roman"/>
                <w:bCs/>
                <w:color w:val="000000"/>
              </w:rPr>
              <w:t>II</w:t>
            </w:r>
          </w:p>
        </w:tc>
        <w:tc>
          <w:tcPr>
            <w:tcW w:w="2208" w:type="dxa"/>
            <w:shd w:val="clear" w:color="auto" w:fill="auto"/>
            <w:tcMar>
              <w:top w:w="15" w:type="dxa"/>
              <w:left w:w="15" w:type="dxa"/>
              <w:bottom w:w="15" w:type="dxa"/>
              <w:right w:w="15" w:type="dxa"/>
            </w:tcMar>
            <w:vAlign w:val="bottom"/>
            <w:hideMark/>
          </w:tcPr>
          <w:p w14:paraId="2A453E4C" w14:textId="77777777" w:rsidR="008D4B8A" w:rsidRPr="0076210D" w:rsidRDefault="008D4B8A" w:rsidP="007D46E4">
            <w:pPr>
              <w:spacing w:after="0"/>
              <w:jc w:val="right"/>
              <w:rPr>
                <w:rFonts w:ascii="Calibri" w:eastAsia="Times New Roman" w:hAnsi="Calibri" w:cs="Calibri"/>
                <w:color w:val="000000"/>
              </w:rPr>
            </w:pPr>
            <w:r>
              <w:rPr>
                <w:rFonts w:ascii="Calibri" w:hAnsi="Calibri" w:cs="Calibri"/>
                <w:color w:val="000000"/>
              </w:rPr>
              <w:t>42,43%</w:t>
            </w:r>
          </w:p>
        </w:tc>
        <w:tc>
          <w:tcPr>
            <w:tcW w:w="2128" w:type="dxa"/>
            <w:shd w:val="clear" w:color="auto" w:fill="auto"/>
            <w:tcMar>
              <w:top w:w="15" w:type="dxa"/>
              <w:left w:w="15" w:type="dxa"/>
              <w:bottom w:w="15" w:type="dxa"/>
              <w:right w:w="15" w:type="dxa"/>
            </w:tcMar>
            <w:vAlign w:val="bottom"/>
            <w:hideMark/>
          </w:tcPr>
          <w:p w14:paraId="3D73C326" w14:textId="77777777" w:rsidR="008D4B8A" w:rsidRPr="0076210D" w:rsidRDefault="008D4B8A" w:rsidP="007D46E4">
            <w:pPr>
              <w:spacing w:after="0"/>
              <w:jc w:val="right"/>
              <w:rPr>
                <w:rFonts w:eastAsia="Times New Roman"/>
                <w:color w:val="000000"/>
              </w:rPr>
            </w:pPr>
            <w:r>
              <w:rPr>
                <w:rFonts w:ascii="Calibri" w:hAnsi="Calibri" w:cs="Calibri"/>
                <w:color w:val="000000"/>
              </w:rPr>
              <w:t>48,53%</w:t>
            </w:r>
          </w:p>
        </w:tc>
        <w:tc>
          <w:tcPr>
            <w:tcW w:w="2408" w:type="dxa"/>
            <w:shd w:val="clear" w:color="auto" w:fill="auto"/>
            <w:tcMar>
              <w:top w:w="15" w:type="dxa"/>
              <w:left w:w="15" w:type="dxa"/>
              <w:bottom w:w="15" w:type="dxa"/>
              <w:right w:w="15" w:type="dxa"/>
            </w:tcMar>
            <w:vAlign w:val="bottom"/>
            <w:hideMark/>
          </w:tcPr>
          <w:p w14:paraId="1D1264F8" w14:textId="77777777" w:rsidR="008D4B8A" w:rsidRPr="0076210D" w:rsidRDefault="008D4B8A" w:rsidP="007D46E4">
            <w:pPr>
              <w:spacing w:after="0"/>
              <w:jc w:val="right"/>
              <w:rPr>
                <w:rFonts w:eastAsia="Times New Roman"/>
                <w:color w:val="000000"/>
              </w:rPr>
            </w:pPr>
            <w:r>
              <w:rPr>
                <w:rFonts w:ascii="Calibri" w:hAnsi="Calibri" w:cs="Calibri"/>
                <w:color w:val="000000"/>
              </w:rPr>
              <w:t>54,99%</w:t>
            </w:r>
          </w:p>
        </w:tc>
      </w:tr>
      <w:tr w:rsidR="008D4B8A" w:rsidRPr="0076210D" w14:paraId="1600FF26" w14:textId="77777777" w:rsidTr="00202E8A">
        <w:trPr>
          <w:trHeight w:val="288"/>
        </w:trPr>
        <w:tc>
          <w:tcPr>
            <w:tcW w:w="0" w:type="auto"/>
            <w:tcMar>
              <w:top w:w="15" w:type="dxa"/>
              <w:left w:w="15" w:type="dxa"/>
              <w:bottom w:w="15" w:type="dxa"/>
              <w:right w:w="15" w:type="dxa"/>
            </w:tcMar>
            <w:vAlign w:val="bottom"/>
            <w:hideMark/>
          </w:tcPr>
          <w:p w14:paraId="68B9A408" w14:textId="22119241" w:rsidR="008D4B8A" w:rsidRPr="00522ABB" w:rsidRDefault="002342E8" w:rsidP="002342E8">
            <w:pPr>
              <w:spacing w:after="0"/>
              <w:jc w:val="center"/>
              <w:rPr>
                <w:rFonts w:eastAsia="Times New Roman"/>
                <w:bCs/>
                <w:color w:val="000000"/>
              </w:rPr>
            </w:pPr>
            <w:r w:rsidRPr="00522ABB">
              <w:rPr>
                <w:rFonts w:eastAsia="Times New Roman"/>
                <w:bCs/>
                <w:color w:val="000000"/>
              </w:rPr>
              <w:t>III</w:t>
            </w:r>
          </w:p>
        </w:tc>
        <w:tc>
          <w:tcPr>
            <w:tcW w:w="2208" w:type="dxa"/>
            <w:shd w:val="clear" w:color="auto" w:fill="auto"/>
            <w:tcMar>
              <w:top w:w="15" w:type="dxa"/>
              <w:left w:w="15" w:type="dxa"/>
              <w:bottom w:w="15" w:type="dxa"/>
              <w:right w:w="15" w:type="dxa"/>
            </w:tcMar>
            <w:vAlign w:val="bottom"/>
            <w:hideMark/>
          </w:tcPr>
          <w:p w14:paraId="34D6C71C" w14:textId="77777777" w:rsidR="008D4B8A" w:rsidRPr="0076210D" w:rsidRDefault="008D4B8A" w:rsidP="007D46E4">
            <w:pPr>
              <w:spacing w:after="0"/>
              <w:jc w:val="right"/>
              <w:rPr>
                <w:rFonts w:ascii="Calibri" w:eastAsia="Times New Roman" w:hAnsi="Calibri" w:cs="Calibri"/>
                <w:color w:val="000000"/>
              </w:rPr>
            </w:pPr>
            <w:r>
              <w:rPr>
                <w:rFonts w:ascii="Calibri" w:hAnsi="Calibri" w:cs="Calibri"/>
                <w:color w:val="000000"/>
              </w:rPr>
              <w:t>41,53%</w:t>
            </w:r>
          </w:p>
        </w:tc>
        <w:tc>
          <w:tcPr>
            <w:tcW w:w="2128" w:type="dxa"/>
            <w:shd w:val="clear" w:color="auto" w:fill="auto"/>
            <w:tcMar>
              <w:top w:w="15" w:type="dxa"/>
              <w:left w:w="15" w:type="dxa"/>
              <w:bottom w:w="15" w:type="dxa"/>
              <w:right w:w="15" w:type="dxa"/>
            </w:tcMar>
            <w:vAlign w:val="bottom"/>
            <w:hideMark/>
          </w:tcPr>
          <w:p w14:paraId="2EA14ED8" w14:textId="77777777" w:rsidR="008D4B8A" w:rsidRPr="0076210D" w:rsidRDefault="008D4B8A" w:rsidP="007D46E4">
            <w:pPr>
              <w:spacing w:after="0"/>
              <w:jc w:val="right"/>
              <w:rPr>
                <w:rFonts w:eastAsia="Times New Roman"/>
                <w:color w:val="000000"/>
              </w:rPr>
            </w:pPr>
            <w:r>
              <w:rPr>
                <w:rFonts w:ascii="Calibri" w:hAnsi="Calibri" w:cs="Calibri"/>
                <w:color w:val="000000"/>
              </w:rPr>
              <w:t>47,72%</w:t>
            </w:r>
          </w:p>
        </w:tc>
        <w:tc>
          <w:tcPr>
            <w:tcW w:w="2408" w:type="dxa"/>
            <w:shd w:val="clear" w:color="auto" w:fill="auto"/>
            <w:tcMar>
              <w:top w:w="15" w:type="dxa"/>
              <w:left w:w="15" w:type="dxa"/>
              <w:bottom w:w="15" w:type="dxa"/>
              <w:right w:w="15" w:type="dxa"/>
            </w:tcMar>
            <w:vAlign w:val="bottom"/>
            <w:hideMark/>
          </w:tcPr>
          <w:p w14:paraId="7D5A8DDB" w14:textId="77777777" w:rsidR="008D4B8A" w:rsidRPr="0076210D" w:rsidRDefault="008D4B8A" w:rsidP="007D46E4">
            <w:pPr>
              <w:spacing w:after="0"/>
              <w:jc w:val="right"/>
              <w:rPr>
                <w:rFonts w:eastAsia="Times New Roman"/>
                <w:color w:val="000000"/>
              </w:rPr>
            </w:pPr>
            <w:r>
              <w:rPr>
                <w:rFonts w:ascii="Calibri" w:hAnsi="Calibri" w:cs="Calibri"/>
                <w:color w:val="000000"/>
              </w:rPr>
              <w:t>54,39%</w:t>
            </w:r>
          </w:p>
        </w:tc>
      </w:tr>
      <w:tr w:rsidR="008D4B8A" w:rsidRPr="0076210D" w14:paraId="7DDC7CE7" w14:textId="77777777" w:rsidTr="00202E8A">
        <w:trPr>
          <w:trHeight w:val="288"/>
        </w:trPr>
        <w:tc>
          <w:tcPr>
            <w:tcW w:w="0" w:type="auto"/>
            <w:tcMar>
              <w:top w:w="15" w:type="dxa"/>
              <w:left w:w="15" w:type="dxa"/>
              <w:bottom w:w="15" w:type="dxa"/>
              <w:right w:w="15" w:type="dxa"/>
            </w:tcMar>
            <w:vAlign w:val="bottom"/>
            <w:hideMark/>
          </w:tcPr>
          <w:p w14:paraId="3F49208F" w14:textId="5E90C536" w:rsidR="008D4B8A" w:rsidRPr="00522ABB" w:rsidRDefault="002342E8" w:rsidP="002342E8">
            <w:pPr>
              <w:spacing w:after="0"/>
              <w:jc w:val="center"/>
              <w:rPr>
                <w:rFonts w:eastAsia="Times New Roman"/>
                <w:bCs/>
                <w:color w:val="000000"/>
              </w:rPr>
            </w:pPr>
            <w:r w:rsidRPr="00522ABB">
              <w:rPr>
                <w:rFonts w:eastAsia="Times New Roman"/>
                <w:bCs/>
                <w:color w:val="000000"/>
              </w:rPr>
              <w:t>IV</w:t>
            </w:r>
          </w:p>
        </w:tc>
        <w:tc>
          <w:tcPr>
            <w:tcW w:w="2208" w:type="dxa"/>
            <w:shd w:val="clear" w:color="auto" w:fill="auto"/>
            <w:tcMar>
              <w:top w:w="15" w:type="dxa"/>
              <w:left w:w="15" w:type="dxa"/>
              <w:bottom w:w="15" w:type="dxa"/>
              <w:right w:w="15" w:type="dxa"/>
            </w:tcMar>
            <w:vAlign w:val="bottom"/>
            <w:hideMark/>
          </w:tcPr>
          <w:p w14:paraId="7372D9EC" w14:textId="77777777" w:rsidR="008D4B8A" w:rsidRPr="0076210D" w:rsidRDefault="008D4B8A" w:rsidP="007D46E4">
            <w:pPr>
              <w:spacing w:after="0"/>
              <w:jc w:val="right"/>
              <w:rPr>
                <w:rFonts w:ascii="Calibri" w:eastAsia="Times New Roman" w:hAnsi="Calibri" w:cs="Calibri"/>
                <w:color w:val="000000"/>
              </w:rPr>
            </w:pPr>
            <w:r>
              <w:rPr>
                <w:rFonts w:ascii="Calibri" w:hAnsi="Calibri" w:cs="Calibri"/>
                <w:color w:val="000000"/>
              </w:rPr>
              <w:t>40,45%</w:t>
            </w:r>
          </w:p>
        </w:tc>
        <w:tc>
          <w:tcPr>
            <w:tcW w:w="2128" w:type="dxa"/>
            <w:shd w:val="clear" w:color="auto" w:fill="auto"/>
            <w:tcMar>
              <w:top w:w="15" w:type="dxa"/>
              <w:left w:w="15" w:type="dxa"/>
              <w:bottom w:w="15" w:type="dxa"/>
              <w:right w:w="15" w:type="dxa"/>
            </w:tcMar>
            <w:vAlign w:val="bottom"/>
            <w:hideMark/>
          </w:tcPr>
          <w:p w14:paraId="181F39FC" w14:textId="77777777" w:rsidR="008D4B8A" w:rsidRPr="0076210D" w:rsidRDefault="008D4B8A" w:rsidP="007D46E4">
            <w:pPr>
              <w:spacing w:after="0"/>
              <w:jc w:val="right"/>
              <w:rPr>
                <w:rFonts w:eastAsia="Times New Roman"/>
                <w:color w:val="000000"/>
              </w:rPr>
            </w:pPr>
            <w:r>
              <w:rPr>
                <w:rFonts w:ascii="Calibri" w:hAnsi="Calibri" w:cs="Calibri"/>
                <w:color w:val="000000"/>
              </w:rPr>
              <w:t>46,75%</w:t>
            </w:r>
          </w:p>
        </w:tc>
        <w:tc>
          <w:tcPr>
            <w:tcW w:w="2408" w:type="dxa"/>
            <w:shd w:val="clear" w:color="auto" w:fill="auto"/>
            <w:tcMar>
              <w:top w:w="15" w:type="dxa"/>
              <w:left w:w="15" w:type="dxa"/>
              <w:bottom w:w="15" w:type="dxa"/>
              <w:right w:w="15" w:type="dxa"/>
            </w:tcMar>
            <w:vAlign w:val="bottom"/>
            <w:hideMark/>
          </w:tcPr>
          <w:p w14:paraId="010026C8" w14:textId="77777777" w:rsidR="008D4B8A" w:rsidRPr="0076210D" w:rsidRDefault="008D4B8A" w:rsidP="007D46E4">
            <w:pPr>
              <w:spacing w:after="0"/>
              <w:jc w:val="right"/>
              <w:rPr>
                <w:rFonts w:eastAsia="Times New Roman"/>
                <w:color w:val="000000"/>
              </w:rPr>
            </w:pPr>
            <w:r>
              <w:rPr>
                <w:rFonts w:ascii="Calibri" w:hAnsi="Calibri" w:cs="Calibri"/>
                <w:color w:val="000000"/>
              </w:rPr>
              <w:t>53,66%</w:t>
            </w:r>
          </w:p>
        </w:tc>
      </w:tr>
      <w:tr w:rsidR="008D4B8A" w:rsidRPr="0076210D" w14:paraId="67423972" w14:textId="77777777" w:rsidTr="00202E8A">
        <w:trPr>
          <w:trHeight w:val="288"/>
        </w:trPr>
        <w:tc>
          <w:tcPr>
            <w:tcW w:w="0" w:type="auto"/>
            <w:tcMar>
              <w:top w:w="15" w:type="dxa"/>
              <w:left w:w="15" w:type="dxa"/>
              <w:bottom w:w="15" w:type="dxa"/>
              <w:right w:w="15" w:type="dxa"/>
            </w:tcMar>
            <w:vAlign w:val="bottom"/>
            <w:hideMark/>
          </w:tcPr>
          <w:p w14:paraId="0EB0973E" w14:textId="4E79520A" w:rsidR="008D4B8A" w:rsidRPr="00522ABB" w:rsidRDefault="002342E8" w:rsidP="002342E8">
            <w:pPr>
              <w:spacing w:after="0"/>
              <w:jc w:val="center"/>
              <w:rPr>
                <w:rFonts w:eastAsia="Times New Roman"/>
                <w:bCs/>
                <w:color w:val="000000"/>
              </w:rPr>
            </w:pPr>
            <w:r w:rsidRPr="00522ABB">
              <w:rPr>
                <w:rFonts w:eastAsia="Times New Roman"/>
                <w:bCs/>
                <w:color w:val="000000"/>
              </w:rPr>
              <w:t>V</w:t>
            </w:r>
          </w:p>
        </w:tc>
        <w:tc>
          <w:tcPr>
            <w:tcW w:w="2208" w:type="dxa"/>
            <w:shd w:val="clear" w:color="auto" w:fill="auto"/>
            <w:tcMar>
              <w:top w:w="15" w:type="dxa"/>
              <w:left w:w="15" w:type="dxa"/>
              <w:bottom w:w="15" w:type="dxa"/>
              <w:right w:w="15" w:type="dxa"/>
            </w:tcMar>
            <w:vAlign w:val="bottom"/>
            <w:hideMark/>
          </w:tcPr>
          <w:p w14:paraId="27A6E524" w14:textId="77777777" w:rsidR="008D4B8A" w:rsidRPr="0076210D" w:rsidRDefault="008D4B8A" w:rsidP="007D46E4">
            <w:pPr>
              <w:spacing w:after="0"/>
              <w:jc w:val="right"/>
              <w:rPr>
                <w:rFonts w:ascii="Calibri" w:eastAsia="Times New Roman" w:hAnsi="Calibri" w:cs="Calibri"/>
                <w:color w:val="000000"/>
              </w:rPr>
            </w:pPr>
            <w:r>
              <w:rPr>
                <w:rFonts w:ascii="Calibri" w:hAnsi="Calibri" w:cs="Calibri"/>
                <w:color w:val="000000"/>
              </w:rPr>
              <w:t>39,86%</w:t>
            </w:r>
          </w:p>
        </w:tc>
        <w:tc>
          <w:tcPr>
            <w:tcW w:w="2128" w:type="dxa"/>
            <w:shd w:val="clear" w:color="auto" w:fill="auto"/>
            <w:tcMar>
              <w:top w:w="15" w:type="dxa"/>
              <w:left w:w="15" w:type="dxa"/>
              <w:bottom w:w="15" w:type="dxa"/>
              <w:right w:w="15" w:type="dxa"/>
            </w:tcMar>
            <w:vAlign w:val="bottom"/>
            <w:hideMark/>
          </w:tcPr>
          <w:p w14:paraId="48B151B9" w14:textId="77777777" w:rsidR="008D4B8A" w:rsidRPr="0076210D" w:rsidRDefault="008D4B8A" w:rsidP="007D46E4">
            <w:pPr>
              <w:spacing w:after="0"/>
              <w:jc w:val="right"/>
              <w:rPr>
                <w:rFonts w:eastAsia="Times New Roman"/>
                <w:color w:val="000000"/>
              </w:rPr>
            </w:pPr>
            <w:r>
              <w:rPr>
                <w:rFonts w:ascii="Calibri" w:hAnsi="Calibri" w:cs="Calibri"/>
                <w:color w:val="000000"/>
              </w:rPr>
              <w:t>45,50%</w:t>
            </w:r>
          </w:p>
        </w:tc>
        <w:tc>
          <w:tcPr>
            <w:tcW w:w="2408" w:type="dxa"/>
            <w:shd w:val="clear" w:color="auto" w:fill="auto"/>
            <w:tcMar>
              <w:top w:w="15" w:type="dxa"/>
              <w:left w:w="15" w:type="dxa"/>
              <w:bottom w:w="15" w:type="dxa"/>
              <w:right w:w="15" w:type="dxa"/>
            </w:tcMar>
            <w:vAlign w:val="bottom"/>
            <w:hideMark/>
          </w:tcPr>
          <w:p w14:paraId="5598F029" w14:textId="77777777" w:rsidR="008D4B8A" w:rsidRPr="0076210D" w:rsidRDefault="008D4B8A" w:rsidP="007D46E4">
            <w:pPr>
              <w:spacing w:after="0"/>
              <w:jc w:val="right"/>
              <w:rPr>
                <w:rFonts w:eastAsia="Times New Roman"/>
                <w:color w:val="000000"/>
              </w:rPr>
            </w:pPr>
            <w:r>
              <w:rPr>
                <w:rFonts w:ascii="Calibri" w:hAnsi="Calibri" w:cs="Calibri"/>
                <w:color w:val="000000"/>
              </w:rPr>
              <w:t>52,73%</w:t>
            </w:r>
          </w:p>
        </w:tc>
      </w:tr>
      <w:tr w:rsidR="008D4B8A" w:rsidRPr="0076210D" w14:paraId="00DAA8AD" w14:textId="77777777" w:rsidTr="00202E8A">
        <w:trPr>
          <w:trHeight w:val="288"/>
        </w:trPr>
        <w:tc>
          <w:tcPr>
            <w:tcW w:w="0" w:type="auto"/>
            <w:tcMar>
              <w:top w:w="15" w:type="dxa"/>
              <w:left w:w="15" w:type="dxa"/>
              <w:bottom w:w="15" w:type="dxa"/>
              <w:right w:w="15" w:type="dxa"/>
            </w:tcMar>
            <w:vAlign w:val="bottom"/>
            <w:hideMark/>
          </w:tcPr>
          <w:p w14:paraId="72A2C179" w14:textId="77777777" w:rsidR="008D4B8A" w:rsidRPr="0076210D" w:rsidRDefault="008D4B8A" w:rsidP="007D46E4">
            <w:pPr>
              <w:spacing w:after="0"/>
              <w:rPr>
                <w:rFonts w:ascii="Times New Roman" w:eastAsia="Times New Roman" w:hAnsi="Times New Roman" w:cs="Times New Roman"/>
                <w:sz w:val="20"/>
                <w:szCs w:val="20"/>
              </w:rPr>
            </w:pPr>
          </w:p>
        </w:tc>
        <w:tc>
          <w:tcPr>
            <w:tcW w:w="2208" w:type="dxa"/>
            <w:tcMar>
              <w:top w:w="15" w:type="dxa"/>
              <w:left w:w="15" w:type="dxa"/>
              <w:bottom w:w="15" w:type="dxa"/>
              <w:right w:w="15" w:type="dxa"/>
            </w:tcMar>
            <w:vAlign w:val="bottom"/>
            <w:hideMark/>
          </w:tcPr>
          <w:p w14:paraId="68E530D9" w14:textId="77777777" w:rsidR="008D4B8A" w:rsidRPr="0076210D" w:rsidRDefault="008D4B8A" w:rsidP="007D46E4">
            <w:pPr>
              <w:spacing w:after="0"/>
              <w:jc w:val="right"/>
              <w:rPr>
                <w:rFonts w:ascii="Times New Roman" w:eastAsia="Times New Roman" w:hAnsi="Times New Roman" w:cs="Times New Roman"/>
                <w:sz w:val="20"/>
                <w:szCs w:val="20"/>
              </w:rPr>
            </w:pPr>
          </w:p>
        </w:tc>
        <w:tc>
          <w:tcPr>
            <w:tcW w:w="2128" w:type="dxa"/>
            <w:tcMar>
              <w:top w:w="15" w:type="dxa"/>
              <w:left w:w="15" w:type="dxa"/>
              <w:bottom w:w="15" w:type="dxa"/>
              <w:right w:w="15" w:type="dxa"/>
            </w:tcMar>
            <w:vAlign w:val="bottom"/>
            <w:hideMark/>
          </w:tcPr>
          <w:p w14:paraId="3B8FD245" w14:textId="77777777" w:rsidR="008D4B8A" w:rsidRPr="0076210D" w:rsidRDefault="008D4B8A" w:rsidP="007D46E4">
            <w:pPr>
              <w:spacing w:after="0"/>
              <w:jc w:val="right"/>
              <w:rPr>
                <w:rFonts w:ascii="Times New Roman" w:eastAsia="Times New Roman" w:hAnsi="Times New Roman" w:cs="Times New Roman"/>
                <w:sz w:val="20"/>
                <w:szCs w:val="20"/>
              </w:rPr>
            </w:pPr>
          </w:p>
        </w:tc>
        <w:tc>
          <w:tcPr>
            <w:tcW w:w="2408" w:type="dxa"/>
            <w:tcMar>
              <w:top w:w="15" w:type="dxa"/>
              <w:left w:w="15" w:type="dxa"/>
              <w:bottom w:w="15" w:type="dxa"/>
              <w:right w:w="15" w:type="dxa"/>
            </w:tcMar>
            <w:vAlign w:val="bottom"/>
            <w:hideMark/>
          </w:tcPr>
          <w:p w14:paraId="178267F4" w14:textId="77777777" w:rsidR="008D4B8A" w:rsidRPr="0076210D" w:rsidRDefault="008D4B8A" w:rsidP="007D46E4">
            <w:pPr>
              <w:spacing w:after="0"/>
              <w:jc w:val="right"/>
              <w:rPr>
                <w:rFonts w:ascii="Times New Roman" w:eastAsia="Times New Roman" w:hAnsi="Times New Roman" w:cs="Times New Roman"/>
                <w:sz w:val="20"/>
                <w:szCs w:val="20"/>
              </w:rPr>
            </w:pPr>
          </w:p>
        </w:tc>
      </w:tr>
      <w:tr w:rsidR="008D4B8A" w:rsidRPr="0076210D" w14:paraId="7A88EB18" w14:textId="77777777" w:rsidTr="00202E8A">
        <w:trPr>
          <w:trHeight w:val="288"/>
        </w:trPr>
        <w:tc>
          <w:tcPr>
            <w:tcW w:w="0" w:type="auto"/>
            <w:tcMar>
              <w:top w:w="15" w:type="dxa"/>
              <w:left w:w="15" w:type="dxa"/>
              <w:bottom w:w="15" w:type="dxa"/>
              <w:right w:w="15" w:type="dxa"/>
            </w:tcMar>
            <w:vAlign w:val="bottom"/>
            <w:hideMark/>
          </w:tcPr>
          <w:p w14:paraId="5F85AEB1" w14:textId="424F3EBD" w:rsidR="008D4B8A" w:rsidRPr="0076210D" w:rsidRDefault="008D4B8A" w:rsidP="007D46E4">
            <w:pPr>
              <w:spacing w:after="0"/>
              <w:rPr>
                <w:rFonts w:ascii="Calibri" w:eastAsia="Times New Roman" w:hAnsi="Calibri" w:cs="Calibri"/>
                <w:color w:val="000000"/>
                <w:u w:val="single"/>
              </w:rPr>
            </w:pPr>
            <w:r>
              <w:rPr>
                <w:color w:val="000000"/>
                <w:u w:val="single"/>
              </w:rPr>
              <w:t>Zelfstandigen</w:t>
            </w:r>
          </w:p>
        </w:tc>
        <w:tc>
          <w:tcPr>
            <w:tcW w:w="2208" w:type="dxa"/>
            <w:tcMar>
              <w:top w:w="15" w:type="dxa"/>
              <w:left w:w="15" w:type="dxa"/>
              <w:bottom w:w="15" w:type="dxa"/>
              <w:right w:w="15" w:type="dxa"/>
            </w:tcMar>
            <w:vAlign w:val="bottom"/>
            <w:hideMark/>
          </w:tcPr>
          <w:p w14:paraId="268B9ED6" w14:textId="77777777" w:rsidR="008D4B8A" w:rsidRPr="0076210D" w:rsidRDefault="008D4B8A" w:rsidP="007D46E4">
            <w:pPr>
              <w:spacing w:after="0"/>
              <w:jc w:val="right"/>
              <w:rPr>
                <w:rFonts w:ascii="Times New Roman" w:eastAsia="Times New Roman" w:hAnsi="Times New Roman" w:cs="Times New Roman"/>
                <w:sz w:val="20"/>
                <w:szCs w:val="20"/>
              </w:rPr>
            </w:pPr>
          </w:p>
        </w:tc>
        <w:tc>
          <w:tcPr>
            <w:tcW w:w="2128" w:type="dxa"/>
            <w:tcMar>
              <w:top w:w="15" w:type="dxa"/>
              <w:left w:w="15" w:type="dxa"/>
              <w:bottom w:w="15" w:type="dxa"/>
              <w:right w:w="15" w:type="dxa"/>
            </w:tcMar>
            <w:vAlign w:val="bottom"/>
            <w:hideMark/>
          </w:tcPr>
          <w:p w14:paraId="55593136" w14:textId="77777777" w:rsidR="008D4B8A" w:rsidRPr="0076210D" w:rsidRDefault="008D4B8A" w:rsidP="007D46E4">
            <w:pPr>
              <w:spacing w:after="0"/>
              <w:jc w:val="right"/>
              <w:rPr>
                <w:rFonts w:ascii="Times New Roman" w:eastAsia="Times New Roman" w:hAnsi="Times New Roman" w:cs="Times New Roman"/>
                <w:sz w:val="20"/>
                <w:szCs w:val="20"/>
              </w:rPr>
            </w:pPr>
          </w:p>
        </w:tc>
        <w:tc>
          <w:tcPr>
            <w:tcW w:w="2408" w:type="dxa"/>
            <w:tcMar>
              <w:top w:w="15" w:type="dxa"/>
              <w:left w:w="15" w:type="dxa"/>
              <w:bottom w:w="15" w:type="dxa"/>
              <w:right w:w="15" w:type="dxa"/>
            </w:tcMar>
            <w:vAlign w:val="bottom"/>
            <w:hideMark/>
          </w:tcPr>
          <w:p w14:paraId="59C1CAAB" w14:textId="77777777" w:rsidR="008D4B8A" w:rsidRPr="0076210D" w:rsidRDefault="008D4B8A" w:rsidP="007D46E4">
            <w:pPr>
              <w:spacing w:after="0"/>
              <w:jc w:val="right"/>
              <w:rPr>
                <w:rFonts w:ascii="Times New Roman" w:eastAsia="Times New Roman" w:hAnsi="Times New Roman" w:cs="Times New Roman"/>
                <w:sz w:val="20"/>
                <w:szCs w:val="20"/>
              </w:rPr>
            </w:pPr>
          </w:p>
        </w:tc>
      </w:tr>
      <w:tr w:rsidR="008D4B8A" w:rsidRPr="0076210D" w14:paraId="55C374BD" w14:textId="77777777" w:rsidTr="00202E8A">
        <w:trPr>
          <w:trHeight w:val="288"/>
        </w:trPr>
        <w:tc>
          <w:tcPr>
            <w:tcW w:w="0" w:type="auto"/>
            <w:tcMar>
              <w:top w:w="15" w:type="dxa"/>
              <w:left w:w="15" w:type="dxa"/>
              <w:bottom w:w="15" w:type="dxa"/>
              <w:right w:w="15" w:type="dxa"/>
            </w:tcMar>
            <w:vAlign w:val="bottom"/>
            <w:hideMark/>
          </w:tcPr>
          <w:p w14:paraId="71AFE3EA" w14:textId="77777777" w:rsidR="008D4B8A" w:rsidRPr="0076210D" w:rsidRDefault="008D4B8A" w:rsidP="007D46E4">
            <w:pPr>
              <w:spacing w:after="0"/>
              <w:rPr>
                <w:rFonts w:ascii="Times New Roman" w:eastAsia="Times New Roman" w:hAnsi="Times New Roman" w:cs="Times New Roman"/>
                <w:sz w:val="20"/>
                <w:szCs w:val="20"/>
              </w:rPr>
            </w:pPr>
          </w:p>
        </w:tc>
        <w:tc>
          <w:tcPr>
            <w:tcW w:w="2208" w:type="dxa"/>
            <w:tcMar>
              <w:top w:w="15" w:type="dxa"/>
              <w:left w:w="15" w:type="dxa"/>
              <w:bottom w:w="15" w:type="dxa"/>
              <w:right w:w="15" w:type="dxa"/>
            </w:tcMar>
            <w:vAlign w:val="bottom"/>
            <w:hideMark/>
          </w:tcPr>
          <w:p w14:paraId="03C76CF1" w14:textId="77777777" w:rsidR="008D4B8A" w:rsidRPr="0076210D" w:rsidRDefault="008D4B8A" w:rsidP="007D46E4">
            <w:pPr>
              <w:spacing w:after="0"/>
              <w:jc w:val="right"/>
              <w:rPr>
                <w:rFonts w:ascii="Calibri" w:eastAsia="Times New Roman" w:hAnsi="Calibri" w:cs="Calibri"/>
                <w:b/>
                <w:bCs/>
                <w:color w:val="000000"/>
              </w:rPr>
            </w:pPr>
            <w:r>
              <w:rPr>
                <w:rFonts w:ascii="Calibri" w:eastAsia="Times New Roman" w:hAnsi="Calibri" w:cs="Calibri"/>
                <w:b/>
                <w:bCs/>
                <w:color w:val="000000"/>
              </w:rPr>
              <w:t>67%</w:t>
            </w:r>
          </w:p>
        </w:tc>
        <w:tc>
          <w:tcPr>
            <w:tcW w:w="2128" w:type="dxa"/>
            <w:tcMar>
              <w:top w:w="15" w:type="dxa"/>
              <w:left w:w="15" w:type="dxa"/>
              <w:bottom w:w="15" w:type="dxa"/>
              <w:right w:w="15" w:type="dxa"/>
            </w:tcMar>
            <w:vAlign w:val="bottom"/>
            <w:hideMark/>
          </w:tcPr>
          <w:p w14:paraId="14AB0071" w14:textId="77777777" w:rsidR="008D4B8A" w:rsidRPr="0076210D" w:rsidRDefault="008D4B8A" w:rsidP="007D46E4">
            <w:pPr>
              <w:spacing w:after="0"/>
              <w:jc w:val="right"/>
              <w:rPr>
                <w:rFonts w:eastAsia="Times New Roman"/>
                <w:b/>
                <w:bCs/>
                <w:color w:val="000000"/>
              </w:rPr>
            </w:pPr>
            <w:r>
              <w:rPr>
                <w:rFonts w:eastAsia="Times New Roman"/>
                <w:b/>
                <w:bCs/>
                <w:color w:val="000000"/>
              </w:rPr>
              <w:t>100%</w:t>
            </w:r>
          </w:p>
        </w:tc>
        <w:tc>
          <w:tcPr>
            <w:tcW w:w="2408" w:type="dxa"/>
            <w:tcMar>
              <w:top w:w="15" w:type="dxa"/>
              <w:left w:w="15" w:type="dxa"/>
              <w:bottom w:w="15" w:type="dxa"/>
              <w:right w:w="15" w:type="dxa"/>
            </w:tcMar>
            <w:vAlign w:val="bottom"/>
            <w:hideMark/>
          </w:tcPr>
          <w:p w14:paraId="7F3CACF0" w14:textId="77777777" w:rsidR="008D4B8A" w:rsidRPr="0076210D" w:rsidRDefault="008D4B8A" w:rsidP="007D46E4">
            <w:pPr>
              <w:spacing w:after="0"/>
              <w:jc w:val="right"/>
              <w:rPr>
                <w:rFonts w:eastAsia="Times New Roman"/>
                <w:b/>
                <w:bCs/>
                <w:color w:val="000000"/>
              </w:rPr>
            </w:pPr>
            <w:r>
              <w:rPr>
                <w:rFonts w:eastAsia="Times New Roman"/>
                <w:b/>
                <w:bCs/>
                <w:color w:val="000000"/>
              </w:rPr>
              <w:t>167%</w:t>
            </w:r>
          </w:p>
        </w:tc>
      </w:tr>
      <w:tr w:rsidR="008D4B8A" w:rsidRPr="0076210D" w14:paraId="3BD4C445" w14:textId="77777777" w:rsidTr="00202E8A">
        <w:trPr>
          <w:trHeight w:val="288"/>
        </w:trPr>
        <w:tc>
          <w:tcPr>
            <w:tcW w:w="0" w:type="auto"/>
            <w:tcMar>
              <w:top w:w="15" w:type="dxa"/>
              <w:left w:w="15" w:type="dxa"/>
              <w:bottom w:w="15" w:type="dxa"/>
              <w:right w:w="15" w:type="dxa"/>
            </w:tcMar>
            <w:vAlign w:val="bottom"/>
            <w:hideMark/>
          </w:tcPr>
          <w:p w14:paraId="466252BF" w14:textId="2D9ADDBD" w:rsidR="008D4B8A" w:rsidRPr="0076210D" w:rsidRDefault="008D4B8A" w:rsidP="002342E8">
            <w:pPr>
              <w:spacing w:after="0"/>
              <w:jc w:val="center"/>
              <w:rPr>
                <w:rFonts w:eastAsia="Times New Roman"/>
                <w:b/>
                <w:bCs/>
                <w:color w:val="000000"/>
              </w:rPr>
            </w:pPr>
            <w:r w:rsidRPr="0076210D">
              <w:rPr>
                <w:b/>
                <w:color w:val="000000"/>
              </w:rPr>
              <w:t>Bas</w:t>
            </w:r>
            <w:r>
              <w:rPr>
                <w:b/>
                <w:color w:val="000000"/>
              </w:rPr>
              <w:t>is</w:t>
            </w:r>
          </w:p>
        </w:tc>
        <w:tc>
          <w:tcPr>
            <w:tcW w:w="2208" w:type="dxa"/>
            <w:shd w:val="clear" w:color="auto" w:fill="auto"/>
            <w:tcMar>
              <w:top w:w="15" w:type="dxa"/>
              <w:left w:w="15" w:type="dxa"/>
              <w:bottom w:w="15" w:type="dxa"/>
              <w:right w:w="15" w:type="dxa"/>
            </w:tcMar>
            <w:vAlign w:val="bottom"/>
            <w:hideMark/>
          </w:tcPr>
          <w:p w14:paraId="450D4C4B" w14:textId="77777777" w:rsidR="008D4B8A" w:rsidRPr="0076210D" w:rsidRDefault="008D4B8A" w:rsidP="007D46E4">
            <w:pPr>
              <w:spacing w:after="0"/>
              <w:jc w:val="right"/>
              <w:rPr>
                <w:rFonts w:ascii="Calibri" w:eastAsia="Times New Roman" w:hAnsi="Calibri" w:cs="Calibri"/>
                <w:color w:val="000000"/>
              </w:rPr>
            </w:pPr>
            <w:r>
              <w:rPr>
                <w:rFonts w:ascii="Calibri" w:hAnsi="Calibri" w:cs="Calibri"/>
                <w:color w:val="000000"/>
              </w:rPr>
              <w:t>31,03%</w:t>
            </w:r>
          </w:p>
        </w:tc>
        <w:tc>
          <w:tcPr>
            <w:tcW w:w="2128" w:type="dxa"/>
            <w:shd w:val="clear" w:color="auto" w:fill="auto"/>
            <w:tcMar>
              <w:top w:w="15" w:type="dxa"/>
              <w:left w:w="15" w:type="dxa"/>
              <w:bottom w:w="15" w:type="dxa"/>
              <w:right w:w="15" w:type="dxa"/>
            </w:tcMar>
            <w:vAlign w:val="bottom"/>
            <w:hideMark/>
          </w:tcPr>
          <w:p w14:paraId="2A34AA18" w14:textId="77777777" w:rsidR="008D4B8A" w:rsidRPr="0076210D" w:rsidRDefault="008D4B8A" w:rsidP="007D46E4">
            <w:pPr>
              <w:spacing w:after="0"/>
              <w:jc w:val="right"/>
              <w:rPr>
                <w:rFonts w:eastAsia="Times New Roman"/>
                <w:color w:val="000000"/>
              </w:rPr>
            </w:pPr>
            <w:r>
              <w:rPr>
                <w:rFonts w:ascii="Calibri" w:hAnsi="Calibri" w:cs="Calibri"/>
                <w:color w:val="000000"/>
              </w:rPr>
              <w:t>38,66%</w:t>
            </w:r>
          </w:p>
        </w:tc>
        <w:tc>
          <w:tcPr>
            <w:tcW w:w="2408" w:type="dxa"/>
            <w:shd w:val="clear" w:color="auto" w:fill="auto"/>
            <w:tcMar>
              <w:top w:w="15" w:type="dxa"/>
              <w:left w:w="15" w:type="dxa"/>
              <w:bottom w:w="15" w:type="dxa"/>
              <w:right w:w="15" w:type="dxa"/>
            </w:tcMar>
            <w:vAlign w:val="bottom"/>
            <w:hideMark/>
          </w:tcPr>
          <w:p w14:paraId="416E342F" w14:textId="77777777" w:rsidR="008D4B8A" w:rsidRPr="0076210D" w:rsidRDefault="008D4B8A" w:rsidP="007D46E4">
            <w:pPr>
              <w:spacing w:after="0"/>
              <w:jc w:val="right"/>
              <w:rPr>
                <w:rFonts w:eastAsia="Times New Roman"/>
                <w:color w:val="000000"/>
              </w:rPr>
            </w:pPr>
            <w:r>
              <w:rPr>
                <w:rFonts w:ascii="Calibri" w:hAnsi="Calibri" w:cs="Calibri"/>
                <w:color w:val="000000"/>
              </w:rPr>
              <w:t>46,27%</w:t>
            </w:r>
          </w:p>
        </w:tc>
      </w:tr>
      <w:tr w:rsidR="008D4B8A" w:rsidRPr="0076210D" w14:paraId="63740354" w14:textId="77777777" w:rsidTr="00202E8A">
        <w:trPr>
          <w:trHeight w:val="288"/>
        </w:trPr>
        <w:tc>
          <w:tcPr>
            <w:tcW w:w="0" w:type="auto"/>
            <w:tcMar>
              <w:top w:w="15" w:type="dxa"/>
              <w:left w:w="15" w:type="dxa"/>
              <w:bottom w:w="15" w:type="dxa"/>
              <w:right w:w="15" w:type="dxa"/>
            </w:tcMar>
            <w:vAlign w:val="bottom"/>
            <w:hideMark/>
          </w:tcPr>
          <w:p w14:paraId="6C7A52B2" w14:textId="477FA81E" w:rsidR="008D4B8A" w:rsidRPr="00CA6EB5" w:rsidRDefault="002342E8" w:rsidP="002342E8">
            <w:pPr>
              <w:spacing w:after="0"/>
              <w:jc w:val="center"/>
              <w:rPr>
                <w:rFonts w:eastAsia="Times New Roman"/>
                <w:color w:val="000000"/>
              </w:rPr>
            </w:pPr>
            <w:r w:rsidRPr="00CA6EB5">
              <w:rPr>
                <w:rFonts w:eastAsia="Times New Roman"/>
                <w:color w:val="000000"/>
              </w:rPr>
              <w:t>I</w:t>
            </w:r>
          </w:p>
        </w:tc>
        <w:tc>
          <w:tcPr>
            <w:tcW w:w="2208" w:type="dxa"/>
            <w:shd w:val="clear" w:color="auto" w:fill="auto"/>
            <w:tcMar>
              <w:top w:w="15" w:type="dxa"/>
              <w:left w:w="15" w:type="dxa"/>
              <w:bottom w:w="15" w:type="dxa"/>
              <w:right w:w="15" w:type="dxa"/>
            </w:tcMar>
            <w:vAlign w:val="bottom"/>
            <w:hideMark/>
          </w:tcPr>
          <w:p w14:paraId="2BC36961" w14:textId="77777777" w:rsidR="008D4B8A" w:rsidRPr="0076210D" w:rsidRDefault="008D4B8A" w:rsidP="007D46E4">
            <w:pPr>
              <w:spacing w:after="0"/>
              <w:jc w:val="right"/>
              <w:rPr>
                <w:rFonts w:ascii="Calibri" w:eastAsia="Times New Roman" w:hAnsi="Calibri" w:cs="Calibri"/>
                <w:color w:val="000000"/>
              </w:rPr>
            </w:pPr>
            <w:r>
              <w:rPr>
                <w:rFonts w:ascii="Calibri" w:hAnsi="Calibri" w:cs="Calibri"/>
                <w:color w:val="000000"/>
              </w:rPr>
              <w:t>29,98%</w:t>
            </w:r>
          </w:p>
        </w:tc>
        <w:tc>
          <w:tcPr>
            <w:tcW w:w="2128" w:type="dxa"/>
            <w:shd w:val="clear" w:color="auto" w:fill="auto"/>
            <w:tcMar>
              <w:top w:w="15" w:type="dxa"/>
              <w:left w:w="15" w:type="dxa"/>
              <w:bottom w:w="15" w:type="dxa"/>
              <w:right w:w="15" w:type="dxa"/>
            </w:tcMar>
            <w:vAlign w:val="bottom"/>
            <w:hideMark/>
          </w:tcPr>
          <w:p w14:paraId="02AE8BAE" w14:textId="77777777" w:rsidR="008D4B8A" w:rsidRPr="0076210D" w:rsidRDefault="008D4B8A" w:rsidP="007D46E4">
            <w:pPr>
              <w:spacing w:after="0"/>
              <w:jc w:val="right"/>
              <w:rPr>
                <w:rFonts w:eastAsia="Times New Roman"/>
                <w:color w:val="000000"/>
              </w:rPr>
            </w:pPr>
            <w:r>
              <w:rPr>
                <w:rFonts w:ascii="Calibri" w:hAnsi="Calibri" w:cs="Calibri"/>
                <w:color w:val="000000"/>
              </w:rPr>
              <w:t>37,85%</w:t>
            </w:r>
          </w:p>
        </w:tc>
        <w:tc>
          <w:tcPr>
            <w:tcW w:w="2408" w:type="dxa"/>
            <w:shd w:val="clear" w:color="auto" w:fill="auto"/>
            <w:tcMar>
              <w:top w:w="15" w:type="dxa"/>
              <w:left w:w="15" w:type="dxa"/>
              <w:bottom w:w="15" w:type="dxa"/>
              <w:right w:w="15" w:type="dxa"/>
            </w:tcMar>
            <w:vAlign w:val="bottom"/>
            <w:hideMark/>
          </w:tcPr>
          <w:p w14:paraId="7D3132BA" w14:textId="77777777" w:rsidR="008D4B8A" w:rsidRPr="0076210D" w:rsidRDefault="008D4B8A" w:rsidP="007D46E4">
            <w:pPr>
              <w:spacing w:after="0"/>
              <w:jc w:val="right"/>
              <w:rPr>
                <w:rFonts w:eastAsia="Times New Roman"/>
                <w:color w:val="000000"/>
              </w:rPr>
            </w:pPr>
            <w:r>
              <w:rPr>
                <w:rFonts w:ascii="Calibri" w:hAnsi="Calibri" w:cs="Calibri"/>
                <w:color w:val="000000"/>
              </w:rPr>
              <w:t>45,67%</w:t>
            </w:r>
          </w:p>
        </w:tc>
      </w:tr>
      <w:tr w:rsidR="008D4B8A" w:rsidRPr="0076210D" w14:paraId="0E9F096C" w14:textId="77777777" w:rsidTr="00202E8A">
        <w:trPr>
          <w:trHeight w:val="288"/>
        </w:trPr>
        <w:tc>
          <w:tcPr>
            <w:tcW w:w="0" w:type="auto"/>
            <w:tcMar>
              <w:top w:w="15" w:type="dxa"/>
              <w:left w:w="15" w:type="dxa"/>
              <w:bottom w:w="15" w:type="dxa"/>
              <w:right w:w="15" w:type="dxa"/>
            </w:tcMar>
            <w:vAlign w:val="bottom"/>
            <w:hideMark/>
          </w:tcPr>
          <w:p w14:paraId="74B0A4B9" w14:textId="442DC73C" w:rsidR="008D4B8A" w:rsidRPr="00CA6EB5" w:rsidRDefault="002342E8" w:rsidP="002342E8">
            <w:pPr>
              <w:spacing w:after="0"/>
              <w:jc w:val="center"/>
              <w:rPr>
                <w:rFonts w:eastAsia="Times New Roman"/>
                <w:color w:val="000000"/>
              </w:rPr>
            </w:pPr>
            <w:r w:rsidRPr="00CA6EB5">
              <w:rPr>
                <w:rFonts w:eastAsia="Times New Roman"/>
                <w:color w:val="000000"/>
              </w:rPr>
              <w:t>II</w:t>
            </w:r>
          </w:p>
        </w:tc>
        <w:tc>
          <w:tcPr>
            <w:tcW w:w="2208" w:type="dxa"/>
            <w:shd w:val="clear" w:color="auto" w:fill="auto"/>
            <w:tcMar>
              <w:top w:w="15" w:type="dxa"/>
              <w:left w:w="15" w:type="dxa"/>
              <w:bottom w:w="15" w:type="dxa"/>
              <w:right w:w="15" w:type="dxa"/>
            </w:tcMar>
            <w:vAlign w:val="bottom"/>
            <w:hideMark/>
          </w:tcPr>
          <w:p w14:paraId="37AC4D09" w14:textId="77777777" w:rsidR="008D4B8A" w:rsidRPr="0076210D" w:rsidRDefault="008D4B8A" w:rsidP="007D46E4">
            <w:pPr>
              <w:spacing w:after="0"/>
              <w:jc w:val="right"/>
              <w:rPr>
                <w:rFonts w:ascii="Calibri" w:eastAsia="Times New Roman" w:hAnsi="Calibri" w:cs="Calibri"/>
                <w:color w:val="000000"/>
              </w:rPr>
            </w:pPr>
            <w:r>
              <w:rPr>
                <w:rFonts w:ascii="Calibri" w:hAnsi="Calibri" w:cs="Calibri"/>
                <w:color w:val="000000"/>
              </w:rPr>
              <w:t>28,97%</w:t>
            </w:r>
          </w:p>
        </w:tc>
        <w:tc>
          <w:tcPr>
            <w:tcW w:w="2128" w:type="dxa"/>
            <w:shd w:val="clear" w:color="auto" w:fill="auto"/>
            <w:tcMar>
              <w:top w:w="15" w:type="dxa"/>
              <w:left w:w="15" w:type="dxa"/>
              <w:bottom w:w="15" w:type="dxa"/>
              <w:right w:w="15" w:type="dxa"/>
            </w:tcMar>
            <w:vAlign w:val="bottom"/>
            <w:hideMark/>
          </w:tcPr>
          <w:p w14:paraId="6814279C" w14:textId="77777777" w:rsidR="008D4B8A" w:rsidRPr="0076210D" w:rsidRDefault="008D4B8A" w:rsidP="007D46E4">
            <w:pPr>
              <w:spacing w:after="0"/>
              <w:jc w:val="right"/>
              <w:rPr>
                <w:rFonts w:eastAsia="Times New Roman"/>
                <w:color w:val="000000"/>
              </w:rPr>
            </w:pPr>
            <w:r>
              <w:rPr>
                <w:rFonts w:ascii="Calibri" w:hAnsi="Calibri" w:cs="Calibri"/>
                <w:color w:val="000000"/>
              </w:rPr>
              <w:t>36,94%</w:t>
            </w:r>
          </w:p>
        </w:tc>
        <w:tc>
          <w:tcPr>
            <w:tcW w:w="2408" w:type="dxa"/>
            <w:shd w:val="clear" w:color="auto" w:fill="auto"/>
            <w:tcMar>
              <w:top w:w="15" w:type="dxa"/>
              <w:left w:w="15" w:type="dxa"/>
              <w:bottom w:w="15" w:type="dxa"/>
              <w:right w:w="15" w:type="dxa"/>
            </w:tcMar>
            <w:vAlign w:val="bottom"/>
            <w:hideMark/>
          </w:tcPr>
          <w:p w14:paraId="6840879A" w14:textId="77777777" w:rsidR="008D4B8A" w:rsidRPr="0076210D" w:rsidRDefault="008D4B8A" w:rsidP="007D46E4">
            <w:pPr>
              <w:spacing w:after="0"/>
              <w:jc w:val="right"/>
              <w:rPr>
                <w:rFonts w:eastAsia="Times New Roman"/>
                <w:color w:val="000000"/>
              </w:rPr>
            </w:pPr>
            <w:r>
              <w:rPr>
                <w:rFonts w:ascii="Calibri" w:hAnsi="Calibri" w:cs="Calibri"/>
                <w:color w:val="000000"/>
              </w:rPr>
              <w:t>44,99%</w:t>
            </w:r>
          </w:p>
        </w:tc>
      </w:tr>
      <w:tr w:rsidR="008D4B8A" w:rsidRPr="0076210D" w14:paraId="0F87E852" w14:textId="77777777" w:rsidTr="00202E8A">
        <w:trPr>
          <w:trHeight w:val="288"/>
        </w:trPr>
        <w:tc>
          <w:tcPr>
            <w:tcW w:w="0" w:type="auto"/>
            <w:tcMar>
              <w:top w:w="15" w:type="dxa"/>
              <w:left w:w="15" w:type="dxa"/>
              <w:bottom w:w="15" w:type="dxa"/>
              <w:right w:w="15" w:type="dxa"/>
            </w:tcMar>
            <w:vAlign w:val="bottom"/>
            <w:hideMark/>
          </w:tcPr>
          <w:p w14:paraId="06392BFC" w14:textId="695DFC5A" w:rsidR="008D4B8A" w:rsidRPr="00CA6EB5" w:rsidRDefault="002342E8" w:rsidP="002342E8">
            <w:pPr>
              <w:spacing w:after="0"/>
              <w:jc w:val="center"/>
              <w:rPr>
                <w:rFonts w:eastAsia="Times New Roman"/>
                <w:color w:val="000000"/>
              </w:rPr>
            </w:pPr>
            <w:r w:rsidRPr="00CA6EB5">
              <w:rPr>
                <w:rFonts w:eastAsia="Times New Roman"/>
                <w:color w:val="000000"/>
              </w:rPr>
              <w:t>III</w:t>
            </w:r>
          </w:p>
        </w:tc>
        <w:tc>
          <w:tcPr>
            <w:tcW w:w="2208" w:type="dxa"/>
            <w:shd w:val="clear" w:color="auto" w:fill="auto"/>
            <w:tcMar>
              <w:top w:w="15" w:type="dxa"/>
              <w:left w:w="15" w:type="dxa"/>
              <w:bottom w:w="15" w:type="dxa"/>
              <w:right w:w="15" w:type="dxa"/>
            </w:tcMar>
            <w:vAlign w:val="bottom"/>
            <w:hideMark/>
          </w:tcPr>
          <w:p w14:paraId="5A591B6B" w14:textId="77777777" w:rsidR="008D4B8A" w:rsidRPr="0076210D" w:rsidRDefault="008D4B8A" w:rsidP="007D46E4">
            <w:pPr>
              <w:spacing w:after="0"/>
              <w:jc w:val="right"/>
              <w:rPr>
                <w:rFonts w:ascii="Calibri" w:eastAsia="Times New Roman" w:hAnsi="Calibri" w:cs="Calibri"/>
                <w:color w:val="000000"/>
              </w:rPr>
            </w:pPr>
            <w:r>
              <w:rPr>
                <w:rFonts w:ascii="Calibri" w:hAnsi="Calibri" w:cs="Calibri"/>
                <w:color w:val="000000"/>
              </w:rPr>
              <w:t>27,84%</w:t>
            </w:r>
          </w:p>
        </w:tc>
        <w:tc>
          <w:tcPr>
            <w:tcW w:w="2128" w:type="dxa"/>
            <w:shd w:val="clear" w:color="auto" w:fill="auto"/>
            <w:tcMar>
              <w:top w:w="15" w:type="dxa"/>
              <w:left w:w="15" w:type="dxa"/>
              <w:bottom w:w="15" w:type="dxa"/>
              <w:right w:w="15" w:type="dxa"/>
            </w:tcMar>
            <w:vAlign w:val="bottom"/>
            <w:hideMark/>
          </w:tcPr>
          <w:p w14:paraId="277DAC8B" w14:textId="77777777" w:rsidR="008D4B8A" w:rsidRPr="0076210D" w:rsidRDefault="008D4B8A" w:rsidP="007D46E4">
            <w:pPr>
              <w:spacing w:after="0"/>
              <w:jc w:val="right"/>
              <w:rPr>
                <w:rFonts w:eastAsia="Times New Roman"/>
                <w:color w:val="000000"/>
              </w:rPr>
            </w:pPr>
            <w:r>
              <w:rPr>
                <w:rFonts w:ascii="Calibri" w:hAnsi="Calibri" w:cs="Calibri"/>
                <w:color w:val="000000"/>
              </w:rPr>
              <w:t>35,93%</w:t>
            </w:r>
          </w:p>
        </w:tc>
        <w:tc>
          <w:tcPr>
            <w:tcW w:w="2408" w:type="dxa"/>
            <w:shd w:val="clear" w:color="auto" w:fill="auto"/>
            <w:tcMar>
              <w:top w:w="15" w:type="dxa"/>
              <w:left w:w="15" w:type="dxa"/>
              <w:bottom w:w="15" w:type="dxa"/>
              <w:right w:w="15" w:type="dxa"/>
            </w:tcMar>
            <w:vAlign w:val="bottom"/>
            <w:hideMark/>
          </w:tcPr>
          <w:p w14:paraId="1B510DB7" w14:textId="77777777" w:rsidR="008D4B8A" w:rsidRPr="0076210D" w:rsidRDefault="008D4B8A" w:rsidP="007D46E4">
            <w:pPr>
              <w:spacing w:after="0"/>
              <w:jc w:val="right"/>
              <w:rPr>
                <w:rFonts w:eastAsia="Times New Roman"/>
                <w:color w:val="000000"/>
              </w:rPr>
            </w:pPr>
            <w:r>
              <w:rPr>
                <w:rFonts w:ascii="Calibri" w:hAnsi="Calibri" w:cs="Calibri"/>
                <w:color w:val="000000"/>
              </w:rPr>
              <w:t>44,23%</w:t>
            </w:r>
          </w:p>
        </w:tc>
      </w:tr>
      <w:tr w:rsidR="008D4B8A" w:rsidRPr="0076210D" w14:paraId="036A236D" w14:textId="77777777" w:rsidTr="00202E8A">
        <w:trPr>
          <w:trHeight w:val="288"/>
        </w:trPr>
        <w:tc>
          <w:tcPr>
            <w:tcW w:w="0" w:type="auto"/>
            <w:tcMar>
              <w:top w:w="15" w:type="dxa"/>
              <w:left w:w="15" w:type="dxa"/>
              <w:bottom w:w="15" w:type="dxa"/>
              <w:right w:w="15" w:type="dxa"/>
            </w:tcMar>
            <w:vAlign w:val="bottom"/>
            <w:hideMark/>
          </w:tcPr>
          <w:p w14:paraId="6BE84629" w14:textId="76231CC3" w:rsidR="008D4B8A" w:rsidRPr="00CA6EB5" w:rsidRDefault="002342E8" w:rsidP="002342E8">
            <w:pPr>
              <w:spacing w:after="0"/>
              <w:jc w:val="center"/>
              <w:rPr>
                <w:rFonts w:eastAsia="Times New Roman"/>
                <w:color w:val="000000"/>
              </w:rPr>
            </w:pPr>
            <w:r w:rsidRPr="00CA6EB5">
              <w:rPr>
                <w:rFonts w:eastAsia="Times New Roman"/>
                <w:color w:val="000000"/>
              </w:rPr>
              <w:t>IV</w:t>
            </w:r>
          </w:p>
        </w:tc>
        <w:tc>
          <w:tcPr>
            <w:tcW w:w="2208" w:type="dxa"/>
            <w:shd w:val="clear" w:color="auto" w:fill="auto"/>
            <w:tcMar>
              <w:top w:w="15" w:type="dxa"/>
              <w:left w:w="15" w:type="dxa"/>
              <w:bottom w:w="15" w:type="dxa"/>
              <w:right w:w="15" w:type="dxa"/>
            </w:tcMar>
            <w:vAlign w:val="bottom"/>
            <w:hideMark/>
          </w:tcPr>
          <w:p w14:paraId="48D891D3" w14:textId="77777777" w:rsidR="008D4B8A" w:rsidRPr="0076210D" w:rsidRDefault="008D4B8A" w:rsidP="007D46E4">
            <w:pPr>
              <w:spacing w:after="0"/>
              <w:jc w:val="right"/>
              <w:rPr>
                <w:rFonts w:ascii="Calibri" w:eastAsia="Times New Roman" w:hAnsi="Calibri" w:cs="Calibri"/>
                <w:color w:val="000000"/>
              </w:rPr>
            </w:pPr>
            <w:r>
              <w:rPr>
                <w:rFonts w:ascii="Calibri" w:hAnsi="Calibri" w:cs="Calibri"/>
                <w:color w:val="000000"/>
              </w:rPr>
              <w:t>26,49%</w:t>
            </w:r>
          </w:p>
        </w:tc>
        <w:tc>
          <w:tcPr>
            <w:tcW w:w="2128" w:type="dxa"/>
            <w:shd w:val="clear" w:color="auto" w:fill="auto"/>
            <w:tcMar>
              <w:top w:w="15" w:type="dxa"/>
              <w:left w:w="15" w:type="dxa"/>
              <w:bottom w:w="15" w:type="dxa"/>
              <w:right w:w="15" w:type="dxa"/>
            </w:tcMar>
            <w:vAlign w:val="bottom"/>
            <w:hideMark/>
          </w:tcPr>
          <w:p w14:paraId="375F1A1A" w14:textId="77777777" w:rsidR="008D4B8A" w:rsidRPr="0076210D" w:rsidRDefault="008D4B8A" w:rsidP="007D46E4">
            <w:pPr>
              <w:spacing w:after="0"/>
              <w:jc w:val="right"/>
              <w:rPr>
                <w:rFonts w:eastAsia="Times New Roman"/>
                <w:color w:val="000000"/>
              </w:rPr>
            </w:pPr>
            <w:r>
              <w:rPr>
                <w:rFonts w:ascii="Calibri" w:hAnsi="Calibri" w:cs="Calibri"/>
                <w:color w:val="000000"/>
              </w:rPr>
              <w:t>34,72%</w:t>
            </w:r>
          </w:p>
        </w:tc>
        <w:tc>
          <w:tcPr>
            <w:tcW w:w="2408" w:type="dxa"/>
            <w:shd w:val="clear" w:color="auto" w:fill="auto"/>
            <w:tcMar>
              <w:top w:w="15" w:type="dxa"/>
              <w:left w:w="15" w:type="dxa"/>
              <w:bottom w:w="15" w:type="dxa"/>
              <w:right w:w="15" w:type="dxa"/>
            </w:tcMar>
            <w:vAlign w:val="bottom"/>
            <w:hideMark/>
          </w:tcPr>
          <w:p w14:paraId="5679381A" w14:textId="77777777" w:rsidR="008D4B8A" w:rsidRPr="0076210D" w:rsidRDefault="008D4B8A" w:rsidP="007D46E4">
            <w:pPr>
              <w:spacing w:after="0"/>
              <w:jc w:val="right"/>
              <w:rPr>
                <w:rFonts w:eastAsia="Times New Roman"/>
                <w:color w:val="000000"/>
              </w:rPr>
            </w:pPr>
            <w:r>
              <w:rPr>
                <w:rFonts w:ascii="Calibri" w:hAnsi="Calibri" w:cs="Calibri"/>
                <w:color w:val="000000"/>
              </w:rPr>
              <w:t>43,33%</w:t>
            </w:r>
          </w:p>
        </w:tc>
      </w:tr>
      <w:tr w:rsidR="008D4B8A" w:rsidRPr="0076210D" w14:paraId="1D073640" w14:textId="77777777" w:rsidTr="00202E8A">
        <w:trPr>
          <w:trHeight w:val="288"/>
        </w:trPr>
        <w:tc>
          <w:tcPr>
            <w:tcW w:w="0" w:type="auto"/>
            <w:tcMar>
              <w:top w:w="15" w:type="dxa"/>
              <w:left w:w="15" w:type="dxa"/>
              <w:bottom w:w="15" w:type="dxa"/>
              <w:right w:w="15" w:type="dxa"/>
            </w:tcMar>
            <w:vAlign w:val="bottom"/>
            <w:hideMark/>
          </w:tcPr>
          <w:p w14:paraId="19DDC83E" w14:textId="0154C1E8" w:rsidR="008D4B8A" w:rsidRPr="00CA6EB5" w:rsidRDefault="002342E8" w:rsidP="002342E8">
            <w:pPr>
              <w:spacing w:after="0"/>
              <w:jc w:val="center"/>
              <w:rPr>
                <w:rFonts w:eastAsia="Times New Roman"/>
                <w:color w:val="000000"/>
              </w:rPr>
            </w:pPr>
            <w:r w:rsidRPr="00CA6EB5">
              <w:rPr>
                <w:rFonts w:eastAsia="Times New Roman"/>
                <w:color w:val="000000"/>
              </w:rPr>
              <w:t>V</w:t>
            </w:r>
          </w:p>
        </w:tc>
        <w:tc>
          <w:tcPr>
            <w:tcW w:w="2208" w:type="dxa"/>
            <w:shd w:val="clear" w:color="auto" w:fill="auto"/>
            <w:tcMar>
              <w:top w:w="15" w:type="dxa"/>
              <w:left w:w="15" w:type="dxa"/>
              <w:bottom w:w="15" w:type="dxa"/>
              <w:right w:w="15" w:type="dxa"/>
            </w:tcMar>
            <w:vAlign w:val="bottom"/>
            <w:hideMark/>
          </w:tcPr>
          <w:p w14:paraId="6C57BC7A" w14:textId="77777777" w:rsidR="008D4B8A" w:rsidRPr="0076210D" w:rsidRDefault="008D4B8A" w:rsidP="007D46E4">
            <w:pPr>
              <w:spacing w:after="0"/>
              <w:jc w:val="right"/>
              <w:rPr>
                <w:rFonts w:ascii="Calibri" w:eastAsia="Times New Roman" w:hAnsi="Calibri" w:cs="Calibri"/>
                <w:color w:val="000000"/>
              </w:rPr>
            </w:pPr>
            <w:r>
              <w:rPr>
                <w:rFonts w:ascii="Calibri" w:hAnsi="Calibri" w:cs="Calibri"/>
                <w:color w:val="000000"/>
              </w:rPr>
              <w:t>25,99%</w:t>
            </w:r>
          </w:p>
        </w:tc>
        <w:tc>
          <w:tcPr>
            <w:tcW w:w="2128" w:type="dxa"/>
            <w:shd w:val="clear" w:color="auto" w:fill="auto"/>
            <w:tcMar>
              <w:top w:w="15" w:type="dxa"/>
              <w:left w:w="15" w:type="dxa"/>
              <w:bottom w:w="15" w:type="dxa"/>
              <w:right w:w="15" w:type="dxa"/>
            </w:tcMar>
            <w:vAlign w:val="bottom"/>
            <w:hideMark/>
          </w:tcPr>
          <w:p w14:paraId="7CE678DF" w14:textId="77777777" w:rsidR="008D4B8A" w:rsidRPr="0076210D" w:rsidRDefault="008D4B8A" w:rsidP="007D46E4">
            <w:pPr>
              <w:spacing w:after="0"/>
              <w:jc w:val="right"/>
              <w:rPr>
                <w:rFonts w:eastAsia="Times New Roman"/>
                <w:color w:val="000000"/>
              </w:rPr>
            </w:pPr>
            <w:r>
              <w:rPr>
                <w:rFonts w:ascii="Calibri" w:hAnsi="Calibri" w:cs="Calibri"/>
                <w:color w:val="000000"/>
              </w:rPr>
              <w:t>33,16%</w:t>
            </w:r>
          </w:p>
        </w:tc>
        <w:tc>
          <w:tcPr>
            <w:tcW w:w="2408" w:type="dxa"/>
            <w:shd w:val="clear" w:color="auto" w:fill="auto"/>
            <w:tcMar>
              <w:top w:w="15" w:type="dxa"/>
              <w:left w:w="15" w:type="dxa"/>
              <w:bottom w:w="15" w:type="dxa"/>
              <w:right w:w="15" w:type="dxa"/>
            </w:tcMar>
            <w:vAlign w:val="bottom"/>
            <w:hideMark/>
          </w:tcPr>
          <w:p w14:paraId="30B7FA39" w14:textId="77777777" w:rsidR="008D4B8A" w:rsidRPr="0076210D" w:rsidRDefault="008D4B8A" w:rsidP="007D46E4">
            <w:pPr>
              <w:spacing w:after="0"/>
              <w:jc w:val="right"/>
              <w:rPr>
                <w:rFonts w:eastAsia="Times New Roman"/>
                <w:color w:val="000000"/>
              </w:rPr>
            </w:pPr>
            <w:r>
              <w:rPr>
                <w:rFonts w:ascii="Calibri" w:hAnsi="Calibri" w:cs="Calibri"/>
                <w:color w:val="000000"/>
              </w:rPr>
              <w:t>42,16%</w:t>
            </w:r>
          </w:p>
        </w:tc>
      </w:tr>
    </w:tbl>
    <w:p w14:paraId="640E6860" w14:textId="59CFCC47" w:rsidR="009F148A" w:rsidRDefault="009F148A" w:rsidP="00EC0B02">
      <w:pPr>
        <w:spacing w:after="0"/>
        <w:jc w:val="both"/>
      </w:pPr>
    </w:p>
    <w:p w14:paraId="13DCB236" w14:textId="77777777" w:rsidR="007D46E4" w:rsidRDefault="007D46E4" w:rsidP="00EC0B02">
      <w:pPr>
        <w:spacing w:after="0"/>
        <w:jc w:val="both"/>
      </w:pPr>
    </w:p>
    <w:p w14:paraId="512A184C" w14:textId="39A94F1E" w:rsidR="00223F8A" w:rsidRDefault="00380F8C" w:rsidP="00EC0B02">
      <w:pPr>
        <w:spacing w:after="0"/>
        <w:ind w:left="709"/>
        <w:jc w:val="both"/>
      </w:pPr>
      <w:r>
        <w:t xml:space="preserve">De </w:t>
      </w:r>
      <w:r w:rsidR="000578E1">
        <w:t>volgende tabel illustreert voor een werknemer de impact op de ‘</w:t>
      </w:r>
      <w:r w:rsidR="00296F1A">
        <w:t xml:space="preserve">employee </w:t>
      </w:r>
      <w:r w:rsidR="000578E1">
        <w:t xml:space="preserve">net average tax rate’ </w:t>
      </w:r>
      <w:r w:rsidR="00296F1A">
        <w:t>(</w:t>
      </w:r>
      <w:r w:rsidR="00EC0B02">
        <w:t>zijnde de verhouding tussen de personenbelasting en de sociale bijdragen werknemer in verhouding tot het brutoloon):</w:t>
      </w:r>
    </w:p>
    <w:p w14:paraId="410156FC" w14:textId="119FB47B" w:rsidR="00223F8A" w:rsidRDefault="00223F8A" w:rsidP="00EC0B02">
      <w:pPr>
        <w:spacing w:after="0"/>
        <w:ind w:left="709"/>
        <w:jc w:val="both"/>
      </w:pPr>
    </w:p>
    <w:tbl>
      <w:tblPr>
        <w:tblStyle w:val="Tabelraster"/>
        <w:tblW w:w="0" w:type="auto"/>
        <w:tblInd w:w="704" w:type="dxa"/>
        <w:tblLook w:val="04A0" w:firstRow="1" w:lastRow="0" w:firstColumn="1" w:lastColumn="0" w:noHBand="0" w:noVBand="1"/>
      </w:tblPr>
      <w:tblGrid>
        <w:gridCol w:w="1369"/>
        <w:gridCol w:w="2175"/>
        <w:gridCol w:w="2126"/>
        <w:gridCol w:w="2410"/>
      </w:tblGrid>
      <w:tr w:rsidR="00D17924" w:rsidRPr="00244DB7" w14:paraId="570A015B" w14:textId="77777777" w:rsidTr="00202E8A">
        <w:trPr>
          <w:trHeight w:val="288"/>
        </w:trPr>
        <w:tc>
          <w:tcPr>
            <w:tcW w:w="1369" w:type="dxa"/>
            <w:noWrap/>
            <w:hideMark/>
          </w:tcPr>
          <w:p w14:paraId="21AAA28E" w14:textId="77777777" w:rsidR="00D17924" w:rsidRPr="00244DB7" w:rsidRDefault="00D17924" w:rsidP="007D46E4">
            <w:pPr>
              <w:spacing w:line="259" w:lineRule="auto"/>
              <w:jc w:val="both"/>
            </w:pPr>
            <w:bookmarkStart w:id="172" w:name="_Hlk106980831"/>
          </w:p>
        </w:tc>
        <w:tc>
          <w:tcPr>
            <w:tcW w:w="2175" w:type="dxa"/>
            <w:noWrap/>
            <w:hideMark/>
          </w:tcPr>
          <w:p w14:paraId="2A2AF150" w14:textId="77777777" w:rsidR="00D17924" w:rsidRPr="00244DB7" w:rsidRDefault="00D17924" w:rsidP="007D46E4">
            <w:pPr>
              <w:spacing w:line="259" w:lineRule="auto"/>
              <w:jc w:val="right"/>
              <w:rPr>
                <w:b/>
                <w:bCs/>
              </w:rPr>
            </w:pPr>
            <w:r w:rsidRPr="00244DB7">
              <w:rPr>
                <w:b/>
                <w:bCs/>
              </w:rPr>
              <w:t>67%</w:t>
            </w:r>
          </w:p>
        </w:tc>
        <w:tc>
          <w:tcPr>
            <w:tcW w:w="2126" w:type="dxa"/>
            <w:noWrap/>
            <w:hideMark/>
          </w:tcPr>
          <w:p w14:paraId="4C7847BA" w14:textId="77777777" w:rsidR="00D17924" w:rsidRPr="00244DB7" w:rsidRDefault="00D17924" w:rsidP="007D46E4">
            <w:pPr>
              <w:spacing w:line="259" w:lineRule="auto"/>
              <w:jc w:val="right"/>
              <w:rPr>
                <w:b/>
                <w:bCs/>
              </w:rPr>
            </w:pPr>
            <w:r w:rsidRPr="00244DB7">
              <w:rPr>
                <w:b/>
                <w:bCs/>
              </w:rPr>
              <w:t>100%</w:t>
            </w:r>
          </w:p>
        </w:tc>
        <w:tc>
          <w:tcPr>
            <w:tcW w:w="2410" w:type="dxa"/>
            <w:noWrap/>
            <w:hideMark/>
          </w:tcPr>
          <w:p w14:paraId="3D649738" w14:textId="77777777" w:rsidR="00D17924" w:rsidRPr="00244DB7" w:rsidRDefault="00D17924" w:rsidP="007D46E4">
            <w:pPr>
              <w:spacing w:line="259" w:lineRule="auto"/>
              <w:jc w:val="right"/>
              <w:rPr>
                <w:b/>
                <w:bCs/>
              </w:rPr>
            </w:pPr>
            <w:r w:rsidRPr="00244DB7">
              <w:rPr>
                <w:b/>
                <w:bCs/>
              </w:rPr>
              <w:t>167%</w:t>
            </w:r>
          </w:p>
        </w:tc>
      </w:tr>
      <w:tr w:rsidR="00D17924" w:rsidRPr="00244DB7" w14:paraId="7A1EAD44" w14:textId="77777777" w:rsidTr="00202E8A">
        <w:trPr>
          <w:trHeight w:val="288"/>
        </w:trPr>
        <w:tc>
          <w:tcPr>
            <w:tcW w:w="1369" w:type="dxa"/>
            <w:noWrap/>
            <w:hideMark/>
          </w:tcPr>
          <w:p w14:paraId="35E2DADF" w14:textId="6363654E" w:rsidR="00D17924" w:rsidRPr="00244DB7" w:rsidRDefault="00D17924" w:rsidP="002342E8">
            <w:pPr>
              <w:spacing w:line="259" w:lineRule="auto"/>
              <w:jc w:val="center"/>
              <w:rPr>
                <w:b/>
                <w:bCs/>
              </w:rPr>
            </w:pPr>
            <w:r>
              <w:rPr>
                <w:b/>
                <w:bCs/>
              </w:rPr>
              <w:t>Bas</w:t>
            </w:r>
            <w:r w:rsidR="000A79BD">
              <w:rPr>
                <w:b/>
                <w:bCs/>
              </w:rPr>
              <w:t>is</w:t>
            </w:r>
          </w:p>
        </w:tc>
        <w:tc>
          <w:tcPr>
            <w:tcW w:w="2175" w:type="dxa"/>
            <w:noWrap/>
            <w:hideMark/>
          </w:tcPr>
          <w:p w14:paraId="5AF37C8B" w14:textId="77777777" w:rsidR="00D17924" w:rsidRPr="00244DB7" w:rsidRDefault="00D17924" w:rsidP="007D46E4">
            <w:pPr>
              <w:spacing w:line="259" w:lineRule="auto"/>
              <w:jc w:val="right"/>
            </w:pPr>
            <w:r w:rsidRPr="00244DB7">
              <w:t>30,94%</w:t>
            </w:r>
          </w:p>
        </w:tc>
        <w:tc>
          <w:tcPr>
            <w:tcW w:w="2126" w:type="dxa"/>
            <w:noWrap/>
            <w:hideMark/>
          </w:tcPr>
          <w:p w14:paraId="49FDD10A" w14:textId="77777777" w:rsidR="00D17924" w:rsidRPr="00244DB7" w:rsidRDefault="00D17924" w:rsidP="007D46E4">
            <w:pPr>
              <w:spacing w:line="259" w:lineRule="auto"/>
              <w:jc w:val="right"/>
            </w:pPr>
            <w:r w:rsidRPr="00244DB7">
              <w:t>38,20%</w:t>
            </w:r>
          </w:p>
        </w:tc>
        <w:tc>
          <w:tcPr>
            <w:tcW w:w="2410" w:type="dxa"/>
            <w:noWrap/>
            <w:hideMark/>
          </w:tcPr>
          <w:p w14:paraId="29493FBB" w14:textId="77777777" w:rsidR="00D17924" w:rsidRPr="00244DB7" w:rsidRDefault="00D17924" w:rsidP="007D46E4">
            <w:pPr>
              <w:spacing w:line="259" w:lineRule="auto"/>
              <w:jc w:val="right"/>
            </w:pPr>
            <w:r w:rsidRPr="00244DB7">
              <w:t>45,86%</w:t>
            </w:r>
          </w:p>
        </w:tc>
      </w:tr>
      <w:tr w:rsidR="00D17924" w:rsidRPr="00244DB7" w14:paraId="0420BC1C" w14:textId="77777777" w:rsidTr="00202E8A">
        <w:trPr>
          <w:trHeight w:val="288"/>
        </w:trPr>
        <w:tc>
          <w:tcPr>
            <w:tcW w:w="1369" w:type="dxa"/>
            <w:noWrap/>
            <w:hideMark/>
          </w:tcPr>
          <w:p w14:paraId="05E9FCB9" w14:textId="767EDB32" w:rsidR="00D17924" w:rsidRPr="00CA6EB5" w:rsidRDefault="002342E8" w:rsidP="002342E8">
            <w:pPr>
              <w:spacing w:line="259" w:lineRule="auto"/>
              <w:jc w:val="center"/>
            </w:pPr>
            <w:r w:rsidRPr="00CA6EB5">
              <w:t>I</w:t>
            </w:r>
          </w:p>
        </w:tc>
        <w:tc>
          <w:tcPr>
            <w:tcW w:w="2175" w:type="dxa"/>
            <w:noWrap/>
            <w:hideMark/>
          </w:tcPr>
          <w:p w14:paraId="7C90F1C9" w14:textId="77777777" w:rsidR="00D17924" w:rsidRPr="00244DB7" w:rsidRDefault="00D17924" w:rsidP="007D46E4">
            <w:pPr>
              <w:spacing w:line="259" w:lineRule="auto"/>
              <w:jc w:val="right"/>
            </w:pPr>
            <w:r w:rsidRPr="00244DB7">
              <w:t>28,96%</w:t>
            </w:r>
          </w:p>
        </w:tc>
        <w:tc>
          <w:tcPr>
            <w:tcW w:w="2126" w:type="dxa"/>
            <w:noWrap/>
            <w:hideMark/>
          </w:tcPr>
          <w:p w14:paraId="5F98AF24" w14:textId="77777777" w:rsidR="00D17924" w:rsidRPr="00244DB7" w:rsidRDefault="00D17924" w:rsidP="007D46E4">
            <w:pPr>
              <w:spacing w:line="259" w:lineRule="auto"/>
              <w:jc w:val="right"/>
            </w:pPr>
            <w:r w:rsidRPr="00244DB7">
              <w:t>36,56%</w:t>
            </w:r>
          </w:p>
        </w:tc>
        <w:tc>
          <w:tcPr>
            <w:tcW w:w="2410" w:type="dxa"/>
            <w:noWrap/>
            <w:hideMark/>
          </w:tcPr>
          <w:p w14:paraId="7F83F37B" w14:textId="77777777" w:rsidR="00D17924" w:rsidRPr="00244DB7" w:rsidRDefault="00D17924" w:rsidP="007D46E4">
            <w:pPr>
              <w:spacing w:line="259" w:lineRule="auto"/>
              <w:jc w:val="right"/>
            </w:pPr>
            <w:r w:rsidRPr="00244DB7">
              <w:t>44,41%</w:t>
            </w:r>
          </w:p>
        </w:tc>
      </w:tr>
      <w:tr w:rsidR="00D17924" w:rsidRPr="00244DB7" w14:paraId="5B77400F" w14:textId="77777777" w:rsidTr="00202E8A">
        <w:trPr>
          <w:trHeight w:val="288"/>
        </w:trPr>
        <w:tc>
          <w:tcPr>
            <w:tcW w:w="1369" w:type="dxa"/>
            <w:noWrap/>
            <w:hideMark/>
          </w:tcPr>
          <w:p w14:paraId="76DD2C8D" w14:textId="163F08C0" w:rsidR="00D17924" w:rsidRPr="00CA6EB5" w:rsidRDefault="002342E8" w:rsidP="002342E8">
            <w:pPr>
              <w:spacing w:line="259" w:lineRule="auto"/>
              <w:jc w:val="center"/>
            </w:pPr>
            <w:r w:rsidRPr="00CA6EB5">
              <w:t>II</w:t>
            </w:r>
          </w:p>
        </w:tc>
        <w:tc>
          <w:tcPr>
            <w:tcW w:w="2175" w:type="dxa"/>
            <w:noWrap/>
            <w:hideMark/>
          </w:tcPr>
          <w:p w14:paraId="1E0307C6" w14:textId="77777777" w:rsidR="00D17924" w:rsidRPr="00244DB7" w:rsidRDefault="00D17924" w:rsidP="007D46E4">
            <w:pPr>
              <w:spacing w:line="259" w:lineRule="auto"/>
              <w:jc w:val="right"/>
            </w:pPr>
            <w:r w:rsidRPr="00244DB7">
              <w:t>28,04%</w:t>
            </w:r>
          </w:p>
        </w:tc>
        <w:tc>
          <w:tcPr>
            <w:tcW w:w="2126" w:type="dxa"/>
            <w:noWrap/>
            <w:hideMark/>
          </w:tcPr>
          <w:p w14:paraId="754DF5CB" w14:textId="77777777" w:rsidR="00D17924" w:rsidRPr="00244DB7" w:rsidRDefault="00D17924" w:rsidP="007D46E4">
            <w:pPr>
              <w:spacing w:line="259" w:lineRule="auto"/>
              <w:jc w:val="right"/>
            </w:pPr>
            <w:r w:rsidRPr="00244DB7">
              <w:t>35,66%</w:t>
            </w:r>
          </w:p>
        </w:tc>
        <w:tc>
          <w:tcPr>
            <w:tcW w:w="2410" w:type="dxa"/>
            <w:noWrap/>
            <w:hideMark/>
          </w:tcPr>
          <w:p w14:paraId="4ADB55CC" w14:textId="77777777" w:rsidR="00D17924" w:rsidRPr="00244DB7" w:rsidRDefault="00D17924" w:rsidP="007D46E4">
            <w:pPr>
              <w:spacing w:line="259" w:lineRule="auto"/>
              <w:jc w:val="right"/>
            </w:pPr>
            <w:r w:rsidRPr="00244DB7">
              <w:t>43,74%</w:t>
            </w:r>
          </w:p>
        </w:tc>
      </w:tr>
      <w:tr w:rsidR="00D17924" w:rsidRPr="00244DB7" w14:paraId="02C5B224" w14:textId="77777777" w:rsidTr="00202E8A">
        <w:trPr>
          <w:trHeight w:val="288"/>
        </w:trPr>
        <w:tc>
          <w:tcPr>
            <w:tcW w:w="1369" w:type="dxa"/>
            <w:noWrap/>
            <w:hideMark/>
          </w:tcPr>
          <w:p w14:paraId="08E16E32" w14:textId="4B66DF22" w:rsidR="00D17924" w:rsidRPr="00CA6EB5" w:rsidRDefault="002342E8" w:rsidP="002342E8">
            <w:pPr>
              <w:spacing w:line="259" w:lineRule="auto"/>
              <w:jc w:val="center"/>
            </w:pPr>
            <w:r w:rsidRPr="00CA6EB5">
              <w:t>III</w:t>
            </w:r>
          </w:p>
        </w:tc>
        <w:tc>
          <w:tcPr>
            <w:tcW w:w="2175" w:type="dxa"/>
            <w:noWrap/>
            <w:hideMark/>
          </w:tcPr>
          <w:p w14:paraId="4B4D3979" w14:textId="77777777" w:rsidR="00D17924" w:rsidRPr="00244DB7" w:rsidRDefault="00D17924" w:rsidP="007D46E4">
            <w:pPr>
              <w:spacing w:line="259" w:lineRule="auto"/>
              <w:jc w:val="right"/>
            </w:pPr>
            <w:r w:rsidRPr="00244DB7">
              <w:t>26,91%</w:t>
            </w:r>
          </w:p>
        </w:tc>
        <w:tc>
          <w:tcPr>
            <w:tcW w:w="2126" w:type="dxa"/>
            <w:noWrap/>
            <w:hideMark/>
          </w:tcPr>
          <w:p w14:paraId="6CA2B178" w14:textId="77777777" w:rsidR="00D17924" w:rsidRPr="00244DB7" w:rsidRDefault="00D17924" w:rsidP="007D46E4">
            <w:pPr>
              <w:spacing w:line="259" w:lineRule="auto"/>
              <w:jc w:val="right"/>
            </w:pPr>
            <w:r w:rsidRPr="00244DB7">
              <w:t>34,65%</w:t>
            </w:r>
          </w:p>
        </w:tc>
        <w:tc>
          <w:tcPr>
            <w:tcW w:w="2410" w:type="dxa"/>
            <w:noWrap/>
            <w:hideMark/>
          </w:tcPr>
          <w:p w14:paraId="387F329E" w14:textId="77777777" w:rsidR="00D17924" w:rsidRPr="00244DB7" w:rsidRDefault="00D17924" w:rsidP="007D46E4">
            <w:pPr>
              <w:spacing w:line="259" w:lineRule="auto"/>
              <w:jc w:val="right"/>
            </w:pPr>
            <w:r w:rsidRPr="00244DB7">
              <w:t>42,98%</w:t>
            </w:r>
          </w:p>
        </w:tc>
      </w:tr>
      <w:tr w:rsidR="00D17924" w:rsidRPr="00244DB7" w14:paraId="343BF5F0" w14:textId="77777777" w:rsidTr="00202E8A">
        <w:trPr>
          <w:trHeight w:val="288"/>
        </w:trPr>
        <w:tc>
          <w:tcPr>
            <w:tcW w:w="1369" w:type="dxa"/>
            <w:noWrap/>
            <w:hideMark/>
          </w:tcPr>
          <w:p w14:paraId="754FC147" w14:textId="35E57D4F" w:rsidR="00D17924" w:rsidRPr="00CA6EB5" w:rsidRDefault="002342E8" w:rsidP="002342E8">
            <w:pPr>
              <w:spacing w:line="259" w:lineRule="auto"/>
              <w:jc w:val="center"/>
            </w:pPr>
            <w:r w:rsidRPr="00CA6EB5">
              <w:t>IV</w:t>
            </w:r>
          </w:p>
        </w:tc>
        <w:tc>
          <w:tcPr>
            <w:tcW w:w="2175" w:type="dxa"/>
            <w:noWrap/>
            <w:hideMark/>
          </w:tcPr>
          <w:p w14:paraId="0FB6B576" w14:textId="77777777" w:rsidR="00D17924" w:rsidRPr="00244DB7" w:rsidRDefault="00D17924" w:rsidP="007D46E4">
            <w:pPr>
              <w:spacing w:line="259" w:lineRule="auto"/>
              <w:jc w:val="right"/>
            </w:pPr>
            <w:r w:rsidRPr="00244DB7">
              <w:t>25,56%</w:t>
            </w:r>
          </w:p>
        </w:tc>
        <w:tc>
          <w:tcPr>
            <w:tcW w:w="2126" w:type="dxa"/>
            <w:noWrap/>
            <w:hideMark/>
          </w:tcPr>
          <w:p w14:paraId="6F5C333A" w14:textId="77777777" w:rsidR="00D17924" w:rsidRPr="00244DB7" w:rsidRDefault="00D17924" w:rsidP="007D46E4">
            <w:pPr>
              <w:spacing w:line="259" w:lineRule="auto"/>
              <w:jc w:val="right"/>
            </w:pPr>
            <w:r w:rsidRPr="00244DB7">
              <w:t>33,43%</w:t>
            </w:r>
          </w:p>
        </w:tc>
        <w:tc>
          <w:tcPr>
            <w:tcW w:w="2410" w:type="dxa"/>
            <w:noWrap/>
            <w:hideMark/>
          </w:tcPr>
          <w:p w14:paraId="3F261D39" w14:textId="77777777" w:rsidR="00D17924" w:rsidRPr="00244DB7" w:rsidRDefault="00D17924" w:rsidP="007D46E4">
            <w:pPr>
              <w:spacing w:line="259" w:lineRule="auto"/>
              <w:jc w:val="right"/>
            </w:pPr>
            <w:r w:rsidRPr="00244DB7">
              <w:t>42,08%</w:t>
            </w:r>
          </w:p>
        </w:tc>
      </w:tr>
      <w:tr w:rsidR="00D17924" w:rsidRPr="00244DB7" w14:paraId="57755F06" w14:textId="77777777" w:rsidTr="00202E8A">
        <w:trPr>
          <w:trHeight w:val="288"/>
        </w:trPr>
        <w:tc>
          <w:tcPr>
            <w:tcW w:w="1369" w:type="dxa"/>
            <w:noWrap/>
            <w:hideMark/>
          </w:tcPr>
          <w:p w14:paraId="7B56D70B" w14:textId="0771A385" w:rsidR="00D17924" w:rsidRPr="00CA6EB5" w:rsidRDefault="002342E8" w:rsidP="002342E8">
            <w:pPr>
              <w:spacing w:line="259" w:lineRule="auto"/>
              <w:jc w:val="center"/>
            </w:pPr>
            <w:r w:rsidRPr="00CA6EB5">
              <w:t>V</w:t>
            </w:r>
          </w:p>
        </w:tc>
        <w:tc>
          <w:tcPr>
            <w:tcW w:w="2175" w:type="dxa"/>
            <w:noWrap/>
            <w:hideMark/>
          </w:tcPr>
          <w:p w14:paraId="4D84BF8D" w14:textId="77777777" w:rsidR="00D17924" w:rsidRPr="00244DB7" w:rsidRDefault="00D17924" w:rsidP="007D46E4">
            <w:pPr>
              <w:spacing w:line="259" w:lineRule="auto"/>
              <w:jc w:val="right"/>
            </w:pPr>
            <w:r w:rsidRPr="00244DB7">
              <w:t>24,82%</w:t>
            </w:r>
          </w:p>
        </w:tc>
        <w:tc>
          <w:tcPr>
            <w:tcW w:w="2126" w:type="dxa"/>
            <w:noWrap/>
            <w:hideMark/>
          </w:tcPr>
          <w:p w14:paraId="78B5561E" w14:textId="77777777" w:rsidR="00D17924" w:rsidRPr="00244DB7" w:rsidRDefault="00D17924" w:rsidP="007D46E4">
            <w:pPr>
              <w:spacing w:line="259" w:lineRule="auto"/>
              <w:jc w:val="right"/>
            </w:pPr>
            <w:r w:rsidRPr="00244DB7">
              <w:t>31,88%</w:t>
            </w:r>
          </w:p>
        </w:tc>
        <w:tc>
          <w:tcPr>
            <w:tcW w:w="2410" w:type="dxa"/>
            <w:noWrap/>
            <w:hideMark/>
          </w:tcPr>
          <w:p w14:paraId="5FB5AB31" w14:textId="77777777" w:rsidR="00D17924" w:rsidRPr="00244DB7" w:rsidRDefault="00D17924" w:rsidP="007D46E4">
            <w:pPr>
              <w:spacing w:line="259" w:lineRule="auto"/>
              <w:jc w:val="right"/>
            </w:pPr>
            <w:r w:rsidRPr="00244DB7">
              <w:t>40,91%</w:t>
            </w:r>
          </w:p>
        </w:tc>
      </w:tr>
      <w:bookmarkEnd w:id="172"/>
    </w:tbl>
    <w:p w14:paraId="36DB99DE" w14:textId="77777777" w:rsidR="00D17924" w:rsidRDefault="00D17924" w:rsidP="00EC0B02">
      <w:pPr>
        <w:spacing w:after="0"/>
        <w:ind w:left="709"/>
        <w:jc w:val="both"/>
      </w:pPr>
    </w:p>
    <w:p w14:paraId="5E2A6C37" w14:textId="77777777" w:rsidR="009F148A" w:rsidRDefault="009F148A">
      <w:r>
        <w:br w:type="page"/>
      </w:r>
    </w:p>
    <w:p w14:paraId="347B0CB4" w14:textId="2A198D3A" w:rsidR="001C5F39" w:rsidRDefault="001C5F39" w:rsidP="00BA7E3E">
      <w:pPr>
        <w:spacing w:after="0"/>
        <w:jc w:val="both"/>
      </w:pPr>
    </w:p>
    <w:p w14:paraId="00B7D17E" w14:textId="4196389B" w:rsidR="00194ADF" w:rsidRDefault="0091519F" w:rsidP="0091519F">
      <w:pPr>
        <w:pStyle w:val="Lijstalinea"/>
        <w:spacing w:after="0"/>
        <w:ind w:left="709"/>
        <w:jc w:val="both"/>
      </w:pPr>
      <w:r>
        <w:t>Naast de verbreding van de tariefschijven, zou men er ook voor kunnen opteren om de tarieven zelf te la</w:t>
      </w:r>
      <w:r w:rsidR="00682CF8">
        <w:t xml:space="preserve">ten zakken. </w:t>
      </w:r>
      <w:r>
        <w:t xml:space="preserve">De onderstaande grafiek toont hiertoe enkele simulaties, waarbij in elk scenario de BBSZ volledig werd geschrapt en waarbij </w:t>
      </w:r>
      <w:r w:rsidRPr="00303355">
        <w:rPr>
          <w:b/>
          <w:bCs/>
        </w:rPr>
        <w:t xml:space="preserve">de bestaande </w:t>
      </w:r>
      <w:r w:rsidR="00292B82" w:rsidRPr="00303355">
        <w:rPr>
          <w:b/>
          <w:bCs/>
        </w:rPr>
        <w:t xml:space="preserve">tarieven </w:t>
      </w:r>
      <w:r w:rsidR="003F2297" w:rsidRPr="00303355">
        <w:rPr>
          <w:b/>
          <w:bCs/>
        </w:rPr>
        <w:t xml:space="preserve">met dezelfde procentpunten werden </w:t>
      </w:r>
      <w:r w:rsidR="00682CF8" w:rsidRPr="00303355">
        <w:rPr>
          <w:b/>
          <w:bCs/>
        </w:rPr>
        <w:t>verlaagd</w:t>
      </w:r>
      <w:r>
        <w:t xml:space="preserve">, respectievelijk met </w:t>
      </w:r>
      <w:r w:rsidR="003F2297">
        <w:t>1,2%</w:t>
      </w:r>
      <w:r>
        <w:t>,</w:t>
      </w:r>
      <w:r w:rsidR="003F2297">
        <w:t xml:space="preserve"> 2,4%</w:t>
      </w:r>
      <w:r w:rsidR="00183709">
        <w:t>, 3,6%, 4,9% en 6,2%</w:t>
      </w:r>
      <w:r w:rsidR="005400FE">
        <w:t>:</w:t>
      </w:r>
      <w:r>
        <w:t xml:space="preserve"> </w:t>
      </w:r>
    </w:p>
    <w:p w14:paraId="6351FFA2" w14:textId="0B5701D9" w:rsidR="00194ADF" w:rsidRDefault="00194ADF" w:rsidP="0091519F">
      <w:pPr>
        <w:pStyle w:val="Lijstalinea"/>
        <w:spacing w:after="0"/>
        <w:ind w:left="709"/>
        <w:jc w:val="both"/>
      </w:pPr>
    </w:p>
    <w:p w14:paraId="23EE9C81" w14:textId="77777777" w:rsidR="006F71E9" w:rsidRDefault="006F71E9" w:rsidP="0091519F">
      <w:pPr>
        <w:pStyle w:val="Lijstalinea"/>
        <w:spacing w:after="0"/>
        <w:ind w:left="709"/>
        <w:jc w:val="both"/>
      </w:pPr>
    </w:p>
    <w:tbl>
      <w:tblPr>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
        <w:gridCol w:w="1341"/>
        <w:gridCol w:w="1417"/>
        <w:gridCol w:w="1418"/>
        <w:gridCol w:w="1559"/>
        <w:gridCol w:w="1418"/>
      </w:tblGrid>
      <w:tr w:rsidR="00194ADF" w:rsidRPr="00194ADF" w14:paraId="2C8D244E" w14:textId="77777777" w:rsidTr="00F92526">
        <w:trPr>
          <w:trHeight w:val="288"/>
        </w:trPr>
        <w:tc>
          <w:tcPr>
            <w:tcW w:w="1069" w:type="dxa"/>
            <w:shd w:val="clear" w:color="auto" w:fill="auto"/>
            <w:noWrap/>
            <w:vAlign w:val="bottom"/>
            <w:hideMark/>
          </w:tcPr>
          <w:p w14:paraId="5B53B893" w14:textId="09D50F3A" w:rsidR="00194ADF" w:rsidRPr="00194ADF" w:rsidRDefault="00194ADF" w:rsidP="00194ADF">
            <w:pPr>
              <w:spacing w:after="0" w:line="240" w:lineRule="auto"/>
              <w:rPr>
                <w:rFonts w:ascii="Calibri" w:eastAsia="Times New Roman" w:hAnsi="Calibri" w:cs="Calibri"/>
                <w:color w:val="000000"/>
                <w:lang w:eastAsia="nl-BE"/>
              </w:rPr>
            </w:pPr>
          </w:p>
        </w:tc>
        <w:tc>
          <w:tcPr>
            <w:tcW w:w="1341" w:type="dxa"/>
            <w:shd w:val="clear" w:color="auto" w:fill="auto"/>
            <w:noWrap/>
            <w:vAlign w:val="bottom"/>
            <w:hideMark/>
          </w:tcPr>
          <w:p w14:paraId="35DCD544" w14:textId="77777777" w:rsidR="00194ADF" w:rsidRPr="00194ADF" w:rsidRDefault="00194ADF" w:rsidP="00194ADF">
            <w:pPr>
              <w:spacing w:after="0" w:line="240" w:lineRule="auto"/>
              <w:rPr>
                <w:rFonts w:ascii="Calibri" w:eastAsia="Times New Roman" w:hAnsi="Calibri" w:cs="Calibri"/>
                <w:color w:val="000000"/>
                <w:lang w:eastAsia="nl-BE"/>
              </w:rPr>
            </w:pPr>
            <w:r w:rsidRPr="00194ADF">
              <w:rPr>
                <w:rFonts w:ascii="Calibri" w:eastAsia="Times New Roman" w:hAnsi="Calibri" w:cs="Calibri"/>
                <w:color w:val="000000"/>
                <w:lang w:eastAsia="nl-BE"/>
              </w:rPr>
              <w:t>-1,2%p</w:t>
            </w:r>
          </w:p>
        </w:tc>
        <w:tc>
          <w:tcPr>
            <w:tcW w:w="1417" w:type="dxa"/>
            <w:shd w:val="clear" w:color="auto" w:fill="auto"/>
            <w:noWrap/>
            <w:vAlign w:val="bottom"/>
            <w:hideMark/>
          </w:tcPr>
          <w:p w14:paraId="73EE60D3" w14:textId="77777777" w:rsidR="00194ADF" w:rsidRPr="00194ADF" w:rsidRDefault="00194ADF" w:rsidP="00194ADF">
            <w:pPr>
              <w:spacing w:after="0" w:line="240" w:lineRule="auto"/>
              <w:rPr>
                <w:rFonts w:ascii="Calibri" w:eastAsia="Times New Roman" w:hAnsi="Calibri" w:cs="Calibri"/>
                <w:color w:val="000000"/>
                <w:lang w:eastAsia="nl-BE"/>
              </w:rPr>
            </w:pPr>
            <w:r w:rsidRPr="00194ADF">
              <w:rPr>
                <w:rFonts w:ascii="Calibri" w:eastAsia="Times New Roman" w:hAnsi="Calibri" w:cs="Calibri"/>
                <w:color w:val="000000"/>
                <w:lang w:eastAsia="nl-BE"/>
              </w:rPr>
              <w:t>-2,4%p</w:t>
            </w:r>
          </w:p>
        </w:tc>
        <w:tc>
          <w:tcPr>
            <w:tcW w:w="1418" w:type="dxa"/>
            <w:shd w:val="clear" w:color="auto" w:fill="auto"/>
            <w:noWrap/>
            <w:vAlign w:val="bottom"/>
            <w:hideMark/>
          </w:tcPr>
          <w:p w14:paraId="1B0577AA" w14:textId="77777777" w:rsidR="00194ADF" w:rsidRPr="00194ADF" w:rsidRDefault="00194ADF" w:rsidP="00194ADF">
            <w:pPr>
              <w:spacing w:after="0" w:line="240" w:lineRule="auto"/>
              <w:rPr>
                <w:rFonts w:ascii="Calibri" w:eastAsia="Times New Roman" w:hAnsi="Calibri" w:cs="Calibri"/>
                <w:color w:val="000000"/>
                <w:lang w:eastAsia="nl-BE"/>
              </w:rPr>
            </w:pPr>
            <w:r w:rsidRPr="00194ADF">
              <w:rPr>
                <w:rFonts w:ascii="Calibri" w:eastAsia="Times New Roman" w:hAnsi="Calibri" w:cs="Calibri"/>
                <w:color w:val="000000"/>
                <w:lang w:eastAsia="nl-BE"/>
              </w:rPr>
              <w:t>-3,6%p</w:t>
            </w:r>
          </w:p>
        </w:tc>
        <w:tc>
          <w:tcPr>
            <w:tcW w:w="1559" w:type="dxa"/>
            <w:shd w:val="clear" w:color="auto" w:fill="auto"/>
            <w:noWrap/>
            <w:vAlign w:val="bottom"/>
            <w:hideMark/>
          </w:tcPr>
          <w:p w14:paraId="3BCC75B9" w14:textId="77777777" w:rsidR="00194ADF" w:rsidRPr="00194ADF" w:rsidRDefault="00194ADF" w:rsidP="00194ADF">
            <w:pPr>
              <w:spacing w:after="0" w:line="240" w:lineRule="auto"/>
              <w:rPr>
                <w:rFonts w:ascii="Calibri" w:eastAsia="Times New Roman" w:hAnsi="Calibri" w:cs="Calibri"/>
                <w:color w:val="000000"/>
                <w:lang w:eastAsia="nl-BE"/>
              </w:rPr>
            </w:pPr>
            <w:r w:rsidRPr="00194ADF">
              <w:rPr>
                <w:rFonts w:ascii="Calibri" w:eastAsia="Times New Roman" w:hAnsi="Calibri" w:cs="Calibri"/>
                <w:color w:val="000000"/>
                <w:lang w:eastAsia="nl-BE"/>
              </w:rPr>
              <w:t>-4,9%p</w:t>
            </w:r>
          </w:p>
        </w:tc>
        <w:tc>
          <w:tcPr>
            <w:tcW w:w="1418" w:type="dxa"/>
            <w:shd w:val="clear" w:color="auto" w:fill="auto"/>
            <w:noWrap/>
            <w:vAlign w:val="bottom"/>
            <w:hideMark/>
          </w:tcPr>
          <w:p w14:paraId="2DCD0031" w14:textId="77777777" w:rsidR="00194ADF" w:rsidRPr="00194ADF" w:rsidRDefault="00194ADF" w:rsidP="00194ADF">
            <w:pPr>
              <w:spacing w:after="0" w:line="240" w:lineRule="auto"/>
              <w:rPr>
                <w:rFonts w:ascii="Calibri" w:eastAsia="Times New Roman" w:hAnsi="Calibri" w:cs="Calibri"/>
                <w:color w:val="000000"/>
                <w:lang w:eastAsia="nl-BE"/>
              </w:rPr>
            </w:pPr>
            <w:r w:rsidRPr="00194ADF">
              <w:rPr>
                <w:rFonts w:ascii="Calibri" w:eastAsia="Times New Roman" w:hAnsi="Calibri" w:cs="Calibri"/>
                <w:color w:val="000000"/>
                <w:lang w:eastAsia="nl-BE"/>
              </w:rPr>
              <w:t>-6,2%p</w:t>
            </w:r>
          </w:p>
        </w:tc>
      </w:tr>
      <w:tr w:rsidR="00D97F4A" w:rsidRPr="00194ADF" w14:paraId="320631B9" w14:textId="77777777" w:rsidTr="00194ADF">
        <w:trPr>
          <w:trHeight w:val="288"/>
        </w:trPr>
        <w:tc>
          <w:tcPr>
            <w:tcW w:w="1069" w:type="dxa"/>
            <w:shd w:val="clear" w:color="auto" w:fill="auto"/>
            <w:noWrap/>
            <w:vAlign w:val="bottom"/>
          </w:tcPr>
          <w:p w14:paraId="2857C857" w14:textId="77777777" w:rsidR="00D97F4A" w:rsidRPr="00194ADF" w:rsidRDefault="00D97F4A" w:rsidP="00194ADF">
            <w:pPr>
              <w:spacing w:after="0" w:line="240" w:lineRule="auto"/>
              <w:rPr>
                <w:rFonts w:ascii="Calibri" w:eastAsia="Times New Roman" w:hAnsi="Calibri" w:cs="Calibri"/>
                <w:color w:val="000000"/>
                <w:lang w:eastAsia="nl-BE"/>
              </w:rPr>
            </w:pPr>
          </w:p>
        </w:tc>
        <w:tc>
          <w:tcPr>
            <w:tcW w:w="1341" w:type="dxa"/>
            <w:shd w:val="clear" w:color="auto" w:fill="auto"/>
            <w:noWrap/>
            <w:vAlign w:val="bottom"/>
          </w:tcPr>
          <w:p w14:paraId="4AAD7C15" w14:textId="77777777" w:rsidR="00D97F4A" w:rsidRPr="00194ADF" w:rsidRDefault="00D97F4A" w:rsidP="00194ADF">
            <w:pPr>
              <w:spacing w:after="0" w:line="240" w:lineRule="auto"/>
              <w:rPr>
                <w:rFonts w:ascii="Calibri" w:eastAsia="Times New Roman" w:hAnsi="Calibri" w:cs="Calibri"/>
                <w:color w:val="000000"/>
                <w:lang w:eastAsia="nl-BE"/>
              </w:rPr>
            </w:pPr>
          </w:p>
        </w:tc>
        <w:tc>
          <w:tcPr>
            <w:tcW w:w="1417" w:type="dxa"/>
            <w:shd w:val="clear" w:color="auto" w:fill="auto"/>
            <w:noWrap/>
            <w:vAlign w:val="bottom"/>
          </w:tcPr>
          <w:p w14:paraId="7C7E2098" w14:textId="77777777" w:rsidR="00D97F4A" w:rsidRPr="00194ADF" w:rsidRDefault="00D97F4A" w:rsidP="00194ADF">
            <w:pPr>
              <w:spacing w:after="0" w:line="240" w:lineRule="auto"/>
              <w:rPr>
                <w:rFonts w:ascii="Calibri" w:eastAsia="Times New Roman" w:hAnsi="Calibri" w:cs="Calibri"/>
                <w:color w:val="000000"/>
                <w:lang w:eastAsia="nl-BE"/>
              </w:rPr>
            </w:pPr>
          </w:p>
        </w:tc>
        <w:tc>
          <w:tcPr>
            <w:tcW w:w="1418" w:type="dxa"/>
            <w:shd w:val="clear" w:color="auto" w:fill="auto"/>
            <w:noWrap/>
            <w:vAlign w:val="bottom"/>
          </w:tcPr>
          <w:p w14:paraId="0DB567CD" w14:textId="77777777" w:rsidR="00D97F4A" w:rsidRPr="00194ADF" w:rsidRDefault="00D97F4A" w:rsidP="00194ADF">
            <w:pPr>
              <w:spacing w:after="0" w:line="240" w:lineRule="auto"/>
              <w:rPr>
                <w:rFonts w:ascii="Calibri" w:eastAsia="Times New Roman" w:hAnsi="Calibri" w:cs="Calibri"/>
                <w:color w:val="000000"/>
                <w:lang w:eastAsia="nl-BE"/>
              </w:rPr>
            </w:pPr>
          </w:p>
        </w:tc>
        <w:tc>
          <w:tcPr>
            <w:tcW w:w="1559" w:type="dxa"/>
            <w:shd w:val="clear" w:color="auto" w:fill="auto"/>
            <w:noWrap/>
            <w:vAlign w:val="bottom"/>
          </w:tcPr>
          <w:p w14:paraId="035BCB43" w14:textId="77777777" w:rsidR="00D97F4A" w:rsidRPr="00194ADF" w:rsidRDefault="00D97F4A" w:rsidP="00194ADF">
            <w:pPr>
              <w:spacing w:after="0" w:line="240" w:lineRule="auto"/>
              <w:rPr>
                <w:rFonts w:ascii="Calibri" w:eastAsia="Times New Roman" w:hAnsi="Calibri" w:cs="Calibri"/>
                <w:color w:val="000000"/>
                <w:lang w:eastAsia="nl-BE"/>
              </w:rPr>
            </w:pPr>
          </w:p>
        </w:tc>
        <w:tc>
          <w:tcPr>
            <w:tcW w:w="1418" w:type="dxa"/>
            <w:shd w:val="clear" w:color="auto" w:fill="auto"/>
            <w:noWrap/>
            <w:vAlign w:val="bottom"/>
          </w:tcPr>
          <w:p w14:paraId="73918E1F" w14:textId="77777777" w:rsidR="00D97F4A" w:rsidRPr="00194ADF" w:rsidRDefault="00D97F4A" w:rsidP="00194ADF">
            <w:pPr>
              <w:spacing w:after="0" w:line="240" w:lineRule="auto"/>
              <w:rPr>
                <w:rFonts w:ascii="Calibri" w:eastAsia="Times New Roman" w:hAnsi="Calibri" w:cs="Calibri"/>
                <w:color w:val="000000"/>
                <w:lang w:eastAsia="nl-BE"/>
              </w:rPr>
            </w:pPr>
          </w:p>
        </w:tc>
      </w:tr>
      <w:tr w:rsidR="00194ADF" w:rsidRPr="00194ADF" w14:paraId="78F09F8B" w14:textId="77777777" w:rsidTr="00F92526">
        <w:trPr>
          <w:trHeight w:val="288"/>
        </w:trPr>
        <w:tc>
          <w:tcPr>
            <w:tcW w:w="1069" w:type="dxa"/>
            <w:shd w:val="clear" w:color="auto" w:fill="auto"/>
            <w:noWrap/>
            <w:vAlign w:val="bottom"/>
            <w:hideMark/>
          </w:tcPr>
          <w:p w14:paraId="3DB68945" w14:textId="3D90B029" w:rsidR="00194ADF" w:rsidRPr="00194ADF" w:rsidRDefault="00194ADF" w:rsidP="00F92526">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25%</w:t>
            </w:r>
          </w:p>
        </w:tc>
        <w:tc>
          <w:tcPr>
            <w:tcW w:w="1341" w:type="dxa"/>
            <w:shd w:val="clear" w:color="auto" w:fill="auto"/>
            <w:noWrap/>
            <w:vAlign w:val="bottom"/>
            <w:hideMark/>
          </w:tcPr>
          <w:p w14:paraId="1EBCFA1B"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23,80%</w:t>
            </w:r>
          </w:p>
        </w:tc>
        <w:tc>
          <w:tcPr>
            <w:tcW w:w="1417" w:type="dxa"/>
            <w:shd w:val="clear" w:color="auto" w:fill="auto"/>
            <w:noWrap/>
            <w:vAlign w:val="bottom"/>
            <w:hideMark/>
          </w:tcPr>
          <w:p w14:paraId="52D38FB6"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22,60%</w:t>
            </w:r>
          </w:p>
        </w:tc>
        <w:tc>
          <w:tcPr>
            <w:tcW w:w="1418" w:type="dxa"/>
            <w:shd w:val="clear" w:color="auto" w:fill="auto"/>
            <w:noWrap/>
            <w:vAlign w:val="bottom"/>
            <w:hideMark/>
          </w:tcPr>
          <w:p w14:paraId="193D11E9"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21,40%</w:t>
            </w:r>
          </w:p>
        </w:tc>
        <w:tc>
          <w:tcPr>
            <w:tcW w:w="1559" w:type="dxa"/>
            <w:shd w:val="clear" w:color="auto" w:fill="auto"/>
            <w:noWrap/>
            <w:vAlign w:val="bottom"/>
            <w:hideMark/>
          </w:tcPr>
          <w:p w14:paraId="56E4D47C"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20,10%</w:t>
            </w:r>
          </w:p>
        </w:tc>
        <w:tc>
          <w:tcPr>
            <w:tcW w:w="1418" w:type="dxa"/>
            <w:shd w:val="clear" w:color="auto" w:fill="auto"/>
            <w:noWrap/>
            <w:vAlign w:val="bottom"/>
            <w:hideMark/>
          </w:tcPr>
          <w:p w14:paraId="23B885C5"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18,80%</w:t>
            </w:r>
          </w:p>
        </w:tc>
      </w:tr>
      <w:tr w:rsidR="00194ADF" w:rsidRPr="00194ADF" w14:paraId="37BE0525" w14:textId="77777777" w:rsidTr="00F92526">
        <w:trPr>
          <w:trHeight w:val="288"/>
        </w:trPr>
        <w:tc>
          <w:tcPr>
            <w:tcW w:w="1069" w:type="dxa"/>
            <w:shd w:val="clear" w:color="auto" w:fill="auto"/>
            <w:noWrap/>
            <w:vAlign w:val="bottom"/>
            <w:hideMark/>
          </w:tcPr>
          <w:p w14:paraId="4225948D" w14:textId="2930873B" w:rsidR="00194ADF" w:rsidRPr="00194ADF" w:rsidRDefault="00194ADF" w:rsidP="00F92526">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40%</w:t>
            </w:r>
          </w:p>
        </w:tc>
        <w:tc>
          <w:tcPr>
            <w:tcW w:w="1341" w:type="dxa"/>
            <w:shd w:val="clear" w:color="auto" w:fill="auto"/>
            <w:noWrap/>
            <w:vAlign w:val="bottom"/>
            <w:hideMark/>
          </w:tcPr>
          <w:p w14:paraId="36C0C535"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38,80%</w:t>
            </w:r>
          </w:p>
        </w:tc>
        <w:tc>
          <w:tcPr>
            <w:tcW w:w="1417" w:type="dxa"/>
            <w:shd w:val="clear" w:color="auto" w:fill="auto"/>
            <w:noWrap/>
            <w:vAlign w:val="bottom"/>
            <w:hideMark/>
          </w:tcPr>
          <w:p w14:paraId="1C5A4FE2"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37,60%</w:t>
            </w:r>
          </w:p>
        </w:tc>
        <w:tc>
          <w:tcPr>
            <w:tcW w:w="1418" w:type="dxa"/>
            <w:shd w:val="clear" w:color="auto" w:fill="auto"/>
            <w:noWrap/>
            <w:vAlign w:val="bottom"/>
            <w:hideMark/>
          </w:tcPr>
          <w:p w14:paraId="4FB74B78"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36,40%</w:t>
            </w:r>
          </w:p>
        </w:tc>
        <w:tc>
          <w:tcPr>
            <w:tcW w:w="1559" w:type="dxa"/>
            <w:shd w:val="clear" w:color="auto" w:fill="auto"/>
            <w:noWrap/>
            <w:vAlign w:val="bottom"/>
            <w:hideMark/>
          </w:tcPr>
          <w:p w14:paraId="45D7278A"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35,10%</w:t>
            </w:r>
          </w:p>
        </w:tc>
        <w:tc>
          <w:tcPr>
            <w:tcW w:w="1418" w:type="dxa"/>
            <w:shd w:val="clear" w:color="auto" w:fill="auto"/>
            <w:noWrap/>
            <w:vAlign w:val="bottom"/>
            <w:hideMark/>
          </w:tcPr>
          <w:p w14:paraId="6A14B704"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33,80%</w:t>
            </w:r>
          </w:p>
        </w:tc>
      </w:tr>
      <w:tr w:rsidR="00194ADF" w:rsidRPr="00194ADF" w14:paraId="2287344F" w14:textId="77777777" w:rsidTr="00F92526">
        <w:trPr>
          <w:trHeight w:val="288"/>
        </w:trPr>
        <w:tc>
          <w:tcPr>
            <w:tcW w:w="1069" w:type="dxa"/>
            <w:shd w:val="clear" w:color="auto" w:fill="auto"/>
            <w:noWrap/>
            <w:vAlign w:val="bottom"/>
            <w:hideMark/>
          </w:tcPr>
          <w:p w14:paraId="0FD83D7A" w14:textId="0B9C421D" w:rsidR="00194ADF" w:rsidRPr="00194ADF" w:rsidRDefault="00194ADF" w:rsidP="00F92526">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45%</w:t>
            </w:r>
          </w:p>
        </w:tc>
        <w:tc>
          <w:tcPr>
            <w:tcW w:w="1341" w:type="dxa"/>
            <w:shd w:val="clear" w:color="auto" w:fill="auto"/>
            <w:noWrap/>
            <w:vAlign w:val="bottom"/>
            <w:hideMark/>
          </w:tcPr>
          <w:p w14:paraId="75BB2D69"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43,80%</w:t>
            </w:r>
          </w:p>
        </w:tc>
        <w:tc>
          <w:tcPr>
            <w:tcW w:w="1417" w:type="dxa"/>
            <w:shd w:val="clear" w:color="auto" w:fill="auto"/>
            <w:noWrap/>
            <w:vAlign w:val="bottom"/>
            <w:hideMark/>
          </w:tcPr>
          <w:p w14:paraId="28CA08E9"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42,60%</w:t>
            </w:r>
          </w:p>
        </w:tc>
        <w:tc>
          <w:tcPr>
            <w:tcW w:w="1418" w:type="dxa"/>
            <w:shd w:val="clear" w:color="auto" w:fill="auto"/>
            <w:noWrap/>
            <w:vAlign w:val="bottom"/>
            <w:hideMark/>
          </w:tcPr>
          <w:p w14:paraId="69C49E8B"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41,40%</w:t>
            </w:r>
          </w:p>
        </w:tc>
        <w:tc>
          <w:tcPr>
            <w:tcW w:w="1559" w:type="dxa"/>
            <w:shd w:val="clear" w:color="auto" w:fill="auto"/>
            <w:noWrap/>
            <w:vAlign w:val="bottom"/>
            <w:hideMark/>
          </w:tcPr>
          <w:p w14:paraId="37033AC6"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40,10%</w:t>
            </w:r>
          </w:p>
        </w:tc>
        <w:tc>
          <w:tcPr>
            <w:tcW w:w="1418" w:type="dxa"/>
            <w:shd w:val="clear" w:color="auto" w:fill="auto"/>
            <w:noWrap/>
            <w:vAlign w:val="bottom"/>
            <w:hideMark/>
          </w:tcPr>
          <w:p w14:paraId="11F29693"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38,80%</w:t>
            </w:r>
          </w:p>
        </w:tc>
      </w:tr>
      <w:tr w:rsidR="00194ADF" w:rsidRPr="00194ADF" w14:paraId="0059128F" w14:textId="77777777" w:rsidTr="00F92526">
        <w:trPr>
          <w:trHeight w:val="288"/>
        </w:trPr>
        <w:tc>
          <w:tcPr>
            <w:tcW w:w="1069" w:type="dxa"/>
            <w:shd w:val="clear" w:color="auto" w:fill="auto"/>
            <w:noWrap/>
            <w:vAlign w:val="bottom"/>
            <w:hideMark/>
          </w:tcPr>
          <w:p w14:paraId="37EE894D" w14:textId="49540C10" w:rsidR="00194ADF" w:rsidRPr="00194ADF" w:rsidRDefault="00194ADF" w:rsidP="00F92526">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50%</w:t>
            </w:r>
          </w:p>
        </w:tc>
        <w:tc>
          <w:tcPr>
            <w:tcW w:w="1341" w:type="dxa"/>
            <w:shd w:val="clear" w:color="auto" w:fill="auto"/>
            <w:noWrap/>
            <w:vAlign w:val="bottom"/>
            <w:hideMark/>
          </w:tcPr>
          <w:p w14:paraId="55161734"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48,80%</w:t>
            </w:r>
          </w:p>
        </w:tc>
        <w:tc>
          <w:tcPr>
            <w:tcW w:w="1417" w:type="dxa"/>
            <w:shd w:val="clear" w:color="auto" w:fill="auto"/>
            <w:noWrap/>
            <w:vAlign w:val="bottom"/>
            <w:hideMark/>
          </w:tcPr>
          <w:p w14:paraId="4B8503A0"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47,60%</w:t>
            </w:r>
          </w:p>
        </w:tc>
        <w:tc>
          <w:tcPr>
            <w:tcW w:w="1418" w:type="dxa"/>
            <w:shd w:val="clear" w:color="auto" w:fill="auto"/>
            <w:noWrap/>
            <w:vAlign w:val="bottom"/>
            <w:hideMark/>
          </w:tcPr>
          <w:p w14:paraId="48E8F3E1"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46,40%</w:t>
            </w:r>
          </w:p>
        </w:tc>
        <w:tc>
          <w:tcPr>
            <w:tcW w:w="1559" w:type="dxa"/>
            <w:shd w:val="clear" w:color="auto" w:fill="auto"/>
            <w:noWrap/>
            <w:vAlign w:val="bottom"/>
            <w:hideMark/>
          </w:tcPr>
          <w:p w14:paraId="2BE0E804"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45,10%</w:t>
            </w:r>
          </w:p>
        </w:tc>
        <w:tc>
          <w:tcPr>
            <w:tcW w:w="1418" w:type="dxa"/>
            <w:shd w:val="clear" w:color="auto" w:fill="auto"/>
            <w:noWrap/>
            <w:vAlign w:val="bottom"/>
            <w:hideMark/>
          </w:tcPr>
          <w:p w14:paraId="6E319CCB" w14:textId="77777777" w:rsidR="00194ADF" w:rsidRPr="00194ADF" w:rsidRDefault="00194ADF" w:rsidP="00F9252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43,80%</w:t>
            </w:r>
          </w:p>
        </w:tc>
      </w:tr>
    </w:tbl>
    <w:p w14:paraId="07EAC203" w14:textId="77777777" w:rsidR="00194ADF" w:rsidRDefault="00194ADF" w:rsidP="0091519F">
      <w:pPr>
        <w:pStyle w:val="Lijstalinea"/>
        <w:spacing w:after="0"/>
        <w:ind w:left="709"/>
        <w:jc w:val="both"/>
      </w:pPr>
    </w:p>
    <w:p w14:paraId="028FB4EB" w14:textId="77777777" w:rsidR="00194ADF" w:rsidRDefault="00194ADF" w:rsidP="00F92526">
      <w:pPr>
        <w:spacing w:after="0"/>
        <w:jc w:val="both"/>
      </w:pPr>
    </w:p>
    <w:p w14:paraId="4422102A" w14:textId="206C549F" w:rsidR="0091519F" w:rsidRPr="002C40CF" w:rsidRDefault="0091519F" w:rsidP="0091519F">
      <w:pPr>
        <w:pStyle w:val="Lijstalinea"/>
        <w:spacing w:after="0"/>
        <w:ind w:left="709"/>
        <w:jc w:val="both"/>
      </w:pPr>
      <w:r w:rsidRPr="002C40CF">
        <w:t xml:space="preserve">Met deze ingrepen </w:t>
      </w:r>
      <w:r w:rsidR="00FE18FA">
        <w:t xml:space="preserve">(budget 2019) </w:t>
      </w:r>
      <w:r w:rsidRPr="002C40CF">
        <w:t xml:space="preserve">zouden de </w:t>
      </w:r>
      <w:r w:rsidR="008D31D6">
        <w:t>ontvang</w:t>
      </w:r>
      <w:r w:rsidR="008D31D6" w:rsidRPr="002C40CF">
        <w:t>sten</w:t>
      </w:r>
      <w:r w:rsidRPr="002C40CF">
        <w:t xml:space="preserve"> </w:t>
      </w:r>
      <w:r>
        <w:t xml:space="preserve">uit de personenbelasting </w:t>
      </w:r>
      <w:r w:rsidRPr="002C40CF">
        <w:t>met resp.</w:t>
      </w:r>
      <w:r w:rsidR="006F671F">
        <w:t xml:space="preserve"> </w:t>
      </w:r>
      <w:r w:rsidRPr="002C40CF">
        <w:t>2.0</w:t>
      </w:r>
      <w:r w:rsidR="00183709">
        <w:t xml:space="preserve">09 </w:t>
      </w:r>
      <w:r w:rsidR="00CA2D19">
        <w:t>miljoen euro</w:t>
      </w:r>
      <w:r w:rsidR="00C544E4">
        <w:t xml:space="preserve"> (I)</w:t>
      </w:r>
      <w:r w:rsidRPr="002C40CF">
        <w:t xml:space="preserve">, </w:t>
      </w:r>
      <w:r w:rsidR="00BA1F70">
        <w:t>3.991</w:t>
      </w:r>
      <w:r w:rsidRPr="002C40CF">
        <w:t xml:space="preserve"> </w:t>
      </w:r>
      <w:r w:rsidR="00CA2D19">
        <w:t>miljoen euro</w:t>
      </w:r>
      <w:r w:rsidR="00C544E4">
        <w:t xml:space="preserve"> (II)</w:t>
      </w:r>
      <w:r w:rsidR="004F04CE">
        <w:t xml:space="preserve">, </w:t>
      </w:r>
      <w:r w:rsidR="00BA1F70">
        <w:t>5.941</w:t>
      </w:r>
      <w:r w:rsidRPr="002C40CF">
        <w:t xml:space="preserve"> </w:t>
      </w:r>
      <w:r w:rsidR="00CA2D19">
        <w:t>miljoen euro</w:t>
      </w:r>
      <w:r w:rsidR="00C544E4">
        <w:t xml:space="preserve"> (III)</w:t>
      </w:r>
      <w:r w:rsidR="004F04CE">
        <w:t xml:space="preserve">, </w:t>
      </w:r>
      <w:r w:rsidR="0060610B">
        <w:t>8.016</w:t>
      </w:r>
      <w:r>
        <w:t xml:space="preserve"> </w:t>
      </w:r>
      <w:r w:rsidR="00CA2D19">
        <w:t>miljoen euro</w:t>
      </w:r>
      <w:r>
        <w:t xml:space="preserve"> </w:t>
      </w:r>
      <w:r w:rsidR="00C544E4">
        <w:t xml:space="preserve">(IV) </w:t>
      </w:r>
      <w:r>
        <w:t xml:space="preserve">en </w:t>
      </w:r>
      <w:r w:rsidR="0060610B">
        <w:t>10.050</w:t>
      </w:r>
      <w:r>
        <w:t xml:space="preserve"> </w:t>
      </w:r>
      <w:r w:rsidR="00CA2D19">
        <w:t>miljoen euro</w:t>
      </w:r>
      <w:r w:rsidR="00C544E4">
        <w:t xml:space="preserve"> (V)</w:t>
      </w:r>
      <w:r w:rsidRPr="002C40CF">
        <w:t xml:space="preserve"> dalen. </w:t>
      </w:r>
      <w:r>
        <w:t>De x-as geeft de loonkost/winst weer.</w:t>
      </w:r>
    </w:p>
    <w:p w14:paraId="314BBC58" w14:textId="710F1BC0" w:rsidR="009F148A" w:rsidRDefault="009F148A" w:rsidP="00BA7E3E">
      <w:pPr>
        <w:spacing w:after="0"/>
        <w:jc w:val="both"/>
      </w:pPr>
    </w:p>
    <w:p w14:paraId="6BA8983F" w14:textId="3B0657EB" w:rsidR="009F148A" w:rsidRDefault="009F148A" w:rsidP="00BA7E3E">
      <w:pPr>
        <w:spacing w:after="0"/>
        <w:jc w:val="both"/>
      </w:pPr>
    </w:p>
    <w:p w14:paraId="70A30414" w14:textId="0594A0B4" w:rsidR="009F148A" w:rsidRDefault="00B63099" w:rsidP="00BA7E3E">
      <w:pPr>
        <w:spacing w:after="0"/>
        <w:jc w:val="both"/>
      </w:pPr>
      <w:r>
        <w:rPr>
          <w:noProof/>
        </w:rPr>
        <w:drawing>
          <wp:inline distT="0" distB="0" distL="0" distR="0" wp14:anchorId="31E5DB54" wp14:editId="6FC8D865">
            <wp:extent cx="6076950" cy="411480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076950" cy="4114800"/>
                    </a:xfrm>
                    <a:prstGeom prst="rect">
                      <a:avLst/>
                    </a:prstGeom>
                  </pic:spPr>
                </pic:pic>
              </a:graphicData>
            </a:graphic>
          </wp:inline>
        </w:drawing>
      </w:r>
    </w:p>
    <w:p w14:paraId="0376E378" w14:textId="085E55D2" w:rsidR="00D718D7" w:rsidRDefault="00D718D7">
      <w:r>
        <w:br w:type="page"/>
      </w:r>
    </w:p>
    <w:p w14:paraId="260F129C" w14:textId="77777777" w:rsidR="00BD282F" w:rsidRDefault="00BD282F" w:rsidP="00BA7E3E">
      <w:pPr>
        <w:spacing w:after="0"/>
        <w:jc w:val="both"/>
      </w:pPr>
    </w:p>
    <w:p w14:paraId="734CB011" w14:textId="4F75772D" w:rsidR="00BD282F" w:rsidRDefault="00BD282F" w:rsidP="00BD282F">
      <w:pPr>
        <w:spacing w:after="0"/>
        <w:ind w:left="709"/>
        <w:jc w:val="both"/>
      </w:pPr>
      <w:r>
        <w:t xml:space="preserve">In de navolgende tabellen worden de resultaten van deze grafiek weergegeven t.o.v. verschillende inkomstencategorieën, die grosso </w:t>
      </w:r>
      <w:r w:rsidR="007D4938">
        <w:t xml:space="preserve">modo </w:t>
      </w:r>
      <w:r>
        <w:t>overeenstemmen met de looncategorieën (van respectievelijk 67%, 100% en 167% van het gemiddeld inkomen), die klassiek door de OESO worden weerhouden om de zogenaamde ‘tax wedge’ te meten.</w:t>
      </w:r>
    </w:p>
    <w:p w14:paraId="4C6B60B0" w14:textId="1141604C" w:rsidR="00BD282F" w:rsidRDefault="00BD282F" w:rsidP="00BA7E3E">
      <w:pPr>
        <w:spacing w:after="0"/>
        <w:jc w:val="both"/>
      </w:pPr>
    </w:p>
    <w:p w14:paraId="14180A1F" w14:textId="77777777" w:rsidR="00411CC3" w:rsidRDefault="00411CC3" w:rsidP="00BA7E3E">
      <w:pPr>
        <w:spacing w:after="0"/>
        <w:jc w:val="both"/>
      </w:pPr>
    </w:p>
    <w:tbl>
      <w:tblPr>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51"/>
        <w:gridCol w:w="2126"/>
        <w:gridCol w:w="2127"/>
      </w:tblGrid>
      <w:tr w:rsidR="00E723F7" w:rsidRPr="00D437AF" w14:paraId="72A32F8B" w14:textId="77777777" w:rsidTr="00E723F7">
        <w:trPr>
          <w:trHeight w:val="361"/>
        </w:trPr>
        <w:tc>
          <w:tcPr>
            <w:tcW w:w="1418" w:type="dxa"/>
            <w:tcMar>
              <w:top w:w="15" w:type="dxa"/>
              <w:left w:w="15" w:type="dxa"/>
              <w:bottom w:w="15" w:type="dxa"/>
              <w:right w:w="15" w:type="dxa"/>
            </w:tcMar>
            <w:vAlign w:val="bottom"/>
            <w:hideMark/>
          </w:tcPr>
          <w:p w14:paraId="744DE69D" w14:textId="690C5AE3" w:rsidR="00E723F7" w:rsidRPr="00D437AF" w:rsidRDefault="00E723F7" w:rsidP="00202E8A">
            <w:pPr>
              <w:spacing w:after="0" w:line="240" w:lineRule="auto"/>
              <w:ind w:left="-11"/>
              <w:rPr>
                <w:rFonts w:ascii="Calibri" w:eastAsia="Times New Roman" w:hAnsi="Calibri" w:cs="Calibri"/>
                <w:color w:val="000000"/>
                <w:u w:val="single"/>
                <w:lang w:eastAsia="nl-BE"/>
              </w:rPr>
            </w:pPr>
            <w:r>
              <w:rPr>
                <w:rFonts w:ascii="Calibri" w:eastAsia="Times New Roman" w:hAnsi="Calibri" w:cs="Calibri"/>
                <w:color w:val="000000"/>
                <w:u w:val="single"/>
                <w:lang w:eastAsia="nl-BE"/>
              </w:rPr>
              <w:t>Werknemers</w:t>
            </w:r>
          </w:p>
        </w:tc>
        <w:tc>
          <w:tcPr>
            <w:tcW w:w="2551" w:type="dxa"/>
            <w:tcMar>
              <w:top w:w="15" w:type="dxa"/>
              <w:left w:w="15" w:type="dxa"/>
              <w:bottom w:w="15" w:type="dxa"/>
              <w:right w:w="15" w:type="dxa"/>
            </w:tcMar>
            <w:vAlign w:val="bottom"/>
            <w:hideMark/>
          </w:tcPr>
          <w:p w14:paraId="6B94FCE2" w14:textId="77777777" w:rsidR="00E723F7" w:rsidRPr="00D437AF" w:rsidRDefault="00E723F7" w:rsidP="00202E8A">
            <w:pPr>
              <w:spacing w:after="0" w:line="240" w:lineRule="auto"/>
              <w:ind w:left="127"/>
              <w:rPr>
                <w:rFonts w:ascii="Times New Roman" w:eastAsia="Times New Roman" w:hAnsi="Times New Roman" w:cs="Times New Roman"/>
                <w:sz w:val="20"/>
                <w:szCs w:val="20"/>
                <w:lang w:eastAsia="nl-BE"/>
              </w:rPr>
            </w:pPr>
          </w:p>
        </w:tc>
        <w:tc>
          <w:tcPr>
            <w:tcW w:w="2126" w:type="dxa"/>
            <w:tcMar>
              <w:top w:w="15" w:type="dxa"/>
              <w:left w:w="15" w:type="dxa"/>
              <w:bottom w:w="15" w:type="dxa"/>
              <w:right w:w="15" w:type="dxa"/>
            </w:tcMar>
            <w:vAlign w:val="bottom"/>
            <w:hideMark/>
          </w:tcPr>
          <w:p w14:paraId="4DB66103" w14:textId="77777777" w:rsidR="00E723F7" w:rsidRPr="00D437AF" w:rsidRDefault="00E723F7" w:rsidP="00202E8A">
            <w:pPr>
              <w:spacing w:after="0" w:line="240" w:lineRule="auto"/>
              <w:ind w:left="127"/>
              <w:rPr>
                <w:rFonts w:ascii="Times New Roman" w:eastAsia="Times New Roman" w:hAnsi="Times New Roman" w:cs="Times New Roman"/>
                <w:sz w:val="20"/>
                <w:szCs w:val="20"/>
                <w:lang w:eastAsia="nl-BE"/>
              </w:rPr>
            </w:pPr>
          </w:p>
        </w:tc>
        <w:tc>
          <w:tcPr>
            <w:tcW w:w="2127" w:type="dxa"/>
            <w:tcMar>
              <w:top w:w="15" w:type="dxa"/>
              <w:left w:w="15" w:type="dxa"/>
              <w:bottom w:w="15" w:type="dxa"/>
              <w:right w:w="15" w:type="dxa"/>
            </w:tcMar>
            <w:vAlign w:val="bottom"/>
            <w:hideMark/>
          </w:tcPr>
          <w:p w14:paraId="68B4941E" w14:textId="77777777" w:rsidR="00E723F7" w:rsidRPr="00D437AF" w:rsidRDefault="00E723F7" w:rsidP="00202E8A">
            <w:pPr>
              <w:spacing w:after="0" w:line="240" w:lineRule="auto"/>
              <w:ind w:left="127"/>
              <w:rPr>
                <w:rFonts w:ascii="Times New Roman" w:eastAsia="Times New Roman" w:hAnsi="Times New Roman" w:cs="Times New Roman"/>
                <w:sz w:val="20"/>
                <w:szCs w:val="20"/>
                <w:lang w:eastAsia="nl-BE"/>
              </w:rPr>
            </w:pPr>
          </w:p>
        </w:tc>
      </w:tr>
      <w:tr w:rsidR="00E723F7" w:rsidRPr="00D437AF" w14:paraId="3AC4AF97" w14:textId="77777777" w:rsidTr="00E723F7">
        <w:trPr>
          <w:trHeight w:val="361"/>
        </w:trPr>
        <w:tc>
          <w:tcPr>
            <w:tcW w:w="1418" w:type="dxa"/>
            <w:tcMar>
              <w:top w:w="15" w:type="dxa"/>
              <w:left w:w="15" w:type="dxa"/>
              <w:bottom w:w="15" w:type="dxa"/>
              <w:right w:w="15" w:type="dxa"/>
            </w:tcMar>
            <w:vAlign w:val="bottom"/>
            <w:hideMark/>
          </w:tcPr>
          <w:p w14:paraId="7963CFDE" w14:textId="77777777" w:rsidR="00E723F7" w:rsidRPr="00D437AF" w:rsidRDefault="00E723F7" w:rsidP="00202E8A">
            <w:pPr>
              <w:spacing w:after="0" w:line="240" w:lineRule="auto"/>
              <w:ind w:left="127"/>
              <w:rPr>
                <w:rFonts w:ascii="Times New Roman" w:eastAsia="Times New Roman" w:hAnsi="Times New Roman" w:cs="Times New Roman"/>
                <w:sz w:val="20"/>
                <w:szCs w:val="20"/>
                <w:lang w:eastAsia="nl-BE"/>
              </w:rPr>
            </w:pPr>
          </w:p>
        </w:tc>
        <w:tc>
          <w:tcPr>
            <w:tcW w:w="2551" w:type="dxa"/>
            <w:tcMar>
              <w:top w:w="15" w:type="dxa"/>
              <w:left w:w="15" w:type="dxa"/>
              <w:bottom w:w="15" w:type="dxa"/>
              <w:right w:w="15" w:type="dxa"/>
            </w:tcMar>
            <w:vAlign w:val="bottom"/>
            <w:hideMark/>
          </w:tcPr>
          <w:p w14:paraId="052A78E7" w14:textId="77777777" w:rsidR="00E723F7" w:rsidRPr="00D437AF" w:rsidRDefault="00E723F7" w:rsidP="00202E8A">
            <w:pPr>
              <w:spacing w:after="0" w:line="240" w:lineRule="auto"/>
              <w:ind w:left="127"/>
              <w:jc w:val="right"/>
              <w:rPr>
                <w:rFonts w:ascii="Calibri" w:eastAsia="Times New Roman" w:hAnsi="Calibri" w:cs="Calibri"/>
                <w:b/>
                <w:bCs/>
                <w:color w:val="000000"/>
                <w:lang w:eastAsia="nl-BE"/>
              </w:rPr>
            </w:pPr>
            <w:r w:rsidRPr="00D437AF">
              <w:rPr>
                <w:rFonts w:ascii="Calibri" w:eastAsia="Times New Roman" w:hAnsi="Calibri" w:cs="Calibri"/>
                <w:b/>
                <w:bCs/>
                <w:color w:val="000000"/>
                <w:lang w:eastAsia="nl-BE"/>
              </w:rPr>
              <w:t>67%</w:t>
            </w:r>
          </w:p>
        </w:tc>
        <w:tc>
          <w:tcPr>
            <w:tcW w:w="2126" w:type="dxa"/>
            <w:tcMar>
              <w:top w:w="15" w:type="dxa"/>
              <w:left w:w="15" w:type="dxa"/>
              <w:bottom w:w="15" w:type="dxa"/>
              <w:right w:w="15" w:type="dxa"/>
            </w:tcMar>
            <w:vAlign w:val="bottom"/>
            <w:hideMark/>
          </w:tcPr>
          <w:p w14:paraId="496CF622" w14:textId="77777777" w:rsidR="00E723F7" w:rsidRPr="00D437AF" w:rsidRDefault="00E723F7" w:rsidP="00202E8A">
            <w:pPr>
              <w:spacing w:after="0" w:line="240" w:lineRule="auto"/>
              <w:ind w:left="127"/>
              <w:jc w:val="right"/>
              <w:rPr>
                <w:rFonts w:ascii="Calibri" w:eastAsia="Times New Roman" w:hAnsi="Calibri" w:cs="Calibri"/>
                <w:b/>
                <w:bCs/>
                <w:color w:val="000000"/>
                <w:lang w:eastAsia="nl-BE"/>
              </w:rPr>
            </w:pPr>
            <w:r w:rsidRPr="00D437AF">
              <w:rPr>
                <w:rFonts w:ascii="Calibri" w:eastAsia="Times New Roman" w:hAnsi="Calibri" w:cs="Calibri"/>
                <w:b/>
                <w:bCs/>
                <w:color w:val="000000"/>
                <w:lang w:eastAsia="nl-BE"/>
              </w:rPr>
              <w:t>100%</w:t>
            </w:r>
          </w:p>
        </w:tc>
        <w:tc>
          <w:tcPr>
            <w:tcW w:w="2127" w:type="dxa"/>
            <w:tcMar>
              <w:top w:w="15" w:type="dxa"/>
              <w:left w:w="15" w:type="dxa"/>
              <w:bottom w:w="15" w:type="dxa"/>
              <w:right w:w="15" w:type="dxa"/>
            </w:tcMar>
            <w:vAlign w:val="bottom"/>
            <w:hideMark/>
          </w:tcPr>
          <w:p w14:paraId="742B4360" w14:textId="77777777" w:rsidR="00E723F7" w:rsidRPr="00D437AF" w:rsidRDefault="00E723F7" w:rsidP="00202E8A">
            <w:pPr>
              <w:spacing w:after="0" w:line="240" w:lineRule="auto"/>
              <w:ind w:left="127"/>
              <w:jc w:val="right"/>
              <w:rPr>
                <w:rFonts w:ascii="Calibri" w:eastAsia="Times New Roman" w:hAnsi="Calibri" w:cs="Calibri"/>
                <w:b/>
                <w:bCs/>
                <w:color w:val="000000"/>
                <w:lang w:eastAsia="nl-BE"/>
              </w:rPr>
            </w:pPr>
            <w:r w:rsidRPr="00D437AF">
              <w:rPr>
                <w:rFonts w:ascii="Calibri" w:eastAsia="Times New Roman" w:hAnsi="Calibri" w:cs="Calibri"/>
                <w:b/>
                <w:bCs/>
                <w:color w:val="000000"/>
                <w:lang w:eastAsia="nl-BE"/>
              </w:rPr>
              <w:t>167%</w:t>
            </w:r>
          </w:p>
        </w:tc>
      </w:tr>
      <w:tr w:rsidR="008C561A" w:rsidRPr="00D437AF" w14:paraId="3A6F29FD" w14:textId="77777777" w:rsidTr="00E723F7">
        <w:trPr>
          <w:trHeight w:val="361"/>
        </w:trPr>
        <w:tc>
          <w:tcPr>
            <w:tcW w:w="1418" w:type="dxa"/>
            <w:tcMar>
              <w:top w:w="15" w:type="dxa"/>
              <w:left w:w="15" w:type="dxa"/>
              <w:bottom w:w="15" w:type="dxa"/>
              <w:right w:w="15" w:type="dxa"/>
            </w:tcMar>
            <w:vAlign w:val="bottom"/>
            <w:hideMark/>
          </w:tcPr>
          <w:p w14:paraId="2690F51F" w14:textId="0E2F8C6C" w:rsidR="008C561A" w:rsidRPr="00D437AF" w:rsidRDefault="008C561A" w:rsidP="008C561A">
            <w:pPr>
              <w:spacing w:after="0" w:line="240" w:lineRule="auto"/>
              <w:ind w:left="125"/>
              <w:jc w:val="center"/>
              <w:rPr>
                <w:rFonts w:ascii="Calibri" w:eastAsia="Times New Roman" w:hAnsi="Calibri" w:cs="Calibri"/>
                <w:b/>
                <w:bCs/>
                <w:color w:val="000000"/>
                <w:lang w:eastAsia="nl-BE"/>
              </w:rPr>
            </w:pPr>
            <w:r w:rsidRPr="0076210D">
              <w:rPr>
                <w:b/>
                <w:color w:val="000000"/>
              </w:rPr>
              <w:t>Bas</w:t>
            </w:r>
            <w:r>
              <w:rPr>
                <w:b/>
                <w:color w:val="000000"/>
              </w:rPr>
              <w:t>is</w:t>
            </w:r>
          </w:p>
        </w:tc>
        <w:tc>
          <w:tcPr>
            <w:tcW w:w="2551" w:type="dxa"/>
            <w:shd w:val="clear" w:color="auto" w:fill="auto"/>
            <w:tcMar>
              <w:top w:w="15" w:type="dxa"/>
              <w:left w:w="15" w:type="dxa"/>
              <w:bottom w:w="15" w:type="dxa"/>
              <w:right w:w="15" w:type="dxa"/>
            </w:tcMar>
            <w:vAlign w:val="bottom"/>
            <w:hideMark/>
          </w:tcPr>
          <w:p w14:paraId="221861C2"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44,75%</w:t>
            </w:r>
          </w:p>
        </w:tc>
        <w:tc>
          <w:tcPr>
            <w:tcW w:w="2126" w:type="dxa"/>
            <w:shd w:val="clear" w:color="auto" w:fill="auto"/>
            <w:tcMar>
              <w:top w:w="15" w:type="dxa"/>
              <w:left w:w="15" w:type="dxa"/>
              <w:bottom w:w="15" w:type="dxa"/>
              <w:right w:w="15" w:type="dxa"/>
            </w:tcMar>
            <w:vAlign w:val="bottom"/>
            <w:hideMark/>
          </w:tcPr>
          <w:p w14:paraId="1C6B0B7F"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50,56%</w:t>
            </w:r>
          </w:p>
        </w:tc>
        <w:tc>
          <w:tcPr>
            <w:tcW w:w="2127" w:type="dxa"/>
            <w:shd w:val="clear" w:color="auto" w:fill="auto"/>
            <w:tcMar>
              <w:top w:w="15" w:type="dxa"/>
              <w:left w:w="15" w:type="dxa"/>
              <w:bottom w:w="15" w:type="dxa"/>
              <w:right w:w="15" w:type="dxa"/>
            </w:tcMar>
            <w:vAlign w:val="bottom"/>
            <w:hideMark/>
          </w:tcPr>
          <w:p w14:paraId="51A4CD92"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56,69%</w:t>
            </w:r>
          </w:p>
        </w:tc>
      </w:tr>
      <w:tr w:rsidR="008C561A" w:rsidRPr="00D437AF" w14:paraId="2F9BB8BB" w14:textId="77777777" w:rsidTr="00E723F7">
        <w:trPr>
          <w:trHeight w:val="361"/>
        </w:trPr>
        <w:tc>
          <w:tcPr>
            <w:tcW w:w="1418" w:type="dxa"/>
            <w:tcMar>
              <w:top w:w="15" w:type="dxa"/>
              <w:left w:w="15" w:type="dxa"/>
              <w:bottom w:w="15" w:type="dxa"/>
              <w:right w:w="15" w:type="dxa"/>
            </w:tcMar>
            <w:vAlign w:val="bottom"/>
            <w:hideMark/>
          </w:tcPr>
          <w:p w14:paraId="55AAA17B" w14:textId="71924A63" w:rsidR="008C561A" w:rsidRPr="00CA6EB5" w:rsidRDefault="008C561A" w:rsidP="008C561A">
            <w:pPr>
              <w:spacing w:after="0" w:line="240" w:lineRule="auto"/>
              <w:ind w:left="127"/>
              <w:jc w:val="center"/>
              <w:rPr>
                <w:rFonts w:ascii="Calibri" w:eastAsia="Times New Roman" w:hAnsi="Calibri" w:cs="Calibri"/>
                <w:bCs/>
                <w:color w:val="000000"/>
                <w:lang w:eastAsia="nl-BE"/>
              </w:rPr>
            </w:pPr>
            <w:r w:rsidRPr="00CA6EB5">
              <w:rPr>
                <w:bCs/>
                <w:color w:val="000000"/>
              </w:rPr>
              <w:t>I</w:t>
            </w:r>
          </w:p>
        </w:tc>
        <w:tc>
          <w:tcPr>
            <w:tcW w:w="2551" w:type="dxa"/>
            <w:shd w:val="clear" w:color="auto" w:fill="auto"/>
            <w:tcMar>
              <w:top w:w="15" w:type="dxa"/>
              <w:left w:w="15" w:type="dxa"/>
              <w:bottom w:w="15" w:type="dxa"/>
              <w:right w:w="15" w:type="dxa"/>
            </w:tcMar>
            <w:vAlign w:val="bottom"/>
            <w:hideMark/>
          </w:tcPr>
          <w:p w14:paraId="0E01CBF8"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43,69%</w:t>
            </w:r>
          </w:p>
        </w:tc>
        <w:tc>
          <w:tcPr>
            <w:tcW w:w="2126" w:type="dxa"/>
            <w:shd w:val="clear" w:color="auto" w:fill="auto"/>
            <w:tcMar>
              <w:top w:w="15" w:type="dxa"/>
              <w:left w:w="15" w:type="dxa"/>
              <w:bottom w:w="15" w:type="dxa"/>
              <w:right w:w="15" w:type="dxa"/>
            </w:tcMar>
            <w:vAlign w:val="bottom"/>
            <w:hideMark/>
          </w:tcPr>
          <w:p w14:paraId="75FAAC3A"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49,32%</w:t>
            </w:r>
          </w:p>
        </w:tc>
        <w:tc>
          <w:tcPr>
            <w:tcW w:w="2127" w:type="dxa"/>
            <w:shd w:val="clear" w:color="auto" w:fill="auto"/>
            <w:tcMar>
              <w:top w:w="15" w:type="dxa"/>
              <w:left w:w="15" w:type="dxa"/>
              <w:bottom w:w="15" w:type="dxa"/>
              <w:right w:w="15" w:type="dxa"/>
            </w:tcMar>
            <w:vAlign w:val="bottom"/>
            <w:hideMark/>
          </w:tcPr>
          <w:p w14:paraId="2CAE23AF"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55,34%</w:t>
            </w:r>
          </w:p>
        </w:tc>
      </w:tr>
      <w:tr w:rsidR="008C561A" w:rsidRPr="00D437AF" w14:paraId="19028338" w14:textId="77777777" w:rsidTr="00E723F7">
        <w:trPr>
          <w:trHeight w:val="361"/>
        </w:trPr>
        <w:tc>
          <w:tcPr>
            <w:tcW w:w="1418" w:type="dxa"/>
            <w:tcMar>
              <w:top w:w="15" w:type="dxa"/>
              <w:left w:w="15" w:type="dxa"/>
              <w:bottom w:w="15" w:type="dxa"/>
              <w:right w:w="15" w:type="dxa"/>
            </w:tcMar>
            <w:vAlign w:val="bottom"/>
            <w:hideMark/>
          </w:tcPr>
          <w:p w14:paraId="040AB4B4" w14:textId="77BA23A4" w:rsidR="008C561A" w:rsidRPr="00CA6EB5" w:rsidRDefault="008C561A" w:rsidP="008C561A">
            <w:pPr>
              <w:spacing w:after="0" w:line="240" w:lineRule="auto"/>
              <w:ind w:left="127"/>
              <w:jc w:val="center"/>
              <w:rPr>
                <w:rFonts w:ascii="Calibri" w:eastAsia="Times New Roman" w:hAnsi="Calibri" w:cs="Calibri"/>
                <w:bCs/>
                <w:color w:val="000000"/>
                <w:lang w:eastAsia="nl-BE"/>
              </w:rPr>
            </w:pPr>
            <w:r w:rsidRPr="00CA6EB5">
              <w:rPr>
                <w:rFonts w:eastAsia="Times New Roman"/>
                <w:bCs/>
                <w:color w:val="000000"/>
              </w:rPr>
              <w:t>II</w:t>
            </w:r>
          </w:p>
        </w:tc>
        <w:tc>
          <w:tcPr>
            <w:tcW w:w="2551" w:type="dxa"/>
            <w:shd w:val="clear" w:color="auto" w:fill="auto"/>
            <w:tcMar>
              <w:top w:w="15" w:type="dxa"/>
              <w:left w:w="15" w:type="dxa"/>
              <w:bottom w:w="15" w:type="dxa"/>
              <w:right w:w="15" w:type="dxa"/>
            </w:tcMar>
            <w:vAlign w:val="bottom"/>
            <w:hideMark/>
          </w:tcPr>
          <w:p w14:paraId="29C31DE8"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43,24%</w:t>
            </w:r>
          </w:p>
        </w:tc>
        <w:tc>
          <w:tcPr>
            <w:tcW w:w="2126" w:type="dxa"/>
            <w:shd w:val="clear" w:color="auto" w:fill="auto"/>
            <w:tcMar>
              <w:top w:w="15" w:type="dxa"/>
              <w:left w:w="15" w:type="dxa"/>
              <w:bottom w:w="15" w:type="dxa"/>
              <w:right w:w="15" w:type="dxa"/>
            </w:tcMar>
            <w:vAlign w:val="bottom"/>
            <w:hideMark/>
          </w:tcPr>
          <w:p w14:paraId="3D5F0FD1"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48,75%</w:t>
            </w:r>
          </w:p>
        </w:tc>
        <w:tc>
          <w:tcPr>
            <w:tcW w:w="2127" w:type="dxa"/>
            <w:shd w:val="clear" w:color="auto" w:fill="auto"/>
            <w:tcMar>
              <w:top w:w="15" w:type="dxa"/>
              <w:left w:w="15" w:type="dxa"/>
              <w:bottom w:w="15" w:type="dxa"/>
              <w:right w:w="15" w:type="dxa"/>
            </w:tcMar>
            <w:vAlign w:val="bottom"/>
            <w:hideMark/>
          </w:tcPr>
          <w:p w14:paraId="02EEAA28"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54,66%</w:t>
            </w:r>
          </w:p>
        </w:tc>
      </w:tr>
      <w:tr w:rsidR="008C561A" w:rsidRPr="00D437AF" w14:paraId="0ACA0F1E" w14:textId="77777777" w:rsidTr="00E723F7">
        <w:trPr>
          <w:trHeight w:val="361"/>
        </w:trPr>
        <w:tc>
          <w:tcPr>
            <w:tcW w:w="1418" w:type="dxa"/>
            <w:tcMar>
              <w:top w:w="15" w:type="dxa"/>
              <w:left w:w="15" w:type="dxa"/>
              <w:bottom w:w="15" w:type="dxa"/>
              <w:right w:w="15" w:type="dxa"/>
            </w:tcMar>
            <w:vAlign w:val="bottom"/>
            <w:hideMark/>
          </w:tcPr>
          <w:p w14:paraId="1070C827" w14:textId="15E1C982" w:rsidR="008C561A" w:rsidRPr="00CA6EB5" w:rsidRDefault="008C561A" w:rsidP="008C561A">
            <w:pPr>
              <w:spacing w:after="0" w:line="240" w:lineRule="auto"/>
              <w:ind w:left="127"/>
              <w:jc w:val="center"/>
              <w:rPr>
                <w:rFonts w:ascii="Calibri" w:eastAsia="Times New Roman" w:hAnsi="Calibri" w:cs="Calibri"/>
                <w:bCs/>
                <w:color w:val="000000"/>
                <w:lang w:eastAsia="nl-BE"/>
              </w:rPr>
            </w:pPr>
            <w:r w:rsidRPr="00CA6EB5">
              <w:rPr>
                <w:rFonts w:eastAsia="Times New Roman"/>
                <w:bCs/>
                <w:color w:val="000000"/>
              </w:rPr>
              <w:t>III</w:t>
            </w:r>
          </w:p>
        </w:tc>
        <w:tc>
          <w:tcPr>
            <w:tcW w:w="2551" w:type="dxa"/>
            <w:shd w:val="clear" w:color="auto" w:fill="auto"/>
            <w:tcMar>
              <w:top w:w="15" w:type="dxa"/>
              <w:left w:w="15" w:type="dxa"/>
              <w:bottom w:w="15" w:type="dxa"/>
              <w:right w:w="15" w:type="dxa"/>
            </w:tcMar>
            <w:vAlign w:val="bottom"/>
            <w:hideMark/>
          </w:tcPr>
          <w:p w14:paraId="51BB2B40"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42,79%</w:t>
            </w:r>
          </w:p>
        </w:tc>
        <w:tc>
          <w:tcPr>
            <w:tcW w:w="2126" w:type="dxa"/>
            <w:shd w:val="clear" w:color="auto" w:fill="auto"/>
            <w:tcMar>
              <w:top w:w="15" w:type="dxa"/>
              <w:left w:w="15" w:type="dxa"/>
              <w:bottom w:w="15" w:type="dxa"/>
              <w:right w:w="15" w:type="dxa"/>
            </w:tcMar>
            <w:vAlign w:val="bottom"/>
            <w:hideMark/>
          </w:tcPr>
          <w:p w14:paraId="1477211A"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48,17%</w:t>
            </w:r>
          </w:p>
        </w:tc>
        <w:tc>
          <w:tcPr>
            <w:tcW w:w="2127" w:type="dxa"/>
            <w:shd w:val="clear" w:color="auto" w:fill="auto"/>
            <w:tcMar>
              <w:top w:w="15" w:type="dxa"/>
              <w:left w:w="15" w:type="dxa"/>
              <w:bottom w:w="15" w:type="dxa"/>
              <w:right w:w="15" w:type="dxa"/>
            </w:tcMar>
            <w:vAlign w:val="bottom"/>
            <w:hideMark/>
          </w:tcPr>
          <w:p w14:paraId="393D96AC"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53,98%</w:t>
            </w:r>
          </w:p>
        </w:tc>
      </w:tr>
      <w:tr w:rsidR="008C561A" w:rsidRPr="00D437AF" w14:paraId="0F11EDD7" w14:textId="77777777" w:rsidTr="00E723F7">
        <w:trPr>
          <w:trHeight w:val="361"/>
        </w:trPr>
        <w:tc>
          <w:tcPr>
            <w:tcW w:w="1418" w:type="dxa"/>
            <w:tcMar>
              <w:top w:w="15" w:type="dxa"/>
              <w:left w:w="15" w:type="dxa"/>
              <w:bottom w:w="15" w:type="dxa"/>
              <w:right w:w="15" w:type="dxa"/>
            </w:tcMar>
            <w:vAlign w:val="bottom"/>
            <w:hideMark/>
          </w:tcPr>
          <w:p w14:paraId="04B2A215" w14:textId="12A8F9F4" w:rsidR="008C561A" w:rsidRPr="00CA6EB5" w:rsidRDefault="008C561A" w:rsidP="008C561A">
            <w:pPr>
              <w:spacing w:after="0" w:line="240" w:lineRule="auto"/>
              <w:ind w:left="127"/>
              <w:jc w:val="center"/>
              <w:rPr>
                <w:rFonts w:ascii="Calibri" w:eastAsia="Times New Roman" w:hAnsi="Calibri" w:cs="Calibri"/>
                <w:bCs/>
                <w:color w:val="000000"/>
                <w:lang w:eastAsia="nl-BE"/>
              </w:rPr>
            </w:pPr>
            <w:r w:rsidRPr="00CA6EB5">
              <w:rPr>
                <w:rFonts w:eastAsia="Times New Roman"/>
                <w:bCs/>
                <w:color w:val="000000"/>
              </w:rPr>
              <w:t>IV</w:t>
            </w:r>
          </w:p>
        </w:tc>
        <w:tc>
          <w:tcPr>
            <w:tcW w:w="2551" w:type="dxa"/>
            <w:shd w:val="clear" w:color="auto" w:fill="auto"/>
            <w:tcMar>
              <w:top w:w="15" w:type="dxa"/>
              <w:left w:w="15" w:type="dxa"/>
              <w:bottom w:w="15" w:type="dxa"/>
              <w:right w:w="15" w:type="dxa"/>
            </w:tcMar>
            <w:vAlign w:val="bottom"/>
            <w:hideMark/>
          </w:tcPr>
          <w:p w14:paraId="5400AB3C"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42,30%</w:t>
            </w:r>
          </w:p>
        </w:tc>
        <w:tc>
          <w:tcPr>
            <w:tcW w:w="2126" w:type="dxa"/>
            <w:shd w:val="clear" w:color="auto" w:fill="auto"/>
            <w:tcMar>
              <w:top w:w="15" w:type="dxa"/>
              <w:left w:w="15" w:type="dxa"/>
              <w:bottom w:w="15" w:type="dxa"/>
              <w:right w:w="15" w:type="dxa"/>
            </w:tcMar>
            <w:vAlign w:val="bottom"/>
            <w:hideMark/>
          </w:tcPr>
          <w:p w14:paraId="38B6120F"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47,55%</w:t>
            </w:r>
          </w:p>
        </w:tc>
        <w:tc>
          <w:tcPr>
            <w:tcW w:w="2127" w:type="dxa"/>
            <w:shd w:val="clear" w:color="auto" w:fill="auto"/>
            <w:tcMar>
              <w:top w:w="15" w:type="dxa"/>
              <w:left w:w="15" w:type="dxa"/>
              <w:bottom w:w="15" w:type="dxa"/>
              <w:right w:w="15" w:type="dxa"/>
            </w:tcMar>
            <w:vAlign w:val="bottom"/>
            <w:hideMark/>
          </w:tcPr>
          <w:p w14:paraId="3BDFAD8E"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53,24%</w:t>
            </w:r>
          </w:p>
        </w:tc>
      </w:tr>
      <w:tr w:rsidR="008C561A" w:rsidRPr="00D437AF" w14:paraId="64E2EFA1" w14:textId="77777777" w:rsidTr="00E723F7">
        <w:trPr>
          <w:trHeight w:val="361"/>
        </w:trPr>
        <w:tc>
          <w:tcPr>
            <w:tcW w:w="1418" w:type="dxa"/>
            <w:tcMar>
              <w:top w:w="15" w:type="dxa"/>
              <w:left w:w="15" w:type="dxa"/>
              <w:bottom w:w="15" w:type="dxa"/>
              <w:right w:w="15" w:type="dxa"/>
            </w:tcMar>
            <w:vAlign w:val="bottom"/>
            <w:hideMark/>
          </w:tcPr>
          <w:p w14:paraId="3DDE0EFF" w14:textId="7CABC1BE" w:rsidR="008C561A" w:rsidRPr="00CA6EB5" w:rsidRDefault="008C561A" w:rsidP="008C561A">
            <w:pPr>
              <w:spacing w:after="0" w:line="240" w:lineRule="auto"/>
              <w:ind w:left="127"/>
              <w:jc w:val="center"/>
              <w:rPr>
                <w:rFonts w:ascii="Calibri" w:eastAsia="Times New Roman" w:hAnsi="Calibri" w:cs="Calibri"/>
                <w:bCs/>
                <w:color w:val="000000"/>
                <w:lang w:eastAsia="nl-BE"/>
              </w:rPr>
            </w:pPr>
            <w:r w:rsidRPr="00CA6EB5">
              <w:rPr>
                <w:rFonts w:eastAsia="Times New Roman"/>
                <w:bCs/>
                <w:color w:val="000000"/>
              </w:rPr>
              <w:t>V</w:t>
            </w:r>
          </w:p>
        </w:tc>
        <w:tc>
          <w:tcPr>
            <w:tcW w:w="2551" w:type="dxa"/>
            <w:shd w:val="clear" w:color="auto" w:fill="auto"/>
            <w:tcMar>
              <w:top w:w="15" w:type="dxa"/>
              <w:left w:w="15" w:type="dxa"/>
              <w:bottom w:w="15" w:type="dxa"/>
              <w:right w:w="15" w:type="dxa"/>
            </w:tcMar>
            <w:vAlign w:val="bottom"/>
            <w:hideMark/>
          </w:tcPr>
          <w:p w14:paraId="0AF227D4"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41,81%</w:t>
            </w:r>
          </w:p>
        </w:tc>
        <w:tc>
          <w:tcPr>
            <w:tcW w:w="2126" w:type="dxa"/>
            <w:shd w:val="clear" w:color="auto" w:fill="auto"/>
            <w:tcMar>
              <w:top w:w="15" w:type="dxa"/>
              <w:left w:w="15" w:type="dxa"/>
              <w:bottom w:w="15" w:type="dxa"/>
              <w:right w:w="15" w:type="dxa"/>
            </w:tcMar>
            <w:vAlign w:val="bottom"/>
            <w:hideMark/>
          </w:tcPr>
          <w:p w14:paraId="06EEA5AB"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46,92%</w:t>
            </w:r>
          </w:p>
        </w:tc>
        <w:tc>
          <w:tcPr>
            <w:tcW w:w="2127" w:type="dxa"/>
            <w:shd w:val="clear" w:color="auto" w:fill="auto"/>
            <w:tcMar>
              <w:top w:w="15" w:type="dxa"/>
              <w:left w:w="15" w:type="dxa"/>
              <w:bottom w:w="15" w:type="dxa"/>
              <w:right w:w="15" w:type="dxa"/>
            </w:tcMar>
            <w:vAlign w:val="bottom"/>
            <w:hideMark/>
          </w:tcPr>
          <w:p w14:paraId="0C5646B3"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52,50%</w:t>
            </w:r>
          </w:p>
        </w:tc>
      </w:tr>
      <w:tr w:rsidR="008C561A" w:rsidRPr="00D437AF" w14:paraId="7DBE0F82" w14:textId="77777777" w:rsidTr="00E723F7">
        <w:trPr>
          <w:trHeight w:val="361"/>
        </w:trPr>
        <w:tc>
          <w:tcPr>
            <w:tcW w:w="1418" w:type="dxa"/>
            <w:tcMar>
              <w:top w:w="15" w:type="dxa"/>
              <w:left w:w="15" w:type="dxa"/>
              <w:bottom w:w="15" w:type="dxa"/>
              <w:right w:w="15" w:type="dxa"/>
            </w:tcMar>
            <w:vAlign w:val="bottom"/>
            <w:hideMark/>
          </w:tcPr>
          <w:p w14:paraId="710FF2F0" w14:textId="77777777" w:rsidR="008C561A" w:rsidRPr="00D437AF" w:rsidRDefault="008C561A" w:rsidP="008C561A">
            <w:pPr>
              <w:spacing w:after="0" w:line="240" w:lineRule="auto"/>
              <w:ind w:left="127"/>
              <w:rPr>
                <w:rFonts w:ascii="Calibri" w:eastAsia="Times New Roman" w:hAnsi="Calibri" w:cs="Calibri"/>
                <w:color w:val="000000"/>
                <w:lang w:eastAsia="nl-BE"/>
              </w:rPr>
            </w:pPr>
          </w:p>
        </w:tc>
        <w:tc>
          <w:tcPr>
            <w:tcW w:w="2551" w:type="dxa"/>
            <w:tcMar>
              <w:top w:w="15" w:type="dxa"/>
              <w:left w:w="15" w:type="dxa"/>
              <w:bottom w:w="15" w:type="dxa"/>
              <w:right w:w="15" w:type="dxa"/>
            </w:tcMar>
            <w:vAlign w:val="bottom"/>
            <w:hideMark/>
          </w:tcPr>
          <w:p w14:paraId="0BE7E045" w14:textId="77777777" w:rsidR="008C561A" w:rsidRPr="00D437AF" w:rsidRDefault="008C561A" w:rsidP="008C561A">
            <w:pPr>
              <w:spacing w:after="0" w:line="240" w:lineRule="auto"/>
              <w:ind w:left="127"/>
              <w:rPr>
                <w:rFonts w:ascii="Times New Roman" w:eastAsia="Times New Roman" w:hAnsi="Times New Roman" w:cs="Times New Roman"/>
                <w:sz w:val="20"/>
                <w:szCs w:val="20"/>
                <w:lang w:eastAsia="nl-BE"/>
              </w:rPr>
            </w:pPr>
          </w:p>
        </w:tc>
        <w:tc>
          <w:tcPr>
            <w:tcW w:w="2126" w:type="dxa"/>
            <w:tcMar>
              <w:top w:w="15" w:type="dxa"/>
              <w:left w:w="15" w:type="dxa"/>
              <w:bottom w:w="15" w:type="dxa"/>
              <w:right w:w="15" w:type="dxa"/>
            </w:tcMar>
            <w:vAlign w:val="bottom"/>
            <w:hideMark/>
          </w:tcPr>
          <w:p w14:paraId="59936CF0" w14:textId="77777777" w:rsidR="008C561A" w:rsidRPr="00D437AF" w:rsidRDefault="008C561A" w:rsidP="008C561A">
            <w:pPr>
              <w:spacing w:after="0" w:line="240" w:lineRule="auto"/>
              <w:ind w:left="127"/>
              <w:rPr>
                <w:rFonts w:ascii="Times New Roman" w:eastAsia="Times New Roman" w:hAnsi="Times New Roman" w:cs="Times New Roman"/>
                <w:sz w:val="20"/>
                <w:szCs w:val="20"/>
                <w:lang w:eastAsia="nl-BE"/>
              </w:rPr>
            </w:pPr>
          </w:p>
        </w:tc>
        <w:tc>
          <w:tcPr>
            <w:tcW w:w="2127" w:type="dxa"/>
            <w:tcMar>
              <w:top w:w="15" w:type="dxa"/>
              <w:left w:w="15" w:type="dxa"/>
              <w:bottom w:w="15" w:type="dxa"/>
              <w:right w:w="15" w:type="dxa"/>
            </w:tcMar>
            <w:vAlign w:val="bottom"/>
            <w:hideMark/>
          </w:tcPr>
          <w:p w14:paraId="07C72409" w14:textId="77777777" w:rsidR="008C561A" w:rsidRPr="00D437AF" w:rsidRDefault="008C561A" w:rsidP="008C561A">
            <w:pPr>
              <w:spacing w:after="0" w:line="240" w:lineRule="auto"/>
              <w:ind w:left="127"/>
              <w:rPr>
                <w:rFonts w:ascii="Times New Roman" w:eastAsia="Times New Roman" w:hAnsi="Times New Roman" w:cs="Times New Roman"/>
                <w:sz w:val="20"/>
                <w:szCs w:val="20"/>
                <w:lang w:eastAsia="nl-BE"/>
              </w:rPr>
            </w:pPr>
          </w:p>
        </w:tc>
      </w:tr>
      <w:tr w:rsidR="008C561A" w:rsidRPr="00D437AF" w14:paraId="09A4D73E" w14:textId="77777777" w:rsidTr="00E723F7">
        <w:trPr>
          <w:trHeight w:val="361"/>
        </w:trPr>
        <w:tc>
          <w:tcPr>
            <w:tcW w:w="1418" w:type="dxa"/>
            <w:tcMar>
              <w:top w:w="15" w:type="dxa"/>
              <w:left w:w="15" w:type="dxa"/>
              <w:bottom w:w="15" w:type="dxa"/>
              <w:right w:w="15" w:type="dxa"/>
            </w:tcMar>
            <w:vAlign w:val="bottom"/>
            <w:hideMark/>
          </w:tcPr>
          <w:p w14:paraId="7F65EECD" w14:textId="12302582" w:rsidR="008C561A" w:rsidRPr="00D437AF" w:rsidRDefault="008C561A" w:rsidP="008C561A">
            <w:pPr>
              <w:spacing w:after="0" w:line="240" w:lineRule="auto"/>
              <w:rPr>
                <w:rFonts w:ascii="Calibri" w:eastAsia="Times New Roman" w:hAnsi="Calibri" w:cs="Calibri"/>
                <w:color w:val="000000"/>
                <w:u w:val="single"/>
                <w:lang w:eastAsia="nl-BE"/>
              </w:rPr>
            </w:pPr>
            <w:r>
              <w:rPr>
                <w:rFonts w:ascii="Calibri" w:eastAsia="Times New Roman" w:hAnsi="Calibri" w:cs="Calibri"/>
                <w:color w:val="000000"/>
                <w:u w:val="single"/>
                <w:lang w:eastAsia="nl-BE"/>
              </w:rPr>
              <w:t>Zelfstandigen</w:t>
            </w:r>
          </w:p>
        </w:tc>
        <w:tc>
          <w:tcPr>
            <w:tcW w:w="2551" w:type="dxa"/>
            <w:tcMar>
              <w:top w:w="15" w:type="dxa"/>
              <w:left w:w="15" w:type="dxa"/>
              <w:bottom w:w="15" w:type="dxa"/>
              <w:right w:w="15" w:type="dxa"/>
            </w:tcMar>
            <w:vAlign w:val="bottom"/>
            <w:hideMark/>
          </w:tcPr>
          <w:p w14:paraId="048722FD" w14:textId="77777777" w:rsidR="008C561A" w:rsidRPr="00D437AF" w:rsidRDefault="008C561A" w:rsidP="008C561A">
            <w:pPr>
              <w:spacing w:after="0" w:line="240" w:lineRule="auto"/>
              <w:ind w:left="127"/>
              <w:rPr>
                <w:rFonts w:ascii="Times New Roman" w:eastAsia="Times New Roman" w:hAnsi="Times New Roman" w:cs="Times New Roman"/>
                <w:sz w:val="20"/>
                <w:szCs w:val="20"/>
                <w:lang w:eastAsia="nl-BE"/>
              </w:rPr>
            </w:pPr>
          </w:p>
        </w:tc>
        <w:tc>
          <w:tcPr>
            <w:tcW w:w="2126" w:type="dxa"/>
            <w:tcMar>
              <w:top w:w="15" w:type="dxa"/>
              <w:left w:w="15" w:type="dxa"/>
              <w:bottom w:w="15" w:type="dxa"/>
              <w:right w:w="15" w:type="dxa"/>
            </w:tcMar>
            <w:vAlign w:val="bottom"/>
            <w:hideMark/>
          </w:tcPr>
          <w:p w14:paraId="4F5608C5" w14:textId="77777777" w:rsidR="008C561A" w:rsidRPr="00D437AF" w:rsidRDefault="008C561A" w:rsidP="008C561A">
            <w:pPr>
              <w:spacing w:after="0" w:line="240" w:lineRule="auto"/>
              <w:ind w:left="127"/>
              <w:rPr>
                <w:rFonts w:ascii="Times New Roman" w:eastAsia="Times New Roman" w:hAnsi="Times New Roman" w:cs="Times New Roman"/>
                <w:sz w:val="20"/>
                <w:szCs w:val="20"/>
                <w:lang w:eastAsia="nl-BE"/>
              </w:rPr>
            </w:pPr>
          </w:p>
        </w:tc>
        <w:tc>
          <w:tcPr>
            <w:tcW w:w="2127" w:type="dxa"/>
            <w:tcMar>
              <w:top w:w="15" w:type="dxa"/>
              <w:left w:w="15" w:type="dxa"/>
              <w:bottom w:w="15" w:type="dxa"/>
              <w:right w:w="15" w:type="dxa"/>
            </w:tcMar>
            <w:vAlign w:val="bottom"/>
            <w:hideMark/>
          </w:tcPr>
          <w:p w14:paraId="329B44A2" w14:textId="77777777" w:rsidR="008C561A" w:rsidRPr="00D437AF" w:rsidRDefault="008C561A" w:rsidP="008C561A">
            <w:pPr>
              <w:spacing w:after="0" w:line="240" w:lineRule="auto"/>
              <w:ind w:left="127"/>
              <w:rPr>
                <w:rFonts w:ascii="Times New Roman" w:eastAsia="Times New Roman" w:hAnsi="Times New Roman" w:cs="Times New Roman"/>
                <w:sz w:val="20"/>
                <w:szCs w:val="20"/>
                <w:lang w:eastAsia="nl-BE"/>
              </w:rPr>
            </w:pPr>
          </w:p>
        </w:tc>
      </w:tr>
      <w:tr w:rsidR="008C561A" w:rsidRPr="00D437AF" w14:paraId="7609BBAF" w14:textId="77777777" w:rsidTr="00E723F7">
        <w:trPr>
          <w:trHeight w:val="361"/>
        </w:trPr>
        <w:tc>
          <w:tcPr>
            <w:tcW w:w="1418" w:type="dxa"/>
            <w:tcMar>
              <w:top w:w="15" w:type="dxa"/>
              <w:left w:w="15" w:type="dxa"/>
              <w:bottom w:w="15" w:type="dxa"/>
              <w:right w:w="15" w:type="dxa"/>
            </w:tcMar>
            <w:vAlign w:val="bottom"/>
            <w:hideMark/>
          </w:tcPr>
          <w:p w14:paraId="13E21794" w14:textId="77777777" w:rsidR="008C561A" w:rsidRPr="00D437AF" w:rsidRDefault="008C561A" w:rsidP="008C561A">
            <w:pPr>
              <w:spacing w:after="0" w:line="240" w:lineRule="auto"/>
              <w:ind w:left="127"/>
              <w:rPr>
                <w:rFonts w:ascii="Times New Roman" w:eastAsia="Times New Roman" w:hAnsi="Times New Roman" w:cs="Times New Roman"/>
                <w:sz w:val="20"/>
                <w:szCs w:val="20"/>
                <w:lang w:eastAsia="nl-BE"/>
              </w:rPr>
            </w:pPr>
          </w:p>
        </w:tc>
        <w:tc>
          <w:tcPr>
            <w:tcW w:w="2551" w:type="dxa"/>
            <w:tcMar>
              <w:top w:w="15" w:type="dxa"/>
              <w:left w:w="15" w:type="dxa"/>
              <w:bottom w:w="15" w:type="dxa"/>
              <w:right w:w="15" w:type="dxa"/>
            </w:tcMar>
            <w:vAlign w:val="bottom"/>
            <w:hideMark/>
          </w:tcPr>
          <w:p w14:paraId="63AF4921" w14:textId="77777777" w:rsidR="008C561A" w:rsidRPr="00D437AF" w:rsidRDefault="008C561A" w:rsidP="008C561A">
            <w:pPr>
              <w:spacing w:after="0" w:line="240" w:lineRule="auto"/>
              <w:ind w:left="127"/>
              <w:jc w:val="right"/>
              <w:rPr>
                <w:rFonts w:ascii="Calibri" w:eastAsia="Times New Roman" w:hAnsi="Calibri" w:cs="Calibri"/>
                <w:b/>
                <w:bCs/>
                <w:color w:val="000000"/>
                <w:lang w:eastAsia="nl-BE"/>
              </w:rPr>
            </w:pPr>
            <w:r w:rsidRPr="00D437AF">
              <w:rPr>
                <w:rFonts w:ascii="Calibri" w:eastAsia="Times New Roman" w:hAnsi="Calibri" w:cs="Calibri"/>
                <w:b/>
                <w:bCs/>
                <w:color w:val="000000"/>
                <w:lang w:eastAsia="nl-BE"/>
              </w:rPr>
              <w:t>67%</w:t>
            </w:r>
          </w:p>
        </w:tc>
        <w:tc>
          <w:tcPr>
            <w:tcW w:w="2126" w:type="dxa"/>
            <w:tcMar>
              <w:top w:w="15" w:type="dxa"/>
              <w:left w:w="15" w:type="dxa"/>
              <w:bottom w:w="15" w:type="dxa"/>
              <w:right w:w="15" w:type="dxa"/>
            </w:tcMar>
            <w:vAlign w:val="bottom"/>
            <w:hideMark/>
          </w:tcPr>
          <w:p w14:paraId="569551F3" w14:textId="77777777" w:rsidR="008C561A" w:rsidRPr="00D437AF" w:rsidRDefault="008C561A" w:rsidP="008C561A">
            <w:pPr>
              <w:spacing w:after="0" w:line="240" w:lineRule="auto"/>
              <w:ind w:left="127"/>
              <w:jc w:val="right"/>
              <w:rPr>
                <w:rFonts w:ascii="Calibri" w:eastAsia="Times New Roman" w:hAnsi="Calibri" w:cs="Calibri"/>
                <w:b/>
                <w:bCs/>
                <w:color w:val="000000"/>
                <w:lang w:eastAsia="nl-BE"/>
              </w:rPr>
            </w:pPr>
            <w:r w:rsidRPr="00D437AF">
              <w:rPr>
                <w:rFonts w:ascii="Calibri" w:eastAsia="Times New Roman" w:hAnsi="Calibri" w:cs="Calibri"/>
                <w:b/>
                <w:bCs/>
                <w:color w:val="000000"/>
                <w:lang w:eastAsia="nl-BE"/>
              </w:rPr>
              <w:t>100%</w:t>
            </w:r>
          </w:p>
        </w:tc>
        <w:tc>
          <w:tcPr>
            <w:tcW w:w="2127" w:type="dxa"/>
            <w:tcMar>
              <w:top w:w="15" w:type="dxa"/>
              <w:left w:w="15" w:type="dxa"/>
              <w:bottom w:w="15" w:type="dxa"/>
              <w:right w:w="15" w:type="dxa"/>
            </w:tcMar>
            <w:vAlign w:val="bottom"/>
            <w:hideMark/>
          </w:tcPr>
          <w:p w14:paraId="3975C4C0" w14:textId="77777777" w:rsidR="008C561A" w:rsidRPr="00D437AF" w:rsidRDefault="008C561A" w:rsidP="008C561A">
            <w:pPr>
              <w:spacing w:after="0" w:line="240" w:lineRule="auto"/>
              <w:ind w:left="127"/>
              <w:jc w:val="right"/>
              <w:rPr>
                <w:rFonts w:ascii="Calibri" w:eastAsia="Times New Roman" w:hAnsi="Calibri" w:cs="Calibri"/>
                <w:b/>
                <w:bCs/>
                <w:color w:val="000000"/>
                <w:lang w:eastAsia="nl-BE"/>
              </w:rPr>
            </w:pPr>
            <w:r w:rsidRPr="00D437AF">
              <w:rPr>
                <w:rFonts w:ascii="Calibri" w:eastAsia="Times New Roman" w:hAnsi="Calibri" w:cs="Calibri"/>
                <w:b/>
                <w:bCs/>
                <w:color w:val="000000"/>
                <w:lang w:eastAsia="nl-BE"/>
              </w:rPr>
              <w:t>167%</w:t>
            </w:r>
          </w:p>
        </w:tc>
      </w:tr>
      <w:tr w:rsidR="008C561A" w:rsidRPr="00D437AF" w14:paraId="3D9F16BD" w14:textId="77777777" w:rsidTr="00E723F7">
        <w:trPr>
          <w:trHeight w:val="361"/>
        </w:trPr>
        <w:tc>
          <w:tcPr>
            <w:tcW w:w="1418" w:type="dxa"/>
            <w:tcMar>
              <w:top w:w="15" w:type="dxa"/>
              <w:left w:w="15" w:type="dxa"/>
              <w:bottom w:w="15" w:type="dxa"/>
              <w:right w:w="15" w:type="dxa"/>
            </w:tcMar>
            <w:vAlign w:val="bottom"/>
            <w:hideMark/>
          </w:tcPr>
          <w:p w14:paraId="6E7222C8" w14:textId="5D843997" w:rsidR="008C561A" w:rsidRPr="00D437AF" w:rsidRDefault="008C561A" w:rsidP="008C561A">
            <w:pPr>
              <w:spacing w:after="0" w:line="240" w:lineRule="auto"/>
              <w:ind w:left="127"/>
              <w:jc w:val="center"/>
              <w:rPr>
                <w:rFonts w:ascii="Calibri" w:eastAsia="Times New Roman" w:hAnsi="Calibri" w:cs="Calibri"/>
                <w:b/>
                <w:bCs/>
                <w:color w:val="000000"/>
                <w:lang w:eastAsia="nl-BE"/>
              </w:rPr>
            </w:pPr>
            <w:r w:rsidRPr="0076210D">
              <w:rPr>
                <w:b/>
                <w:color w:val="000000"/>
              </w:rPr>
              <w:t>Bas</w:t>
            </w:r>
            <w:r>
              <w:rPr>
                <w:b/>
                <w:color w:val="000000"/>
              </w:rPr>
              <w:t>is</w:t>
            </w:r>
          </w:p>
        </w:tc>
        <w:tc>
          <w:tcPr>
            <w:tcW w:w="2551" w:type="dxa"/>
            <w:shd w:val="clear" w:color="auto" w:fill="auto"/>
            <w:tcMar>
              <w:top w:w="15" w:type="dxa"/>
              <w:left w:w="15" w:type="dxa"/>
              <w:bottom w:w="15" w:type="dxa"/>
              <w:right w:w="15" w:type="dxa"/>
            </w:tcMar>
            <w:vAlign w:val="bottom"/>
            <w:hideMark/>
          </w:tcPr>
          <w:p w14:paraId="2BAD3663"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31,03%</w:t>
            </w:r>
          </w:p>
        </w:tc>
        <w:tc>
          <w:tcPr>
            <w:tcW w:w="2126" w:type="dxa"/>
            <w:shd w:val="clear" w:color="auto" w:fill="auto"/>
            <w:tcMar>
              <w:top w:w="15" w:type="dxa"/>
              <w:left w:w="15" w:type="dxa"/>
              <w:bottom w:w="15" w:type="dxa"/>
              <w:right w:w="15" w:type="dxa"/>
            </w:tcMar>
            <w:vAlign w:val="bottom"/>
            <w:hideMark/>
          </w:tcPr>
          <w:p w14:paraId="2F0C44D0"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38,66%</w:t>
            </w:r>
          </w:p>
        </w:tc>
        <w:tc>
          <w:tcPr>
            <w:tcW w:w="2127" w:type="dxa"/>
            <w:shd w:val="clear" w:color="auto" w:fill="auto"/>
            <w:tcMar>
              <w:top w:w="15" w:type="dxa"/>
              <w:left w:w="15" w:type="dxa"/>
              <w:bottom w:w="15" w:type="dxa"/>
              <w:right w:w="15" w:type="dxa"/>
            </w:tcMar>
            <w:vAlign w:val="bottom"/>
            <w:hideMark/>
          </w:tcPr>
          <w:p w14:paraId="04B8B908"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46,27%</w:t>
            </w:r>
          </w:p>
        </w:tc>
      </w:tr>
      <w:tr w:rsidR="008C561A" w:rsidRPr="00D437AF" w14:paraId="379C1288" w14:textId="77777777" w:rsidTr="00E723F7">
        <w:trPr>
          <w:trHeight w:val="361"/>
        </w:trPr>
        <w:tc>
          <w:tcPr>
            <w:tcW w:w="1418" w:type="dxa"/>
            <w:tcMar>
              <w:top w:w="15" w:type="dxa"/>
              <w:left w:w="15" w:type="dxa"/>
              <w:bottom w:w="15" w:type="dxa"/>
              <w:right w:w="15" w:type="dxa"/>
            </w:tcMar>
            <w:vAlign w:val="bottom"/>
            <w:hideMark/>
          </w:tcPr>
          <w:p w14:paraId="1B38184B" w14:textId="502BAD62" w:rsidR="008C561A" w:rsidRPr="00CA6EB5" w:rsidRDefault="008C561A" w:rsidP="008C561A">
            <w:pPr>
              <w:spacing w:after="0" w:line="240" w:lineRule="auto"/>
              <w:ind w:left="127"/>
              <w:jc w:val="center"/>
              <w:rPr>
                <w:rFonts w:ascii="Calibri" w:eastAsia="Times New Roman" w:hAnsi="Calibri" w:cs="Calibri"/>
                <w:bCs/>
                <w:color w:val="000000"/>
                <w:lang w:eastAsia="nl-BE"/>
              </w:rPr>
            </w:pPr>
            <w:r w:rsidRPr="00CA6EB5">
              <w:rPr>
                <w:bCs/>
                <w:color w:val="000000"/>
              </w:rPr>
              <w:t>I</w:t>
            </w:r>
          </w:p>
        </w:tc>
        <w:tc>
          <w:tcPr>
            <w:tcW w:w="2551" w:type="dxa"/>
            <w:shd w:val="clear" w:color="auto" w:fill="auto"/>
            <w:tcMar>
              <w:top w:w="15" w:type="dxa"/>
              <w:left w:w="15" w:type="dxa"/>
              <w:bottom w:w="15" w:type="dxa"/>
              <w:right w:w="15" w:type="dxa"/>
            </w:tcMar>
            <w:vAlign w:val="bottom"/>
            <w:hideMark/>
          </w:tcPr>
          <w:p w14:paraId="5208C199"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30,49%</w:t>
            </w:r>
          </w:p>
        </w:tc>
        <w:tc>
          <w:tcPr>
            <w:tcW w:w="2126" w:type="dxa"/>
            <w:shd w:val="clear" w:color="auto" w:fill="auto"/>
            <w:tcMar>
              <w:top w:w="15" w:type="dxa"/>
              <w:left w:w="15" w:type="dxa"/>
              <w:bottom w:w="15" w:type="dxa"/>
              <w:right w:w="15" w:type="dxa"/>
            </w:tcMar>
            <w:vAlign w:val="bottom"/>
            <w:hideMark/>
          </w:tcPr>
          <w:p w14:paraId="34F7E7F2"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37,97%</w:t>
            </w:r>
          </w:p>
        </w:tc>
        <w:tc>
          <w:tcPr>
            <w:tcW w:w="2127" w:type="dxa"/>
            <w:shd w:val="clear" w:color="auto" w:fill="auto"/>
            <w:tcMar>
              <w:top w:w="15" w:type="dxa"/>
              <w:left w:w="15" w:type="dxa"/>
              <w:bottom w:w="15" w:type="dxa"/>
              <w:right w:w="15" w:type="dxa"/>
            </w:tcMar>
            <w:vAlign w:val="bottom"/>
            <w:hideMark/>
          </w:tcPr>
          <w:p w14:paraId="2589EED4"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45,45%</w:t>
            </w:r>
          </w:p>
        </w:tc>
      </w:tr>
      <w:tr w:rsidR="008C561A" w:rsidRPr="00D437AF" w14:paraId="5830D195" w14:textId="77777777" w:rsidTr="00E723F7">
        <w:trPr>
          <w:trHeight w:val="361"/>
        </w:trPr>
        <w:tc>
          <w:tcPr>
            <w:tcW w:w="1418" w:type="dxa"/>
            <w:tcMar>
              <w:top w:w="15" w:type="dxa"/>
              <w:left w:w="15" w:type="dxa"/>
              <w:bottom w:w="15" w:type="dxa"/>
              <w:right w:w="15" w:type="dxa"/>
            </w:tcMar>
            <w:vAlign w:val="bottom"/>
            <w:hideMark/>
          </w:tcPr>
          <w:p w14:paraId="797FCB3D" w14:textId="4F305272" w:rsidR="008C561A" w:rsidRPr="00CA6EB5" w:rsidRDefault="008C561A" w:rsidP="008C561A">
            <w:pPr>
              <w:spacing w:after="0" w:line="240" w:lineRule="auto"/>
              <w:ind w:left="127"/>
              <w:jc w:val="center"/>
              <w:rPr>
                <w:rFonts w:ascii="Calibri" w:eastAsia="Times New Roman" w:hAnsi="Calibri" w:cs="Calibri"/>
                <w:bCs/>
                <w:color w:val="000000"/>
                <w:lang w:eastAsia="nl-BE"/>
              </w:rPr>
            </w:pPr>
            <w:r w:rsidRPr="00CA6EB5">
              <w:rPr>
                <w:rFonts w:eastAsia="Times New Roman"/>
                <w:bCs/>
                <w:color w:val="000000"/>
              </w:rPr>
              <w:t>II</w:t>
            </w:r>
          </w:p>
        </w:tc>
        <w:tc>
          <w:tcPr>
            <w:tcW w:w="2551" w:type="dxa"/>
            <w:shd w:val="clear" w:color="auto" w:fill="auto"/>
            <w:tcMar>
              <w:top w:w="15" w:type="dxa"/>
              <w:left w:w="15" w:type="dxa"/>
              <w:bottom w:w="15" w:type="dxa"/>
              <w:right w:w="15" w:type="dxa"/>
            </w:tcMar>
            <w:vAlign w:val="bottom"/>
            <w:hideMark/>
          </w:tcPr>
          <w:p w14:paraId="36A4C937"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29,94%</w:t>
            </w:r>
          </w:p>
        </w:tc>
        <w:tc>
          <w:tcPr>
            <w:tcW w:w="2126" w:type="dxa"/>
            <w:shd w:val="clear" w:color="auto" w:fill="auto"/>
            <w:tcMar>
              <w:top w:w="15" w:type="dxa"/>
              <w:left w:w="15" w:type="dxa"/>
              <w:bottom w:w="15" w:type="dxa"/>
              <w:right w:w="15" w:type="dxa"/>
            </w:tcMar>
            <w:vAlign w:val="bottom"/>
            <w:hideMark/>
          </w:tcPr>
          <w:p w14:paraId="6AC805BD"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37,27%</w:t>
            </w:r>
          </w:p>
        </w:tc>
        <w:tc>
          <w:tcPr>
            <w:tcW w:w="2127" w:type="dxa"/>
            <w:shd w:val="clear" w:color="auto" w:fill="auto"/>
            <w:tcMar>
              <w:top w:w="15" w:type="dxa"/>
              <w:left w:w="15" w:type="dxa"/>
              <w:bottom w:w="15" w:type="dxa"/>
              <w:right w:w="15" w:type="dxa"/>
            </w:tcMar>
            <w:vAlign w:val="bottom"/>
            <w:hideMark/>
          </w:tcPr>
          <w:p w14:paraId="16911DCC"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44,63%</w:t>
            </w:r>
          </w:p>
        </w:tc>
      </w:tr>
      <w:tr w:rsidR="008C561A" w:rsidRPr="00D437AF" w14:paraId="2A2FD222" w14:textId="77777777" w:rsidTr="00E723F7">
        <w:trPr>
          <w:trHeight w:val="361"/>
        </w:trPr>
        <w:tc>
          <w:tcPr>
            <w:tcW w:w="1418" w:type="dxa"/>
            <w:tcMar>
              <w:top w:w="15" w:type="dxa"/>
              <w:left w:w="15" w:type="dxa"/>
              <w:bottom w:w="15" w:type="dxa"/>
              <w:right w:w="15" w:type="dxa"/>
            </w:tcMar>
            <w:vAlign w:val="bottom"/>
            <w:hideMark/>
          </w:tcPr>
          <w:p w14:paraId="63E51CFD" w14:textId="6E917CC8" w:rsidR="008C561A" w:rsidRPr="00CA6EB5" w:rsidRDefault="008C561A" w:rsidP="008C561A">
            <w:pPr>
              <w:spacing w:after="0" w:line="240" w:lineRule="auto"/>
              <w:ind w:left="127"/>
              <w:jc w:val="center"/>
              <w:rPr>
                <w:rFonts w:ascii="Calibri" w:eastAsia="Times New Roman" w:hAnsi="Calibri" w:cs="Calibri"/>
                <w:bCs/>
                <w:color w:val="000000"/>
                <w:lang w:eastAsia="nl-BE"/>
              </w:rPr>
            </w:pPr>
            <w:r w:rsidRPr="00CA6EB5">
              <w:rPr>
                <w:rFonts w:eastAsia="Times New Roman"/>
                <w:bCs/>
                <w:color w:val="000000"/>
              </w:rPr>
              <w:t>III</w:t>
            </w:r>
          </w:p>
        </w:tc>
        <w:tc>
          <w:tcPr>
            <w:tcW w:w="2551" w:type="dxa"/>
            <w:shd w:val="clear" w:color="auto" w:fill="auto"/>
            <w:tcMar>
              <w:top w:w="15" w:type="dxa"/>
              <w:left w:w="15" w:type="dxa"/>
              <w:bottom w:w="15" w:type="dxa"/>
              <w:right w:w="15" w:type="dxa"/>
            </w:tcMar>
            <w:vAlign w:val="bottom"/>
            <w:hideMark/>
          </w:tcPr>
          <w:p w14:paraId="67960A46"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29,40%</w:t>
            </w:r>
          </w:p>
        </w:tc>
        <w:tc>
          <w:tcPr>
            <w:tcW w:w="2126" w:type="dxa"/>
            <w:shd w:val="clear" w:color="auto" w:fill="auto"/>
            <w:tcMar>
              <w:top w:w="15" w:type="dxa"/>
              <w:left w:w="15" w:type="dxa"/>
              <w:bottom w:w="15" w:type="dxa"/>
              <w:right w:w="15" w:type="dxa"/>
            </w:tcMar>
            <w:vAlign w:val="bottom"/>
            <w:hideMark/>
          </w:tcPr>
          <w:p w14:paraId="0214FCA5"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36,58%</w:t>
            </w:r>
          </w:p>
        </w:tc>
        <w:tc>
          <w:tcPr>
            <w:tcW w:w="2127" w:type="dxa"/>
            <w:shd w:val="clear" w:color="auto" w:fill="auto"/>
            <w:tcMar>
              <w:top w:w="15" w:type="dxa"/>
              <w:left w:w="15" w:type="dxa"/>
              <w:bottom w:w="15" w:type="dxa"/>
              <w:right w:w="15" w:type="dxa"/>
            </w:tcMar>
            <w:vAlign w:val="bottom"/>
            <w:hideMark/>
          </w:tcPr>
          <w:p w14:paraId="7A2CF7EA"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43,81%</w:t>
            </w:r>
          </w:p>
        </w:tc>
      </w:tr>
      <w:tr w:rsidR="008C561A" w:rsidRPr="00D437AF" w14:paraId="59596E41" w14:textId="77777777" w:rsidTr="00E723F7">
        <w:trPr>
          <w:trHeight w:val="361"/>
        </w:trPr>
        <w:tc>
          <w:tcPr>
            <w:tcW w:w="1418" w:type="dxa"/>
            <w:tcMar>
              <w:top w:w="15" w:type="dxa"/>
              <w:left w:w="15" w:type="dxa"/>
              <w:bottom w:w="15" w:type="dxa"/>
              <w:right w:w="15" w:type="dxa"/>
            </w:tcMar>
            <w:vAlign w:val="bottom"/>
            <w:hideMark/>
          </w:tcPr>
          <w:p w14:paraId="079D3227" w14:textId="15FBCDB5" w:rsidR="008C561A" w:rsidRPr="00CA6EB5" w:rsidRDefault="008C561A" w:rsidP="008C561A">
            <w:pPr>
              <w:spacing w:after="0" w:line="240" w:lineRule="auto"/>
              <w:ind w:left="127"/>
              <w:jc w:val="center"/>
              <w:rPr>
                <w:rFonts w:ascii="Calibri" w:eastAsia="Times New Roman" w:hAnsi="Calibri" w:cs="Calibri"/>
                <w:bCs/>
                <w:color w:val="000000"/>
                <w:lang w:eastAsia="nl-BE"/>
              </w:rPr>
            </w:pPr>
            <w:r w:rsidRPr="00CA6EB5">
              <w:rPr>
                <w:rFonts w:eastAsia="Times New Roman"/>
                <w:bCs/>
                <w:color w:val="000000"/>
              </w:rPr>
              <w:t>IV</w:t>
            </w:r>
          </w:p>
        </w:tc>
        <w:tc>
          <w:tcPr>
            <w:tcW w:w="2551" w:type="dxa"/>
            <w:shd w:val="clear" w:color="auto" w:fill="auto"/>
            <w:tcMar>
              <w:top w:w="15" w:type="dxa"/>
              <w:left w:w="15" w:type="dxa"/>
              <w:bottom w:w="15" w:type="dxa"/>
              <w:right w:w="15" w:type="dxa"/>
            </w:tcMar>
            <w:vAlign w:val="bottom"/>
            <w:hideMark/>
          </w:tcPr>
          <w:p w14:paraId="3499C6CE"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28,81%</w:t>
            </w:r>
          </w:p>
        </w:tc>
        <w:tc>
          <w:tcPr>
            <w:tcW w:w="2126" w:type="dxa"/>
            <w:shd w:val="clear" w:color="auto" w:fill="auto"/>
            <w:tcMar>
              <w:top w:w="15" w:type="dxa"/>
              <w:left w:w="15" w:type="dxa"/>
              <w:bottom w:w="15" w:type="dxa"/>
              <w:right w:w="15" w:type="dxa"/>
            </w:tcMar>
            <w:vAlign w:val="bottom"/>
            <w:hideMark/>
          </w:tcPr>
          <w:p w14:paraId="0A6C8F00"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35,83%</w:t>
            </w:r>
          </w:p>
        </w:tc>
        <w:tc>
          <w:tcPr>
            <w:tcW w:w="2127" w:type="dxa"/>
            <w:shd w:val="clear" w:color="auto" w:fill="auto"/>
            <w:tcMar>
              <w:top w:w="15" w:type="dxa"/>
              <w:left w:w="15" w:type="dxa"/>
              <w:bottom w:w="15" w:type="dxa"/>
              <w:right w:w="15" w:type="dxa"/>
            </w:tcMar>
            <w:vAlign w:val="bottom"/>
            <w:hideMark/>
          </w:tcPr>
          <w:p w14:paraId="01B6B564"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42,92%</w:t>
            </w:r>
          </w:p>
        </w:tc>
      </w:tr>
      <w:tr w:rsidR="008C561A" w:rsidRPr="00D437AF" w14:paraId="14F3F726" w14:textId="77777777" w:rsidTr="00E723F7">
        <w:trPr>
          <w:trHeight w:val="361"/>
        </w:trPr>
        <w:tc>
          <w:tcPr>
            <w:tcW w:w="1418" w:type="dxa"/>
            <w:tcMar>
              <w:top w:w="15" w:type="dxa"/>
              <w:left w:w="15" w:type="dxa"/>
              <w:bottom w:w="15" w:type="dxa"/>
              <w:right w:w="15" w:type="dxa"/>
            </w:tcMar>
            <w:vAlign w:val="bottom"/>
            <w:hideMark/>
          </w:tcPr>
          <w:p w14:paraId="56E7A4E8" w14:textId="00BDC4A6" w:rsidR="008C561A" w:rsidRPr="00CA6EB5" w:rsidRDefault="008C561A" w:rsidP="008C561A">
            <w:pPr>
              <w:spacing w:after="0" w:line="240" w:lineRule="auto"/>
              <w:ind w:left="127"/>
              <w:jc w:val="center"/>
              <w:rPr>
                <w:rFonts w:ascii="Calibri" w:eastAsia="Times New Roman" w:hAnsi="Calibri" w:cs="Calibri"/>
                <w:bCs/>
                <w:color w:val="000000"/>
                <w:lang w:eastAsia="nl-BE"/>
              </w:rPr>
            </w:pPr>
            <w:r w:rsidRPr="00CA6EB5">
              <w:rPr>
                <w:rFonts w:eastAsia="Times New Roman"/>
                <w:bCs/>
                <w:color w:val="000000"/>
              </w:rPr>
              <w:t>V</w:t>
            </w:r>
          </w:p>
        </w:tc>
        <w:tc>
          <w:tcPr>
            <w:tcW w:w="2551" w:type="dxa"/>
            <w:shd w:val="clear" w:color="auto" w:fill="auto"/>
            <w:tcMar>
              <w:top w:w="15" w:type="dxa"/>
              <w:left w:w="15" w:type="dxa"/>
              <w:bottom w:w="15" w:type="dxa"/>
              <w:right w:w="15" w:type="dxa"/>
            </w:tcMar>
            <w:vAlign w:val="bottom"/>
            <w:hideMark/>
          </w:tcPr>
          <w:p w14:paraId="0FAE3B57"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28,22%</w:t>
            </w:r>
          </w:p>
        </w:tc>
        <w:tc>
          <w:tcPr>
            <w:tcW w:w="2126" w:type="dxa"/>
            <w:shd w:val="clear" w:color="auto" w:fill="auto"/>
            <w:tcMar>
              <w:top w:w="15" w:type="dxa"/>
              <w:left w:w="15" w:type="dxa"/>
              <w:bottom w:w="15" w:type="dxa"/>
              <w:right w:w="15" w:type="dxa"/>
            </w:tcMar>
            <w:vAlign w:val="bottom"/>
            <w:hideMark/>
          </w:tcPr>
          <w:p w14:paraId="2A273107"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35,08%</w:t>
            </w:r>
          </w:p>
        </w:tc>
        <w:tc>
          <w:tcPr>
            <w:tcW w:w="2127" w:type="dxa"/>
            <w:shd w:val="clear" w:color="auto" w:fill="auto"/>
            <w:tcMar>
              <w:top w:w="15" w:type="dxa"/>
              <w:left w:w="15" w:type="dxa"/>
              <w:bottom w:w="15" w:type="dxa"/>
              <w:right w:w="15" w:type="dxa"/>
            </w:tcMar>
            <w:vAlign w:val="bottom"/>
            <w:hideMark/>
          </w:tcPr>
          <w:p w14:paraId="3C90AAC4" w14:textId="77777777" w:rsidR="008C561A" w:rsidRPr="00D437AF" w:rsidRDefault="008C561A" w:rsidP="008C56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42,03%</w:t>
            </w:r>
          </w:p>
        </w:tc>
      </w:tr>
    </w:tbl>
    <w:p w14:paraId="286F1918" w14:textId="28476B06" w:rsidR="00BD282F" w:rsidRDefault="00BD282F" w:rsidP="00AC7E62">
      <w:pPr>
        <w:tabs>
          <w:tab w:val="left" w:pos="1140"/>
        </w:tabs>
        <w:spacing w:after="0"/>
        <w:ind w:left="709"/>
        <w:jc w:val="both"/>
      </w:pPr>
    </w:p>
    <w:p w14:paraId="07CFBD87" w14:textId="77777777" w:rsidR="00AC7E62" w:rsidRDefault="00AC7E62" w:rsidP="00AC7E62">
      <w:pPr>
        <w:tabs>
          <w:tab w:val="left" w:pos="1140"/>
        </w:tabs>
        <w:spacing w:after="0"/>
        <w:ind w:left="709"/>
        <w:jc w:val="both"/>
      </w:pPr>
    </w:p>
    <w:p w14:paraId="0162F69E" w14:textId="77777777" w:rsidR="00EC0B02" w:rsidRPr="00EC0B02" w:rsidRDefault="00EC0B02" w:rsidP="00EC0B02">
      <w:pPr>
        <w:spacing w:after="0"/>
        <w:ind w:left="709"/>
        <w:jc w:val="both"/>
      </w:pPr>
      <w:r w:rsidRPr="00EC0B02">
        <w:t>De volgende tabel illustreert voor een werknemer de impact op de ‘employee net average tax rate’ (zijnde de verhouding tussen de personenbelasting en de sociale bijdragen werknemer in verhouding tot het brutoloon):</w:t>
      </w:r>
    </w:p>
    <w:p w14:paraId="715FC058" w14:textId="47A6A78E" w:rsidR="00EC0B02" w:rsidRDefault="00EC0B02" w:rsidP="00EC0B02">
      <w:pPr>
        <w:spacing w:after="0"/>
        <w:ind w:left="709"/>
        <w:jc w:val="both"/>
      </w:pPr>
    </w:p>
    <w:p w14:paraId="5F76BF50" w14:textId="77777777" w:rsidR="00AC7E62" w:rsidRDefault="00AC7E62" w:rsidP="00EC0B02">
      <w:pPr>
        <w:spacing w:after="0"/>
        <w:ind w:left="709"/>
        <w:jc w:val="both"/>
      </w:pPr>
    </w:p>
    <w:tbl>
      <w:tblPr>
        <w:tblStyle w:val="Tabelraster"/>
        <w:tblW w:w="8240" w:type="dxa"/>
        <w:tblInd w:w="704" w:type="dxa"/>
        <w:tblLook w:val="04A0" w:firstRow="1" w:lastRow="0" w:firstColumn="1" w:lastColumn="0" w:noHBand="0" w:noVBand="1"/>
      </w:tblPr>
      <w:tblGrid>
        <w:gridCol w:w="1387"/>
        <w:gridCol w:w="2600"/>
        <w:gridCol w:w="2126"/>
        <w:gridCol w:w="2127"/>
      </w:tblGrid>
      <w:tr w:rsidR="009838B2" w:rsidRPr="009838B2" w14:paraId="1834C6E4" w14:textId="77777777" w:rsidTr="008C561A">
        <w:trPr>
          <w:trHeight w:val="288"/>
        </w:trPr>
        <w:tc>
          <w:tcPr>
            <w:tcW w:w="1387" w:type="dxa"/>
            <w:noWrap/>
            <w:hideMark/>
          </w:tcPr>
          <w:p w14:paraId="6BE24482" w14:textId="77777777" w:rsidR="009838B2" w:rsidRPr="009838B2" w:rsidRDefault="009838B2" w:rsidP="009838B2">
            <w:pPr>
              <w:spacing w:line="259" w:lineRule="auto"/>
              <w:ind w:left="709"/>
              <w:jc w:val="both"/>
            </w:pPr>
            <w:bookmarkStart w:id="173" w:name="_Hlk106980863"/>
          </w:p>
        </w:tc>
        <w:tc>
          <w:tcPr>
            <w:tcW w:w="2600" w:type="dxa"/>
            <w:noWrap/>
            <w:hideMark/>
          </w:tcPr>
          <w:p w14:paraId="626B22EA" w14:textId="77777777" w:rsidR="009838B2" w:rsidRPr="009838B2" w:rsidRDefault="009838B2" w:rsidP="00CA4652">
            <w:pPr>
              <w:spacing w:line="259" w:lineRule="auto"/>
              <w:ind w:left="709"/>
              <w:jc w:val="right"/>
              <w:rPr>
                <w:b/>
                <w:bCs/>
                <w:lang w:val="fr-BE"/>
              </w:rPr>
            </w:pPr>
            <w:r w:rsidRPr="009838B2">
              <w:rPr>
                <w:b/>
                <w:bCs/>
                <w:lang w:val="fr-BE"/>
              </w:rPr>
              <w:t>67%</w:t>
            </w:r>
          </w:p>
        </w:tc>
        <w:tc>
          <w:tcPr>
            <w:tcW w:w="2126" w:type="dxa"/>
            <w:noWrap/>
            <w:hideMark/>
          </w:tcPr>
          <w:p w14:paraId="4327563B" w14:textId="77777777" w:rsidR="009838B2" w:rsidRPr="009838B2" w:rsidRDefault="009838B2" w:rsidP="00CA4652">
            <w:pPr>
              <w:spacing w:line="259" w:lineRule="auto"/>
              <w:ind w:left="709"/>
              <w:jc w:val="right"/>
              <w:rPr>
                <w:b/>
                <w:bCs/>
                <w:lang w:val="fr-BE"/>
              </w:rPr>
            </w:pPr>
            <w:r w:rsidRPr="009838B2">
              <w:rPr>
                <w:b/>
                <w:bCs/>
                <w:lang w:val="fr-BE"/>
              </w:rPr>
              <w:t>100%</w:t>
            </w:r>
          </w:p>
        </w:tc>
        <w:tc>
          <w:tcPr>
            <w:tcW w:w="2127" w:type="dxa"/>
            <w:noWrap/>
            <w:hideMark/>
          </w:tcPr>
          <w:p w14:paraId="5723EC80" w14:textId="77777777" w:rsidR="009838B2" w:rsidRPr="009838B2" w:rsidRDefault="009838B2" w:rsidP="00CA4652">
            <w:pPr>
              <w:spacing w:line="259" w:lineRule="auto"/>
              <w:ind w:left="709"/>
              <w:jc w:val="right"/>
              <w:rPr>
                <w:b/>
                <w:bCs/>
                <w:lang w:val="fr-BE"/>
              </w:rPr>
            </w:pPr>
            <w:r w:rsidRPr="009838B2">
              <w:rPr>
                <w:b/>
                <w:bCs/>
                <w:lang w:val="fr-BE"/>
              </w:rPr>
              <w:t>167%</w:t>
            </w:r>
          </w:p>
        </w:tc>
      </w:tr>
      <w:tr w:rsidR="008C561A" w:rsidRPr="009838B2" w14:paraId="2E1C805E" w14:textId="77777777" w:rsidTr="008C561A">
        <w:trPr>
          <w:trHeight w:val="288"/>
        </w:trPr>
        <w:tc>
          <w:tcPr>
            <w:tcW w:w="1387" w:type="dxa"/>
            <w:noWrap/>
            <w:vAlign w:val="bottom"/>
            <w:hideMark/>
          </w:tcPr>
          <w:p w14:paraId="3BBECAE1" w14:textId="000F03C7" w:rsidR="008C561A" w:rsidRPr="009838B2" w:rsidRDefault="008C561A" w:rsidP="008C561A">
            <w:pPr>
              <w:spacing w:line="259" w:lineRule="auto"/>
              <w:ind w:left="-107"/>
              <w:jc w:val="center"/>
              <w:rPr>
                <w:b/>
                <w:bCs/>
                <w:lang w:val="fr-BE"/>
              </w:rPr>
            </w:pPr>
            <w:r w:rsidRPr="0076210D">
              <w:rPr>
                <w:b/>
                <w:color w:val="000000"/>
              </w:rPr>
              <w:t>Bas</w:t>
            </w:r>
            <w:r>
              <w:rPr>
                <w:b/>
                <w:color w:val="000000"/>
              </w:rPr>
              <w:t>is</w:t>
            </w:r>
          </w:p>
        </w:tc>
        <w:tc>
          <w:tcPr>
            <w:tcW w:w="2600" w:type="dxa"/>
            <w:shd w:val="clear" w:color="auto" w:fill="auto"/>
            <w:noWrap/>
            <w:vAlign w:val="bottom"/>
            <w:hideMark/>
          </w:tcPr>
          <w:p w14:paraId="217A0078" w14:textId="77777777" w:rsidR="008C561A" w:rsidRPr="009838B2" w:rsidRDefault="008C561A" w:rsidP="008C561A">
            <w:pPr>
              <w:spacing w:line="259" w:lineRule="auto"/>
              <w:ind w:left="709"/>
              <w:jc w:val="right"/>
              <w:rPr>
                <w:lang w:val="fr-BE"/>
              </w:rPr>
            </w:pPr>
            <w:r w:rsidRPr="009838B2">
              <w:rPr>
                <w:lang w:val="fr-BE"/>
              </w:rPr>
              <w:t>30,94%</w:t>
            </w:r>
          </w:p>
        </w:tc>
        <w:tc>
          <w:tcPr>
            <w:tcW w:w="2126" w:type="dxa"/>
            <w:shd w:val="clear" w:color="auto" w:fill="auto"/>
            <w:noWrap/>
            <w:vAlign w:val="bottom"/>
            <w:hideMark/>
          </w:tcPr>
          <w:p w14:paraId="6070B031" w14:textId="77777777" w:rsidR="008C561A" w:rsidRPr="009838B2" w:rsidRDefault="008C561A" w:rsidP="008C561A">
            <w:pPr>
              <w:spacing w:line="259" w:lineRule="auto"/>
              <w:ind w:left="709"/>
              <w:jc w:val="right"/>
              <w:rPr>
                <w:lang w:val="fr-BE"/>
              </w:rPr>
            </w:pPr>
            <w:r w:rsidRPr="009838B2">
              <w:rPr>
                <w:lang w:val="fr-BE"/>
              </w:rPr>
              <w:t>38,20%</w:t>
            </w:r>
          </w:p>
        </w:tc>
        <w:tc>
          <w:tcPr>
            <w:tcW w:w="2127" w:type="dxa"/>
            <w:shd w:val="clear" w:color="auto" w:fill="auto"/>
            <w:noWrap/>
            <w:vAlign w:val="bottom"/>
            <w:hideMark/>
          </w:tcPr>
          <w:p w14:paraId="5E243545" w14:textId="77777777" w:rsidR="008C561A" w:rsidRPr="009838B2" w:rsidRDefault="008C561A" w:rsidP="008C561A">
            <w:pPr>
              <w:spacing w:line="259" w:lineRule="auto"/>
              <w:ind w:left="709"/>
              <w:jc w:val="right"/>
              <w:rPr>
                <w:lang w:val="fr-BE"/>
              </w:rPr>
            </w:pPr>
            <w:r w:rsidRPr="009838B2">
              <w:rPr>
                <w:lang w:val="fr-BE"/>
              </w:rPr>
              <w:t>45,86%</w:t>
            </w:r>
          </w:p>
        </w:tc>
      </w:tr>
      <w:tr w:rsidR="008C561A" w:rsidRPr="009838B2" w14:paraId="5A2039BA" w14:textId="77777777" w:rsidTr="008C561A">
        <w:trPr>
          <w:trHeight w:val="288"/>
        </w:trPr>
        <w:tc>
          <w:tcPr>
            <w:tcW w:w="1387" w:type="dxa"/>
            <w:noWrap/>
            <w:vAlign w:val="bottom"/>
            <w:hideMark/>
          </w:tcPr>
          <w:p w14:paraId="167569FF" w14:textId="24E29FB1" w:rsidR="008C561A" w:rsidRPr="00CA6EB5" w:rsidRDefault="008C561A" w:rsidP="008C561A">
            <w:pPr>
              <w:spacing w:line="259" w:lineRule="auto"/>
              <w:ind w:left="-107"/>
              <w:jc w:val="center"/>
              <w:rPr>
                <w:bCs/>
                <w:lang w:val="fr-BE"/>
              </w:rPr>
            </w:pPr>
            <w:r w:rsidRPr="00CA6EB5">
              <w:rPr>
                <w:bCs/>
                <w:color w:val="000000"/>
              </w:rPr>
              <w:t>I</w:t>
            </w:r>
          </w:p>
        </w:tc>
        <w:tc>
          <w:tcPr>
            <w:tcW w:w="2600" w:type="dxa"/>
            <w:shd w:val="clear" w:color="auto" w:fill="auto"/>
            <w:noWrap/>
            <w:vAlign w:val="bottom"/>
            <w:hideMark/>
          </w:tcPr>
          <w:p w14:paraId="317018EE" w14:textId="77777777" w:rsidR="008C561A" w:rsidRPr="009838B2" w:rsidRDefault="008C561A" w:rsidP="008C561A">
            <w:pPr>
              <w:spacing w:line="259" w:lineRule="auto"/>
              <w:ind w:left="709"/>
              <w:jc w:val="right"/>
              <w:rPr>
                <w:lang w:val="fr-BE"/>
              </w:rPr>
            </w:pPr>
            <w:r w:rsidRPr="009838B2">
              <w:rPr>
                <w:lang w:val="fr-BE"/>
              </w:rPr>
              <w:t>29,62%</w:t>
            </w:r>
          </w:p>
        </w:tc>
        <w:tc>
          <w:tcPr>
            <w:tcW w:w="2126" w:type="dxa"/>
            <w:shd w:val="clear" w:color="auto" w:fill="auto"/>
            <w:noWrap/>
            <w:vAlign w:val="bottom"/>
            <w:hideMark/>
          </w:tcPr>
          <w:p w14:paraId="34792C44" w14:textId="77777777" w:rsidR="008C561A" w:rsidRPr="009838B2" w:rsidRDefault="008C561A" w:rsidP="008C561A">
            <w:pPr>
              <w:spacing w:line="259" w:lineRule="auto"/>
              <w:ind w:left="709"/>
              <w:jc w:val="right"/>
              <w:rPr>
                <w:lang w:val="fr-BE"/>
              </w:rPr>
            </w:pPr>
            <w:r w:rsidRPr="009838B2">
              <w:rPr>
                <w:lang w:val="fr-BE"/>
              </w:rPr>
              <w:t>36,66%</w:t>
            </w:r>
          </w:p>
        </w:tc>
        <w:tc>
          <w:tcPr>
            <w:tcW w:w="2127" w:type="dxa"/>
            <w:shd w:val="clear" w:color="auto" w:fill="auto"/>
            <w:noWrap/>
            <w:vAlign w:val="bottom"/>
            <w:hideMark/>
          </w:tcPr>
          <w:p w14:paraId="27A40352" w14:textId="77777777" w:rsidR="008C561A" w:rsidRPr="009838B2" w:rsidRDefault="008C561A" w:rsidP="008C561A">
            <w:pPr>
              <w:spacing w:line="259" w:lineRule="auto"/>
              <w:ind w:left="709"/>
              <w:jc w:val="right"/>
              <w:rPr>
                <w:lang w:val="fr-BE"/>
              </w:rPr>
            </w:pPr>
            <w:r w:rsidRPr="009838B2">
              <w:rPr>
                <w:lang w:val="fr-BE"/>
              </w:rPr>
              <w:t>44,17%</w:t>
            </w:r>
          </w:p>
        </w:tc>
      </w:tr>
      <w:tr w:rsidR="008C561A" w:rsidRPr="009838B2" w14:paraId="4DE35541" w14:textId="77777777" w:rsidTr="008C561A">
        <w:trPr>
          <w:trHeight w:val="288"/>
        </w:trPr>
        <w:tc>
          <w:tcPr>
            <w:tcW w:w="1387" w:type="dxa"/>
            <w:noWrap/>
            <w:vAlign w:val="bottom"/>
            <w:hideMark/>
          </w:tcPr>
          <w:p w14:paraId="215385B7" w14:textId="36CF6F4E" w:rsidR="008C561A" w:rsidRPr="00CA6EB5" w:rsidRDefault="008C561A" w:rsidP="008C561A">
            <w:pPr>
              <w:spacing w:line="259" w:lineRule="auto"/>
              <w:ind w:left="-107"/>
              <w:jc w:val="center"/>
              <w:rPr>
                <w:bCs/>
                <w:lang w:val="fr-BE"/>
              </w:rPr>
            </w:pPr>
            <w:r w:rsidRPr="00CA6EB5">
              <w:rPr>
                <w:rFonts w:eastAsia="Times New Roman"/>
                <w:bCs/>
                <w:color w:val="000000"/>
              </w:rPr>
              <w:t>II</w:t>
            </w:r>
          </w:p>
        </w:tc>
        <w:tc>
          <w:tcPr>
            <w:tcW w:w="2600" w:type="dxa"/>
            <w:shd w:val="clear" w:color="auto" w:fill="auto"/>
            <w:noWrap/>
            <w:vAlign w:val="bottom"/>
            <w:hideMark/>
          </w:tcPr>
          <w:p w14:paraId="1C3D7B99" w14:textId="77777777" w:rsidR="008C561A" w:rsidRPr="009838B2" w:rsidRDefault="008C561A" w:rsidP="008C561A">
            <w:pPr>
              <w:spacing w:line="259" w:lineRule="auto"/>
              <w:ind w:left="709"/>
              <w:jc w:val="right"/>
              <w:rPr>
                <w:lang w:val="fr-BE"/>
              </w:rPr>
            </w:pPr>
            <w:r w:rsidRPr="009838B2">
              <w:rPr>
                <w:lang w:val="fr-BE"/>
              </w:rPr>
              <w:t>29,05%</w:t>
            </w:r>
          </w:p>
        </w:tc>
        <w:tc>
          <w:tcPr>
            <w:tcW w:w="2126" w:type="dxa"/>
            <w:shd w:val="clear" w:color="auto" w:fill="auto"/>
            <w:noWrap/>
            <w:vAlign w:val="bottom"/>
            <w:hideMark/>
          </w:tcPr>
          <w:p w14:paraId="7DBB664F" w14:textId="77777777" w:rsidR="008C561A" w:rsidRPr="009838B2" w:rsidRDefault="008C561A" w:rsidP="008C561A">
            <w:pPr>
              <w:spacing w:line="259" w:lineRule="auto"/>
              <w:ind w:left="709"/>
              <w:jc w:val="right"/>
              <w:rPr>
                <w:lang w:val="fr-BE"/>
              </w:rPr>
            </w:pPr>
            <w:r w:rsidRPr="009838B2">
              <w:rPr>
                <w:lang w:val="fr-BE"/>
              </w:rPr>
              <w:t>35,93%</w:t>
            </w:r>
          </w:p>
        </w:tc>
        <w:tc>
          <w:tcPr>
            <w:tcW w:w="2127" w:type="dxa"/>
            <w:shd w:val="clear" w:color="auto" w:fill="auto"/>
            <w:noWrap/>
            <w:vAlign w:val="bottom"/>
            <w:hideMark/>
          </w:tcPr>
          <w:p w14:paraId="1950DAB7" w14:textId="77777777" w:rsidR="008C561A" w:rsidRPr="009838B2" w:rsidRDefault="008C561A" w:rsidP="008C561A">
            <w:pPr>
              <w:spacing w:line="259" w:lineRule="auto"/>
              <w:ind w:left="709"/>
              <w:jc w:val="right"/>
              <w:rPr>
                <w:lang w:val="fr-BE"/>
              </w:rPr>
            </w:pPr>
            <w:r w:rsidRPr="009838B2">
              <w:rPr>
                <w:lang w:val="fr-BE"/>
              </w:rPr>
              <w:t>43,32%</w:t>
            </w:r>
          </w:p>
        </w:tc>
      </w:tr>
      <w:tr w:rsidR="008C561A" w:rsidRPr="009838B2" w14:paraId="441840B4" w14:textId="77777777" w:rsidTr="008C561A">
        <w:trPr>
          <w:trHeight w:val="288"/>
        </w:trPr>
        <w:tc>
          <w:tcPr>
            <w:tcW w:w="1387" w:type="dxa"/>
            <w:noWrap/>
            <w:vAlign w:val="bottom"/>
            <w:hideMark/>
          </w:tcPr>
          <w:p w14:paraId="254A6FFD" w14:textId="122348E0" w:rsidR="008C561A" w:rsidRPr="00CA6EB5" w:rsidRDefault="008C561A" w:rsidP="008C561A">
            <w:pPr>
              <w:spacing w:line="259" w:lineRule="auto"/>
              <w:ind w:left="-107"/>
              <w:jc w:val="center"/>
              <w:rPr>
                <w:bCs/>
                <w:lang w:val="fr-BE"/>
              </w:rPr>
            </w:pPr>
            <w:r w:rsidRPr="00CA6EB5">
              <w:rPr>
                <w:rFonts w:eastAsia="Times New Roman"/>
                <w:bCs/>
                <w:color w:val="000000"/>
              </w:rPr>
              <w:t>III</w:t>
            </w:r>
          </w:p>
        </w:tc>
        <w:tc>
          <w:tcPr>
            <w:tcW w:w="2600" w:type="dxa"/>
            <w:shd w:val="clear" w:color="auto" w:fill="auto"/>
            <w:noWrap/>
            <w:vAlign w:val="bottom"/>
            <w:hideMark/>
          </w:tcPr>
          <w:p w14:paraId="33B6FA6D" w14:textId="77777777" w:rsidR="008C561A" w:rsidRPr="009838B2" w:rsidRDefault="008C561A" w:rsidP="008C561A">
            <w:pPr>
              <w:spacing w:line="259" w:lineRule="auto"/>
              <w:ind w:left="709"/>
              <w:jc w:val="right"/>
              <w:rPr>
                <w:lang w:val="fr-BE"/>
              </w:rPr>
            </w:pPr>
            <w:r w:rsidRPr="009838B2">
              <w:rPr>
                <w:lang w:val="fr-BE"/>
              </w:rPr>
              <w:t>28,49%</w:t>
            </w:r>
          </w:p>
        </w:tc>
        <w:tc>
          <w:tcPr>
            <w:tcW w:w="2126" w:type="dxa"/>
            <w:shd w:val="clear" w:color="auto" w:fill="auto"/>
            <w:noWrap/>
            <w:vAlign w:val="bottom"/>
            <w:hideMark/>
          </w:tcPr>
          <w:p w14:paraId="0DB2064F" w14:textId="77777777" w:rsidR="008C561A" w:rsidRPr="009838B2" w:rsidRDefault="008C561A" w:rsidP="008C561A">
            <w:pPr>
              <w:spacing w:line="259" w:lineRule="auto"/>
              <w:ind w:left="709"/>
              <w:jc w:val="right"/>
              <w:rPr>
                <w:lang w:val="fr-BE"/>
              </w:rPr>
            </w:pPr>
            <w:r w:rsidRPr="009838B2">
              <w:rPr>
                <w:lang w:val="fr-BE"/>
              </w:rPr>
              <w:t>35,21%</w:t>
            </w:r>
          </w:p>
        </w:tc>
        <w:tc>
          <w:tcPr>
            <w:tcW w:w="2127" w:type="dxa"/>
            <w:shd w:val="clear" w:color="auto" w:fill="auto"/>
            <w:noWrap/>
            <w:vAlign w:val="bottom"/>
            <w:hideMark/>
          </w:tcPr>
          <w:p w14:paraId="01A8CEF5" w14:textId="77777777" w:rsidR="008C561A" w:rsidRPr="009838B2" w:rsidRDefault="008C561A" w:rsidP="008C561A">
            <w:pPr>
              <w:spacing w:line="259" w:lineRule="auto"/>
              <w:ind w:left="709"/>
              <w:jc w:val="right"/>
              <w:rPr>
                <w:lang w:val="fr-BE"/>
              </w:rPr>
            </w:pPr>
            <w:r w:rsidRPr="009838B2">
              <w:rPr>
                <w:lang w:val="fr-BE"/>
              </w:rPr>
              <w:t>42,47%</w:t>
            </w:r>
          </w:p>
        </w:tc>
      </w:tr>
      <w:tr w:rsidR="008C561A" w:rsidRPr="009838B2" w14:paraId="05D93384" w14:textId="77777777" w:rsidTr="008C561A">
        <w:trPr>
          <w:trHeight w:val="288"/>
        </w:trPr>
        <w:tc>
          <w:tcPr>
            <w:tcW w:w="1387" w:type="dxa"/>
            <w:noWrap/>
            <w:vAlign w:val="bottom"/>
            <w:hideMark/>
          </w:tcPr>
          <w:p w14:paraId="71771FF7" w14:textId="5968CA74" w:rsidR="008C561A" w:rsidRPr="00CA6EB5" w:rsidRDefault="008C561A" w:rsidP="008C561A">
            <w:pPr>
              <w:spacing w:line="259" w:lineRule="auto"/>
              <w:ind w:left="-107"/>
              <w:jc w:val="center"/>
              <w:rPr>
                <w:bCs/>
                <w:lang w:val="fr-BE"/>
              </w:rPr>
            </w:pPr>
            <w:r w:rsidRPr="00CA6EB5">
              <w:rPr>
                <w:rFonts w:eastAsia="Times New Roman"/>
                <w:bCs/>
                <w:color w:val="000000"/>
              </w:rPr>
              <w:t>IV</w:t>
            </w:r>
          </w:p>
        </w:tc>
        <w:tc>
          <w:tcPr>
            <w:tcW w:w="2600" w:type="dxa"/>
            <w:shd w:val="clear" w:color="auto" w:fill="auto"/>
            <w:noWrap/>
            <w:vAlign w:val="bottom"/>
            <w:hideMark/>
          </w:tcPr>
          <w:p w14:paraId="02124597" w14:textId="77777777" w:rsidR="008C561A" w:rsidRPr="009838B2" w:rsidRDefault="008C561A" w:rsidP="008C561A">
            <w:pPr>
              <w:spacing w:line="259" w:lineRule="auto"/>
              <w:ind w:left="709"/>
              <w:jc w:val="right"/>
              <w:rPr>
                <w:lang w:val="fr-BE"/>
              </w:rPr>
            </w:pPr>
            <w:r w:rsidRPr="009838B2">
              <w:rPr>
                <w:lang w:val="fr-BE"/>
              </w:rPr>
              <w:t>27,88%</w:t>
            </w:r>
          </w:p>
        </w:tc>
        <w:tc>
          <w:tcPr>
            <w:tcW w:w="2126" w:type="dxa"/>
            <w:shd w:val="clear" w:color="auto" w:fill="auto"/>
            <w:noWrap/>
            <w:vAlign w:val="bottom"/>
            <w:hideMark/>
          </w:tcPr>
          <w:p w14:paraId="120452E7" w14:textId="77777777" w:rsidR="008C561A" w:rsidRPr="009838B2" w:rsidRDefault="008C561A" w:rsidP="008C561A">
            <w:pPr>
              <w:spacing w:line="259" w:lineRule="auto"/>
              <w:ind w:left="709"/>
              <w:jc w:val="right"/>
              <w:rPr>
                <w:lang w:val="fr-BE"/>
              </w:rPr>
            </w:pPr>
            <w:r w:rsidRPr="009838B2">
              <w:rPr>
                <w:lang w:val="fr-BE"/>
              </w:rPr>
              <w:t>34,43%</w:t>
            </w:r>
          </w:p>
        </w:tc>
        <w:tc>
          <w:tcPr>
            <w:tcW w:w="2127" w:type="dxa"/>
            <w:shd w:val="clear" w:color="auto" w:fill="auto"/>
            <w:noWrap/>
            <w:vAlign w:val="bottom"/>
            <w:hideMark/>
          </w:tcPr>
          <w:p w14:paraId="4AED1F5E" w14:textId="77777777" w:rsidR="008C561A" w:rsidRPr="009838B2" w:rsidRDefault="008C561A" w:rsidP="008C561A">
            <w:pPr>
              <w:spacing w:line="259" w:lineRule="auto"/>
              <w:ind w:left="709"/>
              <w:jc w:val="right"/>
              <w:rPr>
                <w:lang w:val="fr-BE"/>
              </w:rPr>
            </w:pPr>
            <w:r w:rsidRPr="009838B2">
              <w:rPr>
                <w:lang w:val="fr-BE"/>
              </w:rPr>
              <w:t>41,55%</w:t>
            </w:r>
          </w:p>
        </w:tc>
      </w:tr>
      <w:tr w:rsidR="008C561A" w:rsidRPr="009838B2" w14:paraId="28A3C993" w14:textId="77777777" w:rsidTr="008C561A">
        <w:trPr>
          <w:trHeight w:val="288"/>
        </w:trPr>
        <w:tc>
          <w:tcPr>
            <w:tcW w:w="1387" w:type="dxa"/>
            <w:noWrap/>
            <w:vAlign w:val="bottom"/>
            <w:hideMark/>
          </w:tcPr>
          <w:p w14:paraId="789A04AC" w14:textId="3BCDD006" w:rsidR="008C561A" w:rsidRPr="00CA6EB5" w:rsidRDefault="008C561A" w:rsidP="008C561A">
            <w:pPr>
              <w:spacing w:line="259" w:lineRule="auto"/>
              <w:ind w:left="-107"/>
              <w:jc w:val="center"/>
              <w:rPr>
                <w:bCs/>
                <w:lang w:val="fr-BE"/>
              </w:rPr>
            </w:pPr>
            <w:r w:rsidRPr="00CA6EB5">
              <w:rPr>
                <w:rFonts w:eastAsia="Times New Roman"/>
                <w:bCs/>
                <w:color w:val="000000"/>
              </w:rPr>
              <w:t>V</w:t>
            </w:r>
          </w:p>
        </w:tc>
        <w:tc>
          <w:tcPr>
            <w:tcW w:w="2600" w:type="dxa"/>
            <w:shd w:val="clear" w:color="auto" w:fill="auto"/>
            <w:noWrap/>
            <w:vAlign w:val="bottom"/>
            <w:hideMark/>
          </w:tcPr>
          <w:p w14:paraId="47B243C1" w14:textId="77777777" w:rsidR="008C561A" w:rsidRPr="009838B2" w:rsidRDefault="008C561A" w:rsidP="008C561A">
            <w:pPr>
              <w:spacing w:line="259" w:lineRule="auto"/>
              <w:ind w:left="709"/>
              <w:jc w:val="right"/>
              <w:rPr>
                <w:lang w:val="fr-BE"/>
              </w:rPr>
            </w:pPr>
            <w:r w:rsidRPr="009838B2">
              <w:rPr>
                <w:lang w:val="fr-BE"/>
              </w:rPr>
              <w:t>27,27%</w:t>
            </w:r>
          </w:p>
        </w:tc>
        <w:tc>
          <w:tcPr>
            <w:tcW w:w="2126" w:type="dxa"/>
            <w:shd w:val="clear" w:color="auto" w:fill="auto"/>
            <w:noWrap/>
            <w:vAlign w:val="bottom"/>
            <w:hideMark/>
          </w:tcPr>
          <w:p w14:paraId="1CDE13F7" w14:textId="77777777" w:rsidR="008C561A" w:rsidRPr="009838B2" w:rsidRDefault="008C561A" w:rsidP="008C561A">
            <w:pPr>
              <w:spacing w:line="259" w:lineRule="auto"/>
              <w:ind w:left="709"/>
              <w:jc w:val="right"/>
              <w:rPr>
                <w:lang w:val="fr-BE"/>
              </w:rPr>
            </w:pPr>
            <w:r w:rsidRPr="009838B2">
              <w:rPr>
                <w:lang w:val="fr-BE"/>
              </w:rPr>
              <w:t>33,65%</w:t>
            </w:r>
          </w:p>
        </w:tc>
        <w:tc>
          <w:tcPr>
            <w:tcW w:w="2127" w:type="dxa"/>
            <w:shd w:val="clear" w:color="auto" w:fill="auto"/>
            <w:noWrap/>
            <w:vAlign w:val="bottom"/>
            <w:hideMark/>
          </w:tcPr>
          <w:p w14:paraId="0EB09DD6" w14:textId="77777777" w:rsidR="008C561A" w:rsidRPr="009838B2" w:rsidRDefault="008C561A" w:rsidP="008C561A">
            <w:pPr>
              <w:spacing w:line="259" w:lineRule="auto"/>
              <w:ind w:left="709"/>
              <w:jc w:val="right"/>
              <w:rPr>
                <w:lang w:val="fr-BE"/>
              </w:rPr>
            </w:pPr>
            <w:r w:rsidRPr="009838B2">
              <w:rPr>
                <w:lang w:val="fr-BE"/>
              </w:rPr>
              <w:t>40,63%</w:t>
            </w:r>
          </w:p>
        </w:tc>
      </w:tr>
      <w:bookmarkEnd w:id="173"/>
    </w:tbl>
    <w:p w14:paraId="2BF1A57E" w14:textId="77777777" w:rsidR="009C7E75" w:rsidRDefault="009C7E75" w:rsidP="00EC0B02">
      <w:pPr>
        <w:spacing w:after="0"/>
        <w:ind w:left="709"/>
        <w:jc w:val="both"/>
      </w:pPr>
    </w:p>
    <w:p w14:paraId="07BADF16" w14:textId="3BF1A529" w:rsidR="00BF3313" w:rsidRDefault="00BF3313">
      <w:r>
        <w:br w:type="page"/>
      </w:r>
    </w:p>
    <w:p w14:paraId="4059F700" w14:textId="3B7670A1" w:rsidR="004B2215" w:rsidRDefault="004B2215" w:rsidP="00BA7E3E">
      <w:pPr>
        <w:spacing w:after="0"/>
        <w:jc w:val="both"/>
      </w:pPr>
    </w:p>
    <w:p w14:paraId="2B17715B" w14:textId="48951DF6" w:rsidR="007637E7" w:rsidRDefault="00DA2FF5" w:rsidP="00DA2FF5">
      <w:pPr>
        <w:pStyle w:val="Lijstalinea"/>
        <w:spacing w:after="0"/>
        <w:ind w:left="709"/>
        <w:jc w:val="both"/>
      </w:pPr>
      <w:r>
        <w:t xml:space="preserve">Een laatste visualisatie betreft de simulaties, waarbij in elk scenario de BBSZ volledig werd geschrapt en waarbij </w:t>
      </w:r>
      <w:r w:rsidRPr="00CB059D">
        <w:rPr>
          <w:b/>
          <w:bCs/>
        </w:rPr>
        <w:t xml:space="preserve">de bestaande tarieven </w:t>
      </w:r>
      <w:r w:rsidR="005D2B08">
        <w:rPr>
          <w:b/>
          <w:bCs/>
        </w:rPr>
        <w:t>procentueel in dezelfde mat</w:t>
      </w:r>
      <w:r w:rsidR="0067290D">
        <w:rPr>
          <w:b/>
          <w:bCs/>
        </w:rPr>
        <w:t>e</w:t>
      </w:r>
      <w:r w:rsidRPr="00CB059D">
        <w:rPr>
          <w:b/>
          <w:bCs/>
        </w:rPr>
        <w:t xml:space="preserve"> werden verlaagd</w:t>
      </w:r>
      <w:r>
        <w:t xml:space="preserve">, respectievelijk met </w:t>
      </w:r>
      <w:r w:rsidR="005D2B08">
        <w:t>3</w:t>
      </w:r>
      <w:r w:rsidR="00611331">
        <w:t>,</w:t>
      </w:r>
      <w:r w:rsidR="005D2B08">
        <w:t xml:space="preserve">3%, 6,7%, </w:t>
      </w:r>
      <w:r w:rsidR="00F43925">
        <w:t>10,1%, 13,6%, 17,3%</w:t>
      </w:r>
      <w:r w:rsidR="005400FE">
        <w:t>:</w:t>
      </w:r>
      <w:r>
        <w:t xml:space="preserve"> </w:t>
      </w:r>
    </w:p>
    <w:p w14:paraId="3D60DC02" w14:textId="77777777" w:rsidR="007637E7" w:rsidRDefault="007637E7" w:rsidP="00DA2FF5">
      <w:pPr>
        <w:pStyle w:val="Lijstalinea"/>
        <w:spacing w:after="0"/>
        <w:ind w:left="709"/>
        <w:jc w:val="both"/>
      </w:pPr>
    </w:p>
    <w:tbl>
      <w:tblPr>
        <w:tblW w:w="8113" w:type="dxa"/>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624"/>
        <w:gridCol w:w="1276"/>
        <w:gridCol w:w="1559"/>
        <w:gridCol w:w="1276"/>
        <w:gridCol w:w="1418"/>
      </w:tblGrid>
      <w:tr w:rsidR="007637E7" w:rsidRPr="007637E7" w14:paraId="4BC4588D" w14:textId="77777777" w:rsidTr="00F92526">
        <w:trPr>
          <w:trHeight w:val="288"/>
        </w:trPr>
        <w:tc>
          <w:tcPr>
            <w:tcW w:w="960" w:type="dxa"/>
            <w:shd w:val="clear" w:color="auto" w:fill="auto"/>
            <w:noWrap/>
            <w:vAlign w:val="bottom"/>
            <w:hideMark/>
          </w:tcPr>
          <w:p w14:paraId="497F8032" w14:textId="6A2FFF49" w:rsidR="007637E7" w:rsidRPr="007637E7" w:rsidRDefault="007637E7" w:rsidP="007637E7">
            <w:pPr>
              <w:spacing w:after="0" w:line="240" w:lineRule="auto"/>
              <w:rPr>
                <w:rFonts w:ascii="Calibri" w:eastAsia="Times New Roman" w:hAnsi="Calibri" w:cs="Calibri"/>
                <w:color w:val="000000"/>
                <w:lang w:eastAsia="nl-BE"/>
              </w:rPr>
            </w:pPr>
          </w:p>
        </w:tc>
        <w:tc>
          <w:tcPr>
            <w:tcW w:w="1624" w:type="dxa"/>
            <w:shd w:val="clear" w:color="auto" w:fill="auto"/>
            <w:noWrap/>
            <w:vAlign w:val="bottom"/>
            <w:hideMark/>
          </w:tcPr>
          <w:p w14:paraId="3B65D5E8" w14:textId="77777777" w:rsidR="007637E7" w:rsidRPr="007637E7" w:rsidRDefault="007637E7" w:rsidP="007637E7">
            <w:pPr>
              <w:spacing w:after="0" w:line="240" w:lineRule="auto"/>
              <w:rPr>
                <w:rFonts w:ascii="Calibri" w:eastAsia="Times New Roman" w:hAnsi="Calibri" w:cs="Calibri"/>
                <w:color w:val="000000"/>
                <w:lang w:eastAsia="nl-BE"/>
              </w:rPr>
            </w:pPr>
            <w:r w:rsidRPr="007637E7">
              <w:rPr>
                <w:rFonts w:ascii="Calibri" w:eastAsia="Times New Roman" w:hAnsi="Calibri" w:cs="Calibri"/>
                <w:color w:val="000000"/>
                <w:lang w:eastAsia="nl-BE"/>
              </w:rPr>
              <w:t>-3,3%</w:t>
            </w:r>
          </w:p>
        </w:tc>
        <w:tc>
          <w:tcPr>
            <w:tcW w:w="1276" w:type="dxa"/>
            <w:shd w:val="clear" w:color="auto" w:fill="auto"/>
            <w:noWrap/>
            <w:vAlign w:val="bottom"/>
            <w:hideMark/>
          </w:tcPr>
          <w:p w14:paraId="4CCBF3A8" w14:textId="77777777" w:rsidR="007637E7" w:rsidRPr="007637E7" w:rsidRDefault="007637E7" w:rsidP="007637E7">
            <w:pPr>
              <w:spacing w:after="0" w:line="240" w:lineRule="auto"/>
              <w:rPr>
                <w:rFonts w:ascii="Calibri" w:eastAsia="Times New Roman" w:hAnsi="Calibri" w:cs="Calibri"/>
                <w:color w:val="000000"/>
                <w:lang w:eastAsia="nl-BE"/>
              </w:rPr>
            </w:pPr>
            <w:r w:rsidRPr="007637E7">
              <w:rPr>
                <w:rFonts w:ascii="Calibri" w:eastAsia="Times New Roman" w:hAnsi="Calibri" w:cs="Calibri"/>
                <w:color w:val="000000"/>
                <w:lang w:eastAsia="nl-BE"/>
              </w:rPr>
              <w:t>-6,7%</w:t>
            </w:r>
          </w:p>
        </w:tc>
        <w:tc>
          <w:tcPr>
            <w:tcW w:w="1559" w:type="dxa"/>
            <w:shd w:val="clear" w:color="auto" w:fill="auto"/>
            <w:noWrap/>
            <w:vAlign w:val="bottom"/>
            <w:hideMark/>
          </w:tcPr>
          <w:p w14:paraId="474F4DB8" w14:textId="77777777" w:rsidR="007637E7" w:rsidRPr="007637E7" w:rsidRDefault="007637E7" w:rsidP="007637E7">
            <w:pPr>
              <w:spacing w:after="0" w:line="240" w:lineRule="auto"/>
              <w:rPr>
                <w:rFonts w:ascii="Calibri" w:eastAsia="Times New Roman" w:hAnsi="Calibri" w:cs="Calibri"/>
                <w:color w:val="000000"/>
                <w:lang w:eastAsia="nl-BE"/>
              </w:rPr>
            </w:pPr>
            <w:r w:rsidRPr="007637E7">
              <w:rPr>
                <w:rFonts w:ascii="Calibri" w:eastAsia="Times New Roman" w:hAnsi="Calibri" w:cs="Calibri"/>
                <w:color w:val="000000"/>
                <w:lang w:eastAsia="nl-BE"/>
              </w:rPr>
              <w:t>-10,1%</w:t>
            </w:r>
          </w:p>
        </w:tc>
        <w:tc>
          <w:tcPr>
            <w:tcW w:w="1276" w:type="dxa"/>
            <w:shd w:val="clear" w:color="auto" w:fill="auto"/>
            <w:noWrap/>
            <w:vAlign w:val="bottom"/>
            <w:hideMark/>
          </w:tcPr>
          <w:p w14:paraId="486575F1" w14:textId="77777777" w:rsidR="007637E7" w:rsidRPr="007637E7" w:rsidRDefault="007637E7" w:rsidP="007637E7">
            <w:pPr>
              <w:spacing w:after="0" w:line="240" w:lineRule="auto"/>
              <w:rPr>
                <w:rFonts w:ascii="Calibri" w:eastAsia="Times New Roman" w:hAnsi="Calibri" w:cs="Calibri"/>
                <w:color w:val="000000"/>
                <w:lang w:eastAsia="nl-BE"/>
              </w:rPr>
            </w:pPr>
            <w:r w:rsidRPr="007637E7">
              <w:rPr>
                <w:rFonts w:ascii="Calibri" w:eastAsia="Times New Roman" w:hAnsi="Calibri" w:cs="Calibri"/>
                <w:color w:val="000000"/>
                <w:lang w:eastAsia="nl-BE"/>
              </w:rPr>
              <w:t>-13,6%</w:t>
            </w:r>
          </w:p>
        </w:tc>
        <w:tc>
          <w:tcPr>
            <w:tcW w:w="1418" w:type="dxa"/>
            <w:shd w:val="clear" w:color="auto" w:fill="auto"/>
            <w:noWrap/>
            <w:vAlign w:val="bottom"/>
            <w:hideMark/>
          </w:tcPr>
          <w:p w14:paraId="776A802E" w14:textId="77777777" w:rsidR="007637E7" w:rsidRPr="007637E7" w:rsidRDefault="007637E7" w:rsidP="007637E7">
            <w:pPr>
              <w:spacing w:after="0" w:line="240" w:lineRule="auto"/>
              <w:rPr>
                <w:rFonts w:ascii="Calibri" w:eastAsia="Times New Roman" w:hAnsi="Calibri" w:cs="Calibri"/>
                <w:color w:val="000000"/>
                <w:lang w:eastAsia="nl-BE"/>
              </w:rPr>
            </w:pPr>
            <w:r w:rsidRPr="007637E7">
              <w:rPr>
                <w:rFonts w:ascii="Calibri" w:eastAsia="Times New Roman" w:hAnsi="Calibri" w:cs="Calibri"/>
                <w:color w:val="000000"/>
                <w:lang w:eastAsia="nl-BE"/>
              </w:rPr>
              <w:t>-17,3%</w:t>
            </w:r>
          </w:p>
        </w:tc>
      </w:tr>
      <w:tr w:rsidR="007637E7" w:rsidRPr="007637E7" w14:paraId="303FB699" w14:textId="77777777" w:rsidTr="00F92526">
        <w:trPr>
          <w:trHeight w:val="288"/>
        </w:trPr>
        <w:tc>
          <w:tcPr>
            <w:tcW w:w="960" w:type="dxa"/>
            <w:shd w:val="clear" w:color="auto" w:fill="auto"/>
            <w:noWrap/>
            <w:vAlign w:val="bottom"/>
            <w:hideMark/>
          </w:tcPr>
          <w:p w14:paraId="4685EC2B" w14:textId="54AADDDB" w:rsidR="007637E7" w:rsidRPr="007637E7" w:rsidRDefault="007637E7" w:rsidP="00F92526">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2</w:t>
            </w:r>
            <w:r w:rsidRPr="007637E7">
              <w:rPr>
                <w:rFonts w:ascii="Calibri" w:eastAsia="Times New Roman" w:hAnsi="Calibri" w:cs="Calibri"/>
                <w:color w:val="000000"/>
                <w:lang w:eastAsia="nl-BE"/>
              </w:rPr>
              <w:t>5</w:t>
            </w:r>
            <w:r>
              <w:rPr>
                <w:rFonts w:ascii="Calibri" w:eastAsia="Times New Roman" w:hAnsi="Calibri" w:cs="Calibri"/>
                <w:color w:val="000000"/>
                <w:lang w:eastAsia="nl-BE"/>
              </w:rPr>
              <w:t>%</w:t>
            </w:r>
          </w:p>
        </w:tc>
        <w:tc>
          <w:tcPr>
            <w:tcW w:w="1624" w:type="dxa"/>
            <w:shd w:val="clear" w:color="auto" w:fill="auto"/>
            <w:noWrap/>
            <w:vAlign w:val="bottom"/>
            <w:hideMark/>
          </w:tcPr>
          <w:p w14:paraId="1AC20A63"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24,18%</w:t>
            </w:r>
          </w:p>
        </w:tc>
        <w:tc>
          <w:tcPr>
            <w:tcW w:w="1276" w:type="dxa"/>
            <w:shd w:val="clear" w:color="auto" w:fill="auto"/>
            <w:noWrap/>
            <w:vAlign w:val="bottom"/>
            <w:hideMark/>
          </w:tcPr>
          <w:p w14:paraId="2115267F"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23,33%</w:t>
            </w:r>
          </w:p>
        </w:tc>
        <w:tc>
          <w:tcPr>
            <w:tcW w:w="1559" w:type="dxa"/>
            <w:shd w:val="clear" w:color="auto" w:fill="auto"/>
            <w:noWrap/>
            <w:vAlign w:val="bottom"/>
            <w:hideMark/>
          </w:tcPr>
          <w:p w14:paraId="4372A842"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22,48%</w:t>
            </w:r>
          </w:p>
        </w:tc>
        <w:tc>
          <w:tcPr>
            <w:tcW w:w="1276" w:type="dxa"/>
            <w:shd w:val="clear" w:color="auto" w:fill="auto"/>
            <w:noWrap/>
            <w:vAlign w:val="bottom"/>
            <w:hideMark/>
          </w:tcPr>
          <w:p w14:paraId="20ADC8D1"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21,60%</w:t>
            </w:r>
          </w:p>
        </w:tc>
        <w:tc>
          <w:tcPr>
            <w:tcW w:w="1418" w:type="dxa"/>
            <w:shd w:val="clear" w:color="auto" w:fill="auto"/>
            <w:noWrap/>
            <w:vAlign w:val="bottom"/>
            <w:hideMark/>
          </w:tcPr>
          <w:p w14:paraId="45FDAF6D"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20,68%</w:t>
            </w:r>
          </w:p>
        </w:tc>
      </w:tr>
      <w:tr w:rsidR="007637E7" w:rsidRPr="007637E7" w14:paraId="57179726" w14:textId="77777777" w:rsidTr="00F92526">
        <w:trPr>
          <w:trHeight w:val="288"/>
        </w:trPr>
        <w:tc>
          <w:tcPr>
            <w:tcW w:w="960" w:type="dxa"/>
            <w:shd w:val="clear" w:color="auto" w:fill="auto"/>
            <w:noWrap/>
            <w:vAlign w:val="bottom"/>
            <w:hideMark/>
          </w:tcPr>
          <w:p w14:paraId="174CE8CC" w14:textId="15C0F8F8" w:rsidR="007637E7" w:rsidRPr="007637E7" w:rsidRDefault="007637E7" w:rsidP="00F92526">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40%</w:t>
            </w:r>
          </w:p>
        </w:tc>
        <w:tc>
          <w:tcPr>
            <w:tcW w:w="1624" w:type="dxa"/>
            <w:shd w:val="clear" w:color="auto" w:fill="auto"/>
            <w:noWrap/>
            <w:vAlign w:val="bottom"/>
            <w:hideMark/>
          </w:tcPr>
          <w:p w14:paraId="7C8B8C15"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38,68%</w:t>
            </w:r>
          </w:p>
        </w:tc>
        <w:tc>
          <w:tcPr>
            <w:tcW w:w="1276" w:type="dxa"/>
            <w:shd w:val="clear" w:color="auto" w:fill="auto"/>
            <w:noWrap/>
            <w:vAlign w:val="bottom"/>
            <w:hideMark/>
          </w:tcPr>
          <w:p w14:paraId="108A07C1"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37,32%</w:t>
            </w:r>
          </w:p>
        </w:tc>
        <w:tc>
          <w:tcPr>
            <w:tcW w:w="1559" w:type="dxa"/>
            <w:shd w:val="clear" w:color="auto" w:fill="auto"/>
            <w:noWrap/>
            <w:vAlign w:val="bottom"/>
            <w:hideMark/>
          </w:tcPr>
          <w:p w14:paraId="1A582FFD"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35,96%</w:t>
            </w:r>
          </w:p>
        </w:tc>
        <w:tc>
          <w:tcPr>
            <w:tcW w:w="1276" w:type="dxa"/>
            <w:shd w:val="clear" w:color="auto" w:fill="auto"/>
            <w:noWrap/>
            <w:vAlign w:val="bottom"/>
            <w:hideMark/>
          </w:tcPr>
          <w:p w14:paraId="4435AB37"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34,56%</w:t>
            </w:r>
          </w:p>
        </w:tc>
        <w:tc>
          <w:tcPr>
            <w:tcW w:w="1418" w:type="dxa"/>
            <w:shd w:val="clear" w:color="auto" w:fill="auto"/>
            <w:noWrap/>
            <w:vAlign w:val="bottom"/>
            <w:hideMark/>
          </w:tcPr>
          <w:p w14:paraId="59F6408F"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33,08%</w:t>
            </w:r>
          </w:p>
        </w:tc>
      </w:tr>
      <w:tr w:rsidR="007637E7" w:rsidRPr="007637E7" w14:paraId="1C532037" w14:textId="77777777" w:rsidTr="00F92526">
        <w:trPr>
          <w:trHeight w:val="288"/>
        </w:trPr>
        <w:tc>
          <w:tcPr>
            <w:tcW w:w="960" w:type="dxa"/>
            <w:shd w:val="clear" w:color="auto" w:fill="auto"/>
            <w:noWrap/>
            <w:vAlign w:val="bottom"/>
            <w:hideMark/>
          </w:tcPr>
          <w:p w14:paraId="3F0E678B" w14:textId="24FC08D3"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45</w:t>
            </w:r>
            <w:r>
              <w:rPr>
                <w:rFonts w:ascii="Calibri" w:eastAsia="Times New Roman" w:hAnsi="Calibri" w:cs="Calibri"/>
                <w:color w:val="000000"/>
                <w:lang w:eastAsia="nl-BE"/>
              </w:rPr>
              <w:t>%</w:t>
            </w:r>
          </w:p>
        </w:tc>
        <w:tc>
          <w:tcPr>
            <w:tcW w:w="1624" w:type="dxa"/>
            <w:shd w:val="clear" w:color="auto" w:fill="auto"/>
            <w:noWrap/>
            <w:vAlign w:val="bottom"/>
            <w:hideMark/>
          </w:tcPr>
          <w:p w14:paraId="26A71810"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43,52%</w:t>
            </w:r>
          </w:p>
        </w:tc>
        <w:tc>
          <w:tcPr>
            <w:tcW w:w="1276" w:type="dxa"/>
            <w:shd w:val="clear" w:color="auto" w:fill="auto"/>
            <w:noWrap/>
            <w:vAlign w:val="bottom"/>
            <w:hideMark/>
          </w:tcPr>
          <w:p w14:paraId="7352EC1C"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41,99%</w:t>
            </w:r>
          </w:p>
        </w:tc>
        <w:tc>
          <w:tcPr>
            <w:tcW w:w="1559" w:type="dxa"/>
            <w:shd w:val="clear" w:color="auto" w:fill="auto"/>
            <w:noWrap/>
            <w:vAlign w:val="bottom"/>
            <w:hideMark/>
          </w:tcPr>
          <w:p w14:paraId="4F38E741"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40,46%</w:t>
            </w:r>
          </w:p>
        </w:tc>
        <w:tc>
          <w:tcPr>
            <w:tcW w:w="1276" w:type="dxa"/>
            <w:shd w:val="clear" w:color="auto" w:fill="auto"/>
            <w:noWrap/>
            <w:vAlign w:val="bottom"/>
            <w:hideMark/>
          </w:tcPr>
          <w:p w14:paraId="550C96D5"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38,88%</w:t>
            </w:r>
          </w:p>
        </w:tc>
        <w:tc>
          <w:tcPr>
            <w:tcW w:w="1418" w:type="dxa"/>
            <w:shd w:val="clear" w:color="auto" w:fill="auto"/>
            <w:noWrap/>
            <w:vAlign w:val="bottom"/>
            <w:hideMark/>
          </w:tcPr>
          <w:p w14:paraId="5F034AA2"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37,22%</w:t>
            </w:r>
          </w:p>
        </w:tc>
      </w:tr>
      <w:tr w:rsidR="007637E7" w:rsidRPr="007637E7" w14:paraId="023428A2" w14:textId="77777777" w:rsidTr="00F92526">
        <w:trPr>
          <w:trHeight w:val="288"/>
        </w:trPr>
        <w:tc>
          <w:tcPr>
            <w:tcW w:w="960" w:type="dxa"/>
            <w:shd w:val="clear" w:color="auto" w:fill="auto"/>
            <w:noWrap/>
            <w:vAlign w:val="bottom"/>
            <w:hideMark/>
          </w:tcPr>
          <w:p w14:paraId="3C079F05" w14:textId="021EEAB9"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5</w:t>
            </w:r>
            <w:r>
              <w:rPr>
                <w:rFonts w:ascii="Calibri" w:eastAsia="Times New Roman" w:hAnsi="Calibri" w:cs="Calibri"/>
                <w:color w:val="000000"/>
                <w:lang w:eastAsia="nl-BE"/>
              </w:rPr>
              <w:t>0%</w:t>
            </w:r>
          </w:p>
        </w:tc>
        <w:tc>
          <w:tcPr>
            <w:tcW w:w="1624" w:type="dxa"/>
            <w:shd w:val="clear" w:color="auto" w:fill="auto"/>
            <w:noWrap/>
            <w:vAlign w:val="bottom"/>
            <w:hideMark/>
          </w:tcPr>
          <w:p w14:paraId="0B6C4FC5"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48,35%</w:t>
            </w:r>
          </w:p>
        </w:tc>
        <w:tc>
          <w:tcPr>
            <w:tcW w:w="1276" w:type="dxa"/>
            <w:shd w:val="clear" w:color="auto" w:fill="auto"/>
            <w:noWrap/>
            <w:vAlign w:val="bottom"/>
            <w:hideMark/>
          </w:tcPr>
          <w:p w14:paraId="553D00F2"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46,65%</w:t>
            </w:r>
          </w:p>
        </w:tc>
        <w:tc>
          <w:tcPr>
            <w:tcW w:w="1559" w:type="dxa"/>
            <w:shd w:val="clear" w:color="auto" w:fill="auto"/>
            <w:noWrap/>
            <w:vAlign w:val="bottom"/>
            <w:hideMark/>
          </w:tcPr>
          <w:p w14:paraId="205A2F97"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44,95%</w:t>
            </w:r>
          </w:p>
        </w:tc>
        <w:tc>
          <w:tcPr>
            <w:tcW w:w="1276" w:type="dxa"/>
            <w:shd w:val="clear" w:color="auto" w:fill="auto"/>
            <w:noWrap/>
            <w:vAlign w:val="bottom"/>
            <w:hideMark/>
          </w:tcPr>
          <w:p w14:paraId="3EE06802"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43,20%</w:t>
            </w:r>
          </w:p>
        </w:tc>
        <w:tc>
          <w:tcPr>
            <w:tcW w:w="1418" w:type="dxa"/>
            <w:shd w:val="clear" w:color="auto" w:fill="auto"/>
            <w:noWrap/>
            <w:vAlign w:val="bottom"/>
            <w:hideMark/>
          </w:tcPr>
          <w:p w14:paraId="4202D863" w14:textId="77777777" w:rsidR="007637E7" w:rsidRPr="007637E7" w:rsidRDefault="007637E7" w:rsidP="00F9252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41,35%</w:t>
            </w:r>
          </w:p>
        </w:tc>
      </w:tr>
    </w:tbl>
    <w:p w14:paraId="20643540" w14:textId="77777777" w:rsidR="007637E7" w:rsidRDefault="007637E7" w:rsidP="00DA2FF5">
      <w:pPr>
        <w:pStyle w:val="Lijstalinea"/>
        <w:spacing w:after="0"/>
        <w:ind w:left="709"/>
        <w:jc w:val="both"/>
      </w:pPr>
    </w:p>
    <w:p w14:paraId="072007AE" w14:textId="77777777" w:rsidR="007637E7" w:rsidRDefault="007637E7" w:rsidP="00DA2FF5">
      <w:pPr>
        <w:pStyle w:val="Lijstalinea"/>
        <w:spacing w:after="0"/>
        <w:ind w:left="709"/>
        <w:jc w:val="both"/>
      </w:pPr>
    </w:p>
    <w:p w14:paraId="50E776D2" w14:textId="23BB7341" w:rsidR="00DA2FF5" w:rsidRPr="002C40CF" w:rsidRDefault="00DA2FF5" w:rsidP="00DA2FF5">
      <w:pPr>
        <w:pStyle w:val="Lijstalinea"/>
        <w:spacing w:after="0"/>
        <w:ind w:left="709"/>
        <w:jc w:val="both"/>
      </w:pPr>
      <w:r w:rsidRPr="002C40CF">
        <w:t xml:space="preserve">Met deze ingrepen </w:t>
      </w:r>
      <w:r w:rsidR="00FE18FA">
        <w:t xml:space="preserve">(budget 2019) </w:t>
      </w:r>
      <w:r w:rsidRPr="002C40CF">
        <w:t xml:space="preserve">zouden de </w:t>
      </w:r>
      <w:r w:rsidR="008D31D6">
        <w:t>ontvang</w:t>
      </w:r>
      <w:r w:rsidR="008D31D6" w:rsidRPr="002C40CF">
        <w:t>sten</w:t>
      </w:r>
      <w:r w:rsidRPr="002C40CF">
        <w:t xml:space="preserve"> </w:t>
      </w:r>
      <w:r>
        <w:t xml:space="preserve">uit de personenbelasting </w:t>
      </w:r>
      <w:r w:rsidRPr="002C40CF">
        <w:t xml:space="preserve">met resp. </w:t>
      </w:r>
      <w:r w:rsidR="00F43925">
        <w:t>1.963</w:t>
      </w:r>
      <w:r>
        <w:t xml:space="preserve"> </w:t>
      </w:r>
      <w:r w:rsidR="00CA2D19">
        <w:t>miljoen euro</w:t>
      </w:r>
      <w:r w:rsidR="000973A5">
        <w:t xml:space="preserve"> (I)</w:t>
      </w:r>
      <w:r w:rsidRPr="002C40CF">
        <w:t xml:space="preserve">, </w:t>
      </w:r>
      <w:r>
        <w:t>3.9</w:t>
      </w:r>
      <w:r w:rsidR="00F43925">
        <w:t>75</w:t>
      </w:r>
      <w:r w:rsidRPr="002C40CF">
        <w:t xml:space="preserve"> </w:t>
      </w:r>
      <w:r w:rsidR="00CA2D19">
        <w:t>miljoen euro</w:t>
      </w:r>
      <w:r w:rsidR="000973A5">
        <w:t xml:space="preserve"> (II)</w:t>
      </w:r>
      <w:r w:rsidR="00A90CE6">
        <w:t xml:space="preserve">, </w:t>
      </w:r>
      <w:r>
        <w:t>5.9</w:t>
      </w:r>
      <w:r w:rsidR="007F70C9">
        <w:t>69</w:t>
      </w:r>
      <w:r w:rsidRPr="002C40CF">
        <w:t xml:space="preserve"> </w:t>
      </w:r>
      <w:r w:rsidR="00CA2D19">
        <w:t>miljoen euro</w:t>
      </w:r>
      <w:r w:rsidR="000973A5">
        <w:t xml:space="preserve"> (III)</w:t>
      </w:r>
      <w:r>
        <w:t>, 8.0</w:t>
      </w:r>
      <w:r w:rsidR="007F70C9">
        <w:t>05</w:t>
      </w:r>
      <w:r>
        <w:t xml:space="preserve"> </w:t>
      </w:r>
      <w:r w:rsidR="00CA2D19">
        <w:t>miljoen euro</w:t>
      </w:r>
      <w:r>
        <w:t xml:space="preserve"> </w:t>
      </w:r>
      <w:r w:rsidR="000973A5">
        <w:t xml:space="preserve">(IV) </w:t>
      </w:r>
      <w:r>
        <w:t>en 10.</w:t>
      </w:r>
      <w:r w:rsidR="007F70C9">
        <w:t>123</w:t>
      </w:r>
      <w:r>
        <w:t xml:space="preserve"> </w:t>
      </w:r>
      <w:r w:rsidR="00CA2D19">
        <w:t>miljoen euro</w:t>
      </w:r>
      <w:r w:rsidRPr="002C40CF">
        <w:t xml:space="preserve"> </w:t>
      </w:r>
      <w:r w:rsidR="000973A5">
        <w:t xml:space="preserve">(V) </w:t>
      </w:r>
      <w:r w:rsidRPr="002C40CF">
        <w:t xml:space="preserve">dalen. </w:t>
      </w:r>
      <w:r>
        <w:t>De x-as geeft de loonkost/winst weer.</w:t>
      </w:r>
    </w:p>
    <w:p w14:paraId="49CB9559" w14:textId="370C3DA6" w:rsidR="00BF3313" w:rsidRDefault="00BF3313" w:rsidP="00BA7E3E">
      <w:pPr>
        <w:spacing w:after="0"/>
        <w:jc w:val="both"/>
      </w:pPr>
    </w:p>
    <w:p w14:paraId="6BA5DAD3" w14:textId="1BAB4D8C" w:rsidR="0080542E" w:rsidRDefault="0080542E" w:rsidP="00BA7E3E">
      <w:pPr>
        <w:spacing w:after="0"/>
        <w:jc w:val="both"/>
      </w:pPr>
    </w:p>
    <w:p w14:paraId="37336220" w14:textId="07FED2AC" w:rsidR="0080542E" w:rsidRDefault="004B1AAD">
      <w:r>
        <w:rPr>
          <w:noProof/>
        </w:rPr>
        <w:drawing>
          <wp:inline distT="0" distB="0" distL="0" distR="0" wp14:anchorId="13873B23" wp14:editId="516AA4A6">
            <wp:extent cx="6191250" cy="423672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6191250" cy="4236720"/>
                    </a:xfrm>
                    <a:prstGeom prst="rect">
                      <a:avLst/>
                    </a:prstGeom>
                  </pic:spPr>
                </pic:pic>
              </a:graphicData>
            </a:graphic>
          </wp:inline>
        </w:drawing>
      </w:r>
      <w:r w:rsidR="0080542E">
        <w:br w:type="page"/>
      </w:r>
    </w:p>
    <w:p w14:paraId="4F1DE7CA" w14:textId="2CD18A87" w:rsidR="004B2215" w:rsidRDefault="004B2215" w:rsidP="00BA7E3E">
      <w:pPr>
        <w:spacing w:after="0"/>
        <w:jc w:val="both"/>
      </w:pPr>
    </w:p>
    <w:p w14:paraId="7C34168A" w14:textId="2839933B" w:rsidR="0080542E" w:rsidRDefault="0080542E" w:rsidP="0080542E">
      <w:pPr>
        <w:spacing w:after="0"/>
        <w:ind w:left="709"/>
        <w:jc w:val="both"/>
      </w:pPr>
      <w:r>
        <w:t xml:space="preserve">In de navolgende tabellen worden de resultaten van deze grafiek weergegeven t.o.v. verschillende inkomstencategorieën, die grosso </w:t>
      </w:r>
      <w:r w:rsidR="007D4938">
        <w:t xml:space="preserve">modo </w:t>
      </w:r>
      <w:r>
        <w:t>overeenstemmen met de looncategorieën (van respectievelijk 67%, 100% en 167% van het gemiddeld inkomen), die klassiek door de OESO worden weerhouden om de zogenaamde ‘tax wedge’ te meten.</w:t>
      </w:r>
    </w:p>
    <w:p w14:paraId="7DBC2592" w14:textId="05EBE9FC" w:rsidR="0080542E" w:rsidRDefault="0080542E" w:rsidP="00BA7E3E">
      <w:pPr>
        <w:spacing w:after="0"/>
        <w:jc w:val="both"/>
      </w:pPr>
    </w:p>
    <w:p w14:paraId="467C21B8" w14:textId="2041A7B1" w:rsidR="0080542E" w:rsidRDefault="0080542E" w:rsidP="00BA7E3E">
      <w:pPr>
        <w:spacing w:after="0"/>
        <w:jc w:val="both"/>
      </w:pPr>
    </w:p>
    <w:tbl>
      <w:tblPr>
        <w:tblW w:w="8222" w:type="dxa"/>
        <w:tblInd w:w="704" w:type="dxa"/>
        <w:tblLook w:val="04A0" w:firstRow="1" w:lastRow="0" w:firstColumn="1" w:lastColumn="0" w:noHBand="0" w:noVBand="1"/>
      </w:tblPr>
      <w:tblGrid>
        <w:gridCol w:w="1418"/>
        <w:gridCol w:w="2551"/>
        <w:gridCol w:w="2126"/>
        <w:gridCol w:w="2127"/>
      </w:tblGrid>
      <w:tr w:rsidR="00FF7466" w:rsidRPr="00A16634" w14:paraId="1B595E97" w14:textId="77777777" w:rsidTr="00202E8A">
        <w:trPr>
          <w:trHeight w:val="374"/>
        </w:trPr>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245A48E4" w14:textId="723918E8" w:rsidR="00FF7466" w:rsidRPr="00A16634" w:rsidRDefault="00FF7466" w:rsidP="00202E8A">
            <w:pPr>
              <w:spacing w:after="0"/>
              <w:jc w:val="both"/>
              <w:rPr>
                <w:u w:val="single"/>
              </w:rPr>
            </w:pPr>
            <w:r>
              <w:rPr>
                <w:u w:val="single"/>
              </w:rPr>
              <w:t>Werknemers</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36AB0D7F" w14:textId="77777777" w:rsidR="00FF7466" w:rsidRPr="00A16634" w:rsidRDefault="00FF7466" w:rsidP="00202E8A">
            <w:pPr>
              <w:spacing w:after="0"/>
              <w:jc w:val="both"/>
            </w:pP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5B31A397" w14:textId="77777777" w:rsidR="00FF7466" w:rsidRPr="00A16634" w:rsidRDefault="00FF7466" w:rsidP="00202E8A">
            <w:pPr>
              <w:spacing w:after="0"/>
              <w:jc w:val="both"/>
            </w:pPr>
          </w:p>
        </w:tc>
        <w:tc>
          <w:tcPr>
            <w:tcW w:w="21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A5DCB9F" w14:textId="77777777" w:rsidR="00FF7466" w:rsidRPr="00A16634" w:rsidRDefault="00FF7466" w:rsidP="00202E8A">
            <w:pPr>
              <w:spacing w:after="0"/>
              <w:jc w:val="both"/>
            </w:pPr>
          </w:p>
        </w:tc>
      </w:tr>
      <w:tr w:rsidR="00FF7466" w:rsidRPr="00A16634" w14:paraId="62DFB812" w14:textId="77777777" w:rsidTr="008C561A">
        <w:trPr>
          <w:trHeight w:val="374"/>
        </w:trPr>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4E8E99CD" w14:textId="77777777" w:rsidR="00FF7466" w:rsidRPr="00A16634" w:rsidRDefault="00FF7466" w:rsidP="00202E8A">
            <w:pPr>
              <w:spacing w:after="0"/>
              <w:jc w:val="both"/>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4FAF2A3C" w14:textId="77777777" w:rsidR="00FF7466" w:rsidRPr="00A16634" w:rsidRDefault="00FF7466" w:rsidP="00202E8A">
            <w:pPr>
              <w:spacing w:after="0"/>
              <w:jc w:val="right"/>
              <w:rPr>
                <w:b/>
                <w:bCs/>
              </w:rPr>
            </w:pPr>
            <w:r w:rsidRPr="00A16634">
              <w:rPr>
                <w:b/>
                <w:bCs/>
              </w:rPr>
              <w:t>67%</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0DF414B2" w14:textId="77777777" w:rsidR="00FF7466" w:rsidRPr="00A16634" w:rsidRDefault="00FF7466" w:rsidP="00202E8A">
            <w:pPr>
              <w:spacing w:after="0"/>
              <w:jc w:val="right"/>
              <w:rPr>
                <w:b/>
                <w:bCs/>
              </w:rPr>
            </w:pPr>
            <w:r w:rsidRPr="00A16634">
              <w:rPr>
                <w:b/>
                <w:bCs/>
              </w:rPr>
              <w:t>100%</w:t>
            </w:r>
          </w:p>
        </w:tc>
        <w:tc>
          <w:tcPr>
            <w:tcW w:w="21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67CA9C6C" w14:textId="77777777" w:rsidR="00FF7466" w:rsidRPr="00A16634" w:rsidRDefault="00FF7466" w:rsidP="00202E8A">
            <w:pPr>
              <w:spacing w:after="0"/>
              <w:jc w:val="right"/>
              <w:rPr>
                <w:b/>
                <w:bCs/>
              </w:rPr>
            </w:pPr>
            <w:r w:rsidRPr="00A16634">
              <w:rPr>
                <w:b/>
                <w:bCs/>
              </w:rPr>
              <w:t>167%</w:t>
            </w:r>
          </w:p>
        </w:tc>
      </w:tr>
      <w:tr w:rsidR="008C561A" w:rsidRPr="00A16634" w14:paraId="6554FFDA" w14:textId="77777777" w:rsidTr="008C56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3BA56667" w14:textId="3BDE45FA" w:rsidR="008C561A" w:rsidRPr="00A16634" w:rsidRDefault="008C561A" w:rsidP="008C561A">
            <w:pPr>
              <w:spacing w:after="0"/>
              <w:jc w:val="center"/>
              <w:rPr>
                <w:b/>
                <w:bCs/>
              </w:rPr>
            </w:pPr>
            <w:r w:rsidRPr="0076210D">
              <w:rPr>
                <w:b/>
                <w:color w:val="000000"/>
              </w:rPr>
              <w:t>Bas</w:t>
            </w:r>
            <w:r>
              <w:rPr>
                <w:b/>
                <w:color w:val="000000"/>
              </w:rPr>
              <w:t>is</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53564B6B" w14:textId="77777777" w:rsidR="008C561A" w:rsidRPr="00A16634" w:rsidRDefault="008C561A" w:rsidP="008C561A">
            <w:pPr>
              <w:spacing w:after="0"/>
              <w:jc w:val="right"/>
            </w:pPr>
            <w:r>
              <w:rPr>
                <w:rFonts w:ascii="Calibri" w:hAnsi="Calibri" w:cs="Calibri"/>
                <w:color w:val="000000"/>
              </w:rPr>
              <w:t>44,75%</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30982515" w14:textId="77777777" w:rsidR="008C561A" w:rsidRPr="00A16634" w:rsidRDefault="008C561A" w:rsidP="008C561A">
            <w:pPr>
              <w:spacing w:after="0"/>
              <w:jc w:val="right"/>
            </w:pPr>
            <w:r>
              <w:rPr>
                <w:rFonts w:ascii="Calibri" w:hAnsi="Calibri" w:cs="Calibri"/>
                <w:color w:val="000000"/>
              </w:rPr>
              <w:t>50,56%</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57D36EF8" w14:textId="77777777" w:rsidR="008C561A" w:rsidRPr="00A16634" w:rsidRDefault="008C561A" w:rsidP="008C561A">
            <w:pPr>
              <w:spacing w:after="0"/>
              <w:jc w:val="right"/>
            </w:pPr>
            <w:r>
              <w:rPr>
                <w:rFonts w:ascii="Calibri" w:hAnsi="Calibri" w:cs="Calibri"/>
                <w:color w:val="000000"/>
              </w:rPr>
              <w:t>56,69%</w:t>
            </w:r>
          </w:p>
        </w:tc>
      </w:tr>
      <w:tr w:rsidR="008C561A" w:rsidRPr="00A16634" w14:paraId="7B938106" w14:textId="77777777" w:rsidTr="008C56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08E82D48" w14:textId="06DCC370" w:rsidR="008C561A" w:rsidRPr="00CA6EB5" w:rsidRDefault="008C561A" w:rsidP="008C561A">
            <w:pPr>
              <w:spacing w:after="0"/>
              <w:jc w:val="center"/>
              <w:rPr>
                <w:bCs/>
              </w:rPr>
            </w:pPr>
            <w:r w:rsidRPr="00CA6EB5">
              <w:rPr>
                <w:bCs/>
                <w:color w:val="000000"/>
              </w:rPr>
              <w:t>I</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4E1DE9E3" w14:textId="77777777" w:rsidR="008C561A" w:rsidRPr="00A16634" w:rsidRDefault="008C561A" w:rsidP="008C561A">
            <w:pPr>
              <w:spacing w:after="0"/>
              <w:jc w:val="right"/>
            </w:pPr>
            <w:r>
              <w:rPr>
                <w:rFonts w:ascii="Calibri" w:hAnsi="Calibri" w:cs="Calibri"/>
                <w:color w:val="000000"/>
              </w:rPr>
              <w:t>43,69%</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6CA29549" w14:textId="77777777" w:rsidR="008C561A" w:rsidRPr="00A16634" w:rsidRDefault="008C561A" w:rsidP="008C561A">
            <w:pPr>
              <w:spacing w:after="0"/>
              <w:jc w:val="right"/>
            </w:pPr>
            <w:r>
              <w:rPr>
                <w:rFonts w:ascii="Calibri" w:hAnsi="Calibri" w:cs="Calibri"/>
                <w:color w:val="000000"/>
              </w:rPr>
              <w:t>49,26%</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3445F9F8" w14:textId="77777777" w:rsidR="008C561A" w:rsidRPr="00A16634" w:rsidRDefault="008C561A" w:rsidP="008C561A">
            <w:pPr>
              <w:spacing w:after="0"/>
              <w:jc w:val="right"/>
            </w:pPr>
            <w:r>
              <w:rPr>
                <w:rFonts w:ascii="Calibri" w:hAnsi="Calibri" w:cs="Calibri"/>
                <w:color w:val="000000"/>
              </w:rPr>
              <w:t>55,17%</w:t>
            </w:r>
          </w:p>
        </w:tc>
      </w:tr>
      <w:tr w:rsidR="008C561A" w:rsidRPr="00A16634" w14:paraId="04E14892" w14:textId="77777777" w:rsidTr="008C56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64C9AC87" w14:textId="2FC85797" w:rsidR="008C561A" w:rsidRPr="00CA6EB5" w:rsidRDefault="008C561A" w:rsidP="008C561A">
            <w:pPr>
              <w:spacing w:after="0"/>
              <w:jc w:val="center"/>
              <w:rPr>
                <w:bCs/>
              </w:rPr>
            </w:pPr>
            <w:r w:rsidRPr="00CA6EB5">
              <w:rPr>
                <w:rFonts w:eastAsia="Times New Roman"/>
                <w:bCs/>
                <w:color w:val="000000"/>
              </w:rPr>
              <w:t>II</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27EC9FDF" w14:textId="77777777" w:rsidR="008C561A" w:rsidRPr="00A16634" w:rsidRDefault="008C561A" w:rsidP="008C561A">
            <w:pPr>
              <w:spacing w:after="0"/>
              <w:jc w:val="right"/>
            </w:pPr>
            <w:r>
              <w:rPr>
                <w:rFonts w:ascii="Calibri" w:hAnsi="Calibri" w:cs="Calibri"/>
                <w:color w:val="000000"/>
              </w:rPr>
              <w:t>43,23%</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3BBDE5E9" w14:textId="77777777" w:rsidR="008C561A" w:rsidRPr="00A16634" w:rsidRDefault="008C561A" w:rsidP="008C561A">
            <w:pPr>
              <w:spacing w:after="0"/>
              <w:jc w:val="right"/>
            </w:pPr>
            <w:r>
              <w:rPr>
                <w:rFonts w:ascii="Calibri" w:hAnsi="Calibri" w:cs="Calibri"/>
                <w:color w:val="000000"/>
              </w:rPr>
              <w:t>48,60%</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7F29E273" w14:textId="77777777" w:rsidR="008C561A" w:rsidRPr="00A16634" w:rsidRDefault="008C561A" w:rsidP="008C561A">
            <w:pPr>
              <w:spacing w:after="0"/>
              <w:jc w:val="right"/>
            </w:pPr>
            <w:r>
              <w:rPr>
                <w:rFonts w:ascii="Calibri" w:hAnsi="Calibri" w:cs="Calibri"/>
                <w:color w:val="000000"/>
              </w:rPr>
              <w:t>54,30%</w:t>
            </w:r>
          </w:p>
        </w:tc>
      </w:tr>
      <w:tr w:rsidR="008C561A" w:rsidRPr="00A16634" w14:paraId="6938F9FE" w14:textId="77777777" w:rsidTr="008C56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51A9C701" w14:textId="0CC00C9A" w:rsidR="008C561A" w:rsidRPr="00CA6EB5" w:rsidRDefault="008C561A" w:rsidP="008C561A">
            <w:pPr>
              <w:spacing w:after="0"/>
              <w:jc w:val="center"/>
              <w:rPr>
                <w:bCs/>
              </w:rPr>
            </w:pPr>
            <w:r w:rsidRPr="00CA6EB5">
              <w:rPr>
                <w:rFonts w:eastAsia="Times New Roman"/>
                <w:bCs/>
                <w:color w:val="000000"/>
              </w:rPr>
              <w:t>III</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79445384" w14:textId="77777777" w:rsidR="008C561A" w:rsidRPr="00A16634" w:rsidRDefault="008C561A" w:rsidP="008C561A">
            <w:pPr>
              <w:spacing w:after="0"/>
              <w:jc w:val="right"/>
            </w:pPr>
            <w:r>
              <w:rPr>
                <w:rFonts w:ascii="Calibri" w:hAnsi="Calibri" w:cs="Calibri"/>
                <w:color w:val="000000"/>
              </w:rPr>
              <w:t>42,76%</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4D44ED35" w14:textId="77777777" w:rsidR="008C561A" w:rsidRPr="00A16634" w:rsidRDefault="008C561A" w:rsidP="008C561A">
            <w:pPr>
              <w:spacing w:after="0"/>
              <w:jc w:val="right"/>
            </w:pPr>
            <w:r>
              <w:rPr>
                <w:rFonts w:ascii="Calibri" w:hAnsi="Calibri" w:cs="Calibri"/>
                <w:color w:val="000000"/>
              </w:rPr>
              <w:t>47,94%</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684CE6A3" w14:textId="77777777" w:rsidR="008C561A" w:rsidRPr="00A16634" w:rsidRDefault="008C561A" w:rsidP="008C561A">
            <w:pPr>
              <w:spacing w:after="0"/>
              <w:jc w:val="right"/>
            </w:pPr>
            <w:r>
              <w:rPr>
                <w:rFonts w:ascii="Calibri" w:hAnsi="Calibri" w:cs="Calibri"/>
                <w:color w:val="000000"/>
              </w:rPr>
              <w:t>53,44%</w:t>
            </w:r>
          </w:p>
        </w:tc>
      </w:tr>
      <w:tr w:rsidR="008C561A" w:rsidRPr="00A16634" w14:paraId="4DE26AD8" w14:textId="77777777" w:rsidTr="008C56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49DB6C00" w14:textId="09AA111D" w:rsidR="008C561A" w:rsidRPr="00CA6EB5" w:rsidRDefault="008C561A" w:rsidP="008C561A">
            <w:pPr>
              <w:spacing w:after="0"/>
              <w:jc w:val="center"/>
              <w:rPr>
                <w:bCs/>
              </w:rPr>
            </w:pPr>
            <w:r w:rsidRPr="00CA6EB5">
              <w:rPr>
                <w:rFonts w:eastAsia="Times New Roman"/>
                <w:bCs/>
                <w:color w:val="000000"/>
              </w:rPr>
              <w:t>IV</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01CB16F8" w14:textId="77777777" w:rsidR="008C561A" w:rsidRPr="00A16634" w:rsidRDefault="008C561A" w:rsidP="008C561A">
            <w:pPr>
              <w:spacing w:after="0"/>
              <w:jc w:val="right"/>
            </w:pPr>
            <w:r>
              <w:rPr>
                <w:rFonts w:ascii="Calibri" w:hAnsi="Calibri" w:cs="Calibri"/>
                <w:color w:val="000000"/>
              </w:rPr>
              <w:t>42,28%</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673CC8D6" w14:textId="77777777" w:rsidR="008C561A" w:rsidRPr="00A16634" w:rsidRDefault="008C561A" w:rsidP="008C561A">
            <w:pPr>
              <w:spacing w:after="0"/>
              <w:jc w:val="right"/>
            </w:pPr>
            <w:r>
              <w:rPr>
                <w:rFonts w:ascii="Calibri" w:hAnsi="Calibri" w:cs="Calibri"/>
                <w:color w:val="000000"/>
              </w:rPr>
              <w:t>47,26%</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21F1A20C" w14:textId="77777777" w:rsidR="008C561A" w:rsidRPr="00A16634" w:rsidRDefault="008C561A" w:rsidP="008C561A">
            <w:pPr>
              <w:spacing w:after="0"/>
              <w:jc w:val="right"/>
            </w:pPr>
            <w:r>
              <w:rPr>
                <w:rFonts w:ascii="Calibri" w:hAnsi="Calibri" w:cs="Calibri"/>
                <w:color w:val="000000"/>
              </w:rPr>
              <w:t>52,41%</w:t>
            </w:r>
          </w:p>
        </w:tc>
      </w:tr>
      <w:tr w:rsidR="008C561A" w:rsidRPr="00A16634" w14:paraId="4D76142E" w14:textId="77777777" w:rsidTr="008C56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0229BB10" w14:textId="4ABC498A" w:rsidR="008C561A" w:rsidRPr="00CA6EB5" w:rsidRDefault="008C561A" w:rsidP="008C561A">
            <w:pPr>
              <w:spacing w:after="0"/>
              <w:jc w:val="center"/>
              <w:rPr>
                <w:bCs/>
              </w:rPr>
            </w:pPr>
            <w:r w:rsidRPr="00CA6EB5">
              <w:rPr>
                <w:rFonts w:eastAsia="Times New Roman"/>
                <w:bCs/>
                <w:color w:val="000000"/>
              </w:rPr>
              <w:t>V</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15F9F915" w14:textId="77777777" w:rsidR="008C561A" w:rsidRPr="00A16634" w:rsidRDefault="008C561A" w:rsidP="008C561A">
            <w:pPr>
              <w:spacing w:after="0"/>
              <w:jc w:val="right"/>
            </w:pPr>
            <w:r>
              <w:rPr>
                <w:rFonts w:ascii="Calibri" w:hAnsi="Calibri" w:cs="Calibri"/>
                <w:color w:val="000000"/>
              </w:rPr>
              <w:t>41,78%</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31D54AD0" w14:textId="77777777" w:rsidR="008C561A" w:rsidRPr="00A16634" w:rsidRDefault="008C561A" w:rsidP="008C561A">
            <w:pPr>
              <w:spacing w:after="0"/>
              <w:jc w:val="right"/>
            </w:pPr>
            <w:r>
              <w:rPr>
                <w:rFonts w:ascii="Calibri" w:hAnsi="Calibri" w:cs="Calibri"/>
                <w:color w:val="000000"/>
              </w:rPr>
              <w:t>46,54%</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5EA3D02C" w14:textId="77777777" w:rsidR="008C561A" w:rsidRPr="00A16634" w:rsidRDefault="008C561A" w:rsidP="008C561A">
            <w:pPr>
              <w:spacing w:after="0"/>
              <w:jc w:val="right"/>
            </w:pPr>
            <w:r>
              <w:rPr>
                <w:rFonts w:ascii="Calibri" w:hAnsi="Calibri" w:cs="Calibri"/>
                <w:color w:val="000000"/>
              </w:rPr>
              <w:t>51,60%</w:t>
            </w:r>
          </w:p>
        </w:tc>
      </w:tr>
      <w:tr w:rsidR="008C561A" w:rsidRPr="00A16634" w14:paraId="573AA16C" w14:textId="77777777" w:rsidTr="008C561A">
        <w:trPr>
          <w:trHeight w:val="374"/>
        </w:trPr>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45F10DA4" w14:textId="77777777" w:rsidR="008C561A" w:rsidRPr="00A16634" w:rsidRDefault="008C561A" w:rsidP="008C561A">
            <w:pPr>
              <w:spacing w:after="0"/>
              <w:jc w:val="both"/>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4BA519C1" w14:textId="77777777" w:rsidR="008C561A" w:rsidRPr="00A16634" w:rsidRDefault="008C561A" w:rsidP="008C561A">
            <w:pPr>
              <w:spacing w:after="0"/>
              <w:jc w:val="both"/>
            </w:pP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7D9DE67" w14:textId="77777777" w:rsidR="008C561A" w:rsidRPr="00A16634" w:rsidRDefault="008C561A" w:rsidP="008C561A">
            <w:pPr>
              <w:spacing w:after="0"/>
              <w:jc w:val="both"/>
            </w:pPr>
          </w:p>
        </w:tc>
        <w:tc>
          <w:tcPr>
            <w:tcW w:w="21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C35CE5E" w14:textId="77777777" w:rsidR="008C561A" w:rsidRPr="00A16634" w:rsidRDefault="008C561A" w:rsidP="008C561A">
            <w:pPr>
              <w:spacing w:after="0"/>
              <w:jc w:val="both"/>
            </w:pPr>
          </w:p>
        </w:tc>
      </w:tr>
      <w:tr w:rsidR="008C561A" w:rsidRPr="00A16634" w14:paraId="0277EBC7" w14:textId="77777777" w:rsidTr="00E666DC">
        <w:trPr>
          <w:trHeight w:val="374"/>
        </w:trPr>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7F4F8BB1" w14:textId="4589318B" w:rsidR="008C561A" w:rsidRPr="00E666DC" w:rsidRDefault="008C561A" w:rsidP="008C561A">
            <w:pPr>
              <w:spacing w:after="0"/>
              <w:jc w:val="both"/>
              <w:rPr>
                <w:u w:val="single"/>
              </w:rPr>
            </w:pPr>
            <w:r w:rsidRPr="00E666DC">
              <w:rPr>
                <w:u w:val="single"/>
              </w:rPr>
              <w:t>Zelfstandigen</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29AEEEE0" w14:textId="77777777" w:rsidR="008C561A" w:rsidRPr="00A16634" w:rsidRDefault="008C561A" w:rsidP="008C561A">
            <w:pPr>
              <w:spacing w:after="0"/>
              <w:jc w:val="both"/>
            </w:pP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370EDEAB" w14:textId="77777777" w:rsidR="008C561A" w:rsidRPr="00A16634" w:rsidRDefault="008C561A" w:rsidP="008C561A">
            <w:pPr>
              <w:spacing w:after="0"/>
              <w:jc w:val="both"/>
            </w:pPr>
          </w:p>
        </w:tc>
        <w:tc>
          <w:tcPr>
            <w:tcW w:w="21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5081110C" w14:textId="77777777" w:rsidR="008C561A" w:rsidRPr="00A16634" w:rsidRDefault="008C561A" w:rsidP="008C561A">
            <w:pPr>
              <w:spacing w:after="0"/>
              <w:jc w:val="both"/>
            </w:pPr>
          </w:p>
        </w:tc>
      </w:tr>
      <w:tr w:rsidR="008C561A" w:rsidRPr="00A16634" w14:paraId="2684A4F8" w14:textId="77777777" w:rsidTr="008C561A">
        <w:trPr>
          <w:trHeight w:val="374"/>
        </w:trPr>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4D9CF2C8" w14:textId="3B3E7963" w:rsidR="008C561A" w:rsidRPr="00A16634" w:rsidRDefault="008C561A" w:rsidP="008C561A">
            <w:pPr>
              <w:spacing w:after="0"/>
              <w:jc w:val="both"/>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91AB30F" w14:textId="66C3A746" w:rsidR="008C561A" w:rsidRPr="00A16634" w:rsidRDefault="008C561A" w:rsidP="008C561A">
            <w:pPr>
              <w:spacing w:after="0"/>
              <w:jc w:val="right"/>
            </w:pPr>
            <w:r w:rsidRPr="00A16634">
              <w:rPr>
                <w:b/>
                <w:bCs/>
              </w:rPr>
              <w:t>67%</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30540D1C" w14:textId="7AF5203D" w:rsidR="008C561A" w:rsidRPr="00A16634" w:rsidRDefault="008C561A" w:rsidP="008C561A">
            <w:pPr>
              <w:spacing w:after="0"/>
              <w:jc w:val="right"/>
            </w:pPr>
            <w:r w:rsidRPr="00A16634">
              <w:rPr>
                <w:b/>
                <w:bCs/>
              </w:rPr>
              <w:t>100%</w:t>
            </w:r>
          </w:p>
        </w:tc>
        <w:tc>
          <w:tcPr>
            <w:tcW w:w="21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2387A9AA" w14:textId="28E2AF02" w:rsidR="008C561A" w:rsidRPr="00A16634" w:rsidRDefault="008C561A" w:rsidP="008C561A">
            <w:pPr>
              <w:spacing w:after="0"/>
              <w:jc w:val="right"/>
            </w:pPr>
            <w:r w:rsidRPr="00A16634">
              <w:rPr>
                <w:b/>
                <w:bCs/>
              </w:rPr>
              <w:t>167%</w:t>
            </w:r>
          </w:p>
        </w:tc>
      </w:tr>
      <w:tr w:rsidR="008C561A" w:rsidRPr="00A16634" w14:paraId="36267CE7" w14:textId="77777777" w:rsidTr="008C56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49B97923" w14:textId="58C9310C" w:rsidR="008C561A" w:rsidRPr="00A16634" w:rsidRDefault="008C561A" w:rsidP="008C561A">
            <w:pPr>
              <w:spacing w:after="0"/>
              <w:jc w:val="center"/>
              <w:rPr>
                <w:u w:val="single"/>
              </w:rPr>
            </w:pPr>
            <w:r w:rsidRPr="0076210D">
              <w:rPr>
                <w:b/>
                <w:color w:val="000000"/>
              </w:rPr>
              <w:t>Bas</w:t>
            </w:r>
            <w:r>
              <w:rPr>
                <w:b/>
                <w:color w:val="000000"/>
              </w:rPr>
              <w:t>is</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6B6912A6" w14:textId="31424369" w:rsidR="008C561A" w:rsidRPr="00A16634" w:rsidRDefault="008C561A" w:rsidP="008C561A">
            <w:pPr>
              <w:spacing w:after="0"/>
              <w:jc w:val="right"/>
            </w:pPr>
            <w:r>
              <w:rPr>
                <w:rFonts w:ascii="Calibri" w:hAnsi="Calibri" w:cs="Calibri"/>
                <w:color w:val="000000"/>
              </w:rPr>
              <w:t>31,03%</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38FD4977" w14:textId="471F3D81" w:rsidR="008C561A" w:rsidRPr="00A16634" w:rsidRDefault="008C561A" w:rsidP="008C561A">
            <w:pPr>
              <w:spacing w:after="0"/>
              <w:jc w:val="right"/>
            </w:pPr>
            <w:r>
              <w:rPr>
                <w:rFonts w:ascii="Calibri" w:hAnsi="Calibri" w:cs="Calibri"/>
                <w:color w:val="000000"/>
              </w:rPr>
              <w:t>38,66%</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67F82814" w14:textId="2858F943" w:rsidR="008C561A" w:rsidRPr="00A16634" w:rsidRDefault="008C561A" w:rsidP="008C561A">
            <w:pPr>
              <w:spacing w:after="0"/>
              <w:jc w:val="right"/>
            </w:pPr>
            <w:r>
              <w:rPr>
                <w:rFonts w:ascii="Calibri" w:hAnsi="Calibri" w:cs="Calibri"/>
                <w:color w:val="000000"/>
              </w:rPr>
              <w:t>46,27%</w:t>
            </w:r>
          </w:p>
        </w:tc>
      </w:tr>
      <w:tr w:rsidR="008C561A" w:rsidRPr="00A16634" w14:paraId="75C3853C" w14:textId="77777777" w:rsidTr="008C56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7D928A7F" w14:textId="6A20DDD8" w:rsidR="008C561A" w:rsidRPr="00CA6EB5" w:rsidRDefault="008C561A" w:rsidP="008C561A">
            <w:pPr>
              <w:spacing w:after="0"/>
              <w:jc w:val="center"/>
              <w:rPr>
                <w:bCs/>
              </w:rPr>
            </w:pPr>
            <w:r w:rsidRPr="00CA6EB5">
              <w:rPr>
                <w:bCs/>
                <w:color w:val="000000"/>
              </w:rPr>
              <w:t>I</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79D82F82" w14:textId="12F71655" w:rsidR="008C561A" w:rsidRPr="00A16634" w:rsidRDefault="008C561A" w:rsidP="008C561A">
            <w:pPr>
              <w:spacing w:after="0"/>
              <w:jc w:val="right"/>
              <w:rPr>
                <w:b/>
                <w:bCs/>
              </w:rPr>
            </w:pPr>
            <w:r>
              <w:rPr>
                <w:rFonts w:ascii="Calibri" w:hAnsi="Calibri" w:cs="Calibri"/>
                <w:color w:val="000000"/>
              </w:rPr>
              <w:t>30,49%</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75A3745A" w14:textId="73BD84A6" w:rsidR="008C561A" w:rsidRPr="00A16634" w:rsidRDefault="008C561A" w:rsidP="008C561A">
            <w:pPr>
              <w:spacing w:after="0"/>
              <w:jc w:val="right"/>
              <w:rPr>
                <w:b/>
                <w:bCs/>
              </w:rPr>
            </w:pPr>
            <w:r>
              <w:rPr>
                <w:rFonts w:ascii="Calibri" w:hAnsi="Calibri" w:cs="Calibri"/>
                <w:color w:val="000000"/>
              </w:rPr>
              <w:t>37,89%</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1AB390B7" w14:textId="5D0A34E8" w:rsidR="008C561A" w:rsidRPr="00A16634" w:rsidRDefault="008C561A" w:rsidP="008C561A">
            <w:pPr>
              <w:spacing w:after="0"/>
              <w:jc w:val="right"/>
              <w:rPr>
                <w:b/>
                <w:bCs/>
              </w:rPr>
            </w:pPr>
            <w:r>
              <w:rPr>
                <w:rFonts w:ascii="Calibri" w:hAnsi="Calibri" w:cs="Calibri"/>
                <w:color w:val="000000"/>
              </w:rPr>
              <w:t>45,26%</w:t>
            </w:r>
          </w:p>
        </w:tc>
      </w:tr>
      <w:tr w:rsidR="008C561A" w:rsidRPr="00A16634" w14:paraId="0F1360A9" w14:textId="77777777" w:rsidTr="008C56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68DB36F2" w14:textId="2DD1C295" w:rsidR="008C561A" w:rsidRPr="00CA6EB5" w:rsidRDefault="008C561A" w:rsidP="008C561A">
            <w:pPr>
              <w:spacing w:after="0"/>
              <w:jc w:val="center"/>
              <w:rPr>
                <w:bCs/>
              </w:rPr>
            </w:pPr>
            <w:r w:rsidRPr="00CA6EB5">
              <w:rPr>
                <w:rFonts w:eastAsia="Times New Roman"/>
                <w:bCs/>
                <w:color w:val="000000"/>
              </w:rPr>
              <w:t>II</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3CD7CE56" w14:textId="030AEF35" w:rsidR="008C561A" w:rsidRPr="00A16634" w:rsidRDefault="008C561A" w:rsidP="008C561A">
            <w:pPr>
              <w:spacing w:after="0"/>
              <w:jc w:val="right"/>
            </w:pPr>
            <w:r>
              <w:rPr>
                <w:rFonts w:ascii="Calibri" w:hAnsi="Calibri" w:cs="Calibri"/>
                <w:color w:val="000000"/>
              </w:rPr>
              <w:t>29,93%</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3E138CB6" w14:textId="4790838D" w:rsidR="008C561A" w:rsidRPr="00A16634" w:rsidRDefault="008C561A" w:rsidP="008C561A">
            <w:pPr>
              <w:spacing w:after="0"/>
              <w:jc w:val="right"/>
            </w:pPr>
            <w:r>
              <w:rPr>
                <w:rFonts w:ascii="Calibri" w:hAnsi="Calibri" w:cs="Calibri"/>
                <w:color w:val="000000"/>
              </w:rPr>
              <w:t>37,10%</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0F0A094C" w14:textId="1DE317FD" w:rsidR="008C561A" w:rsidRPr="00A16634" w:rsidRDefault="008C561A" w:rsidP="008C561A">
            <w:pPr>
              <w:spacing w:after="0"/>
              <w:jc w:val="right"/>
            </w:pPr>
            <w:r>
              <w:rPr>
                <w:rFonts w:ascii="Calibri" w:hAnsi="Calibri" w:cs="Calibri"/>
                <w:color w:val="000000"/>
              </w:rPr>
              <w:t>44,22%</w:t>
            </w:r>
          </w:p>
        </w:tc>
      </w:tr>
      <w:tr w:rsidR="008C561A" w:rsidRPr="00A16634" w14:paraId="53C72298" w14:textId="77777777" w:rsidTr="008C56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756FE1C6" w14:textId="4419C0B0" w:rsidR="008C561A" w:rsidRPr="00CA6EB5" w:rsidRDefault="008C561A" w:rsidP="008C561A">
            <w:pPr>
              <w:spacing w:after="0"/>
              <w:jc w:val="center"/>
              <w:rPr>
                <w:bCs/>
              </w:rPr>
            </w:pPr>
            <w:r w:rsidRPr="00CA6EB5">
              <w:rPr>
                <w:rFonts w:eastAsia="Times New Roman"/>
                <w:bCs/>
                <w:color w:val="000000"/>
              </w:rPr>
              <w:t>III</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6035537A" w14:textId="661C7418" w:rsidR="008C561A" w:rsidRPr="00A16634" w:rsidRDefault="008C561A" w:rsidP="008C561A">
            <w:pPr>
              <w:spacing w:after="0"/>
              <w:jc w:val="right"/>
            </w:pPr>
            <w:r>
              <w:rPr>
                <w:rFonts w:ascii="Calibri" w:hAnsi="Calibri" w:cs="Calibri"/>
                <w:color w:val="000000"/>
              </w:rPr>
              <w:t>29,38%</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78D0548C" w14:textId="1EF6901A" w:rsidR="008C561A" w:rsidRPr="00A16634" w:rsidRDefault="008C561A" w:rsidP="008C561A">
            <w:pPr>
              <w:spacing w:after="0"/>
              <w:jc w:val="right"/>
            </w:pPr>
            <w:r>
              <w:rPr>
                <w:rFonts w:ascii="Calibri" w:hAnsi="Calibri" w:cs="Calibri"/>
                <w:color w:val="000000"/>
              </w:rPr>
              <w:t>36,31%</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6B4867E8" w14:textId="2FB6EB82" w:rsidR="008C561A" w:rsidRPr="00A16634" w:rsidRDefault="008C561A" w:rsidP="008C561A">
            <w:pPr>
              <w:spacing w:after="0"/>
              <w:jc w:val="right"/>
            </w:pPr>
            <w:r>
              <w:rPr>
                <w:rFonts w:ascii="Calibri" w:hAnsi="Calibri" w:cs="Calibri"/>
                <w:color w:val="000000"/>
              </w:rPr>
              <w:t>43,17%</w:t>
            </w:r>
          </w:p>
        </w:tc>
      </w:tr>
      <w:tr w:rsidR="008C561A" w:rsidRPr="00A16634" w14:paraId="57D8BE22" w14:textId="77777777" w:rsidTr="008C56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1987100A" w14:textId="057EFCFA" w:rsidR="008C561A" w:rsidRPr="00CA6EB5" w:rsidRDefault="008C561A" w:rsidP="008C561A">
            <w:pPr>
              <w:spacing w:after="0"/>
              <w:jc w:val="center"/>
              <w:rPr>
                <w:bCs/>
              </w:rPr>
            </w:pPr>
            <w:r w:rsidRPr="00CA6EB5">
              <w:rPr>
                <w:rFonts w:eastAsia="Times New Roman"/>
                <w:bCs/>
                <w:color w:val="000000"/>
              </w:rPr>
              <w:t>IV</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6D7F1BE8" w14:textId="2EDB934A" w:rsidR="008C561A" w:rsidRPr="00A16634" w:rsidRDefault="008C561A" w:rsidP="008C561A">
            <w:pPr>
              <w:spacing w:after="0"/>
              <w:jc w:val="right"/>
            </w:pPr>
            <w:r>
              <w:rPr>
                <w:rFonts w:ascii="Calibri" w:hAnsi="Calibri" w:cs="Calibri"/>
                <w:color w:val="000000"/>
              </w:rPr>
              <w:t>28,80%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405E900A" w14:textId="107CC782" w:rsidR="008C561A" w:rsidRPr="00A16634" w:rsidRDefault="008C561A" w:rsidP="008C561A">
            <w:pPr>
              <w:spacing w:after="0"/>
              <w:jc w:val="right"/>
            </w:pPr>
            <w:r>
              <w:rPr>
                <w:rFonts w:ascii="Calibri" w:hAnsi="Calibri" w:cs="Calibri"/>
                <w:color w:val="000000"/>
              </w:rPr>
              <w:t>35,50%</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06C893BF" w14:textId="4617057E" w:rsidR="008C561A" w:rsidRPr="00A16634" w:rsidRDefault="008C561A" w:rsidP="008C561A">
            <w:pPr>
              <w:spacing w:after="0"/>
              <w:jc w:val="right"/>
            </w:pPr>
            <w:r>
              <w:rPr>
                <w:rFonts w:ascii="Calibri" w:hAnsi="Calibri" w:cs="Calibri"/>
                <w:color w:val="000000"/>
              </w:rPr>
              <w:t>42,10%</w:t>
            </w:r>
          </w:p>
        </w:tc>
      </w:tr>
      <w:tr w:rsidR="008C561A" w:rsidRPr="00A16634" w14:paraId="69793844" w14:textId="77777777" w:rsidTr="008C56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3102FD96" w14:textId="0521DE34" w:rsidR="008C561A" w:rsidRPr="00CA6EB5" w:rsidRDefault="008C561A" w:rsidP="008C561A">
            <w:pPr>
              <w:spacing w:after="0"/>
              <w:jc w:val="center"/>
              <w:rPr>
                <w:bCs/>
              </w:rPr>
            </w:pPr>
            <w:r w:rsidRPr="00CA6EB5">
              <w:rPr>
                <w:rFonts w:eastAsia="Times New Roman"/>
                <w:bCs/>
                <w:color w:val="000000"/>
              </w:rPr>
              <w:t>V</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5AC73829" w14:textId="0EE99665" w:rsidR="008C561A" w:rsidRPr="00A16634" w:rsidRDefault="008C561A" w:rsidP="008C561A">
            <w:pPr>
              <w:spacing w:after="0"/>
              <w:jc w:val="right"/>
            </w:pPr>
            <w:r>
              <w:rPr>
                <w:rFonts w:ascii="Calibri" w:hAnsi="Calibri" w:cs="Calibri"/>
                <w:color w:val="000000"/>
              </w:rPr>
              <w:t>28,20%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27C2607A" w14:textId="29AB60B3" w:rsidR="008C561A" w:rsidRPr="00A16634" w:rsidRDefault="008C561A" w:rsidP="008C561A">
            <w:pPr>
              <w:spacing w:after="0"/>
              <w:jc w:val="right"/>
            </w:pPr>
            <w:r>
              <w:rPr>
                <w:rFonts w:ascii="Calibri" w:hAnsi="Calibri" w:cs="Calibri"/>
                <w:color w:val="000000"/>
              </w:rPr>
              <w:t>34,45%</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66FBEB28" w14:textId="36BC72C8" w:rsidR="008C561A" w:rsidRPr="00A16634" w:rsidRDefault="008C561A" w:rsidP="008C561A">
            <w:pPr>
              <w:spacing w:after="0"/>
              <w:jc w:val="right"/>
            </w:pPr>
            <w:r>
              <w:rPr>
                <w:rFonts w:ascii="Calibri" w:hAnsi="Calibri" w:cs="Calibri"/>
                <w:color w:val="000000"/>
              </w:rPr>
              <w:t>40,96%</w:t>
            </w:r>
          </w:p>
        </w:tc>
      </w:tr>
      <w:tr w:rsidR="008C561A" w:rsidRPr="00A16634" w14:paraId="2D9B1ED5" w14:textId="77777777" w:rsidTr="008C561A">
        <w:trPr>
          <w:trHeight w:val="374"/>
        </w:trPr>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6A7087A1" w14:textId="6E5B4A4C" w:rsidR="008C561A" w:rsidRPr="00A16634" w:rsidRDefault="008C561A" w:rsidP="008C561A">
            <w:pPr>
              <w:spacing w:after="0"/>
              <w:jc w:val="right"/>
              <w:rPr>
                <w:b/>
                <w:bCs/>
              </w:rPr>
            </w:pP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tcPr>
          <w:p w14:paraId="7A102026" w14:textId="2130F608" w:rsidR="008C561A" w:rsidRPr="00A16634" w:rsidRDefault="008C561A" w:rsidP="008C561A">
            <w:pPr>
              <w:spacing w:after="0"/>
              <w:jc w:val="right"/>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tcPr>
          <w:p w14:paraId="57AE4AE3" w14:textId="35E15970" w:rsidR="008C561A" w:rsidRPr="00A16634" w:rsidRDefault="008C561A" w:rsidP="008C561A">
            <w:pPr>
              <w:spacing w:after="0"/>
              <w:jc w:val="right"/>
            </w:pP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tcPr>
          <w:p w14:paraId="547BD4AF" w14:textId="76690492" w:rsidR="008C561A" w:rsidRPr="00A16634" w:rsidRDefault="008C561A" w:rsidP="008C561A">
            <w:pPr>
              <w:spacing w:after="0"/>
              <w:jc w:val="right"/>
            </w:pPr>
          </w:p>
        </w:tc>
      </w:tr>
    </w:tbl>
    <w:p w14:paraId="11CAE6A7" w14:textId="20278E76" w:rsidR="0080542E" w:rsidRDefault="0080542E" w:rsidP="00EC0B02">
      <w:pPr>
        <w:spacing w:after="0"/>
        <w:ind w:left="709"/>
        <w:jc w:val="both"/>
      </w:pPr>
    </w:p>
    <w:p w14:paraId="7AD8CD8B" w14:textId="77777777" w:rsidR="00EC0B02" w:rsidRPr="00EC0B02" w:rsidRDefault="00EC0B02" w:rsidP="00EC0B02">
      <w:pPr>
        <w:spacing w:after="0"/>
        <w:ind w:left="709"/>
        <w:jc w:val="both"/>
      </w:pPr>
      <w:r w:rsidRPr="00EC0B02">
        <w:t>De volgende tabel illustreert voor een werknemer de impact op de ‘employee net average tax rate’ (zijnde de verhouding tussen de personenbelasting en de sociale bijdragen werknemer in verhouding tot het brutoloon):</w:t>
      </w:r>
    </w:p>
    <w:p w14:paraId="28911950" w14:textId="6184E0BC" w:rsidR="00CC1FE2" w:rsidRDefault="00CC1FE2" w:rsidP="00EC0B02">
      <w:pPr>
        <w:spacing w:after="0"/>
        <w:ind w:left="709"/>
        <w:jc w:val="both"/>
      </w:pPr>
    </w:p>
    <w:tbl>
      <w:tblPr>
        <w:tblStyle w:val="Tabelraster"/>
        <w:tblW w:w="8240" w:type="dxa"/>
        <w:tblInd w:w="704" w:type="dxa"/>
        <w:tblLook w:val="04A0" w:firstRow="1" w:lastRow="0" w:firstColumn="1" w:lastColumn="0" w:noHBand="0" w:noVBand="1"/>
      </w:tblPr>
      <w:tblGrid>
        <w:gridCol w:w="1387"/>
        <w:gridCol w:w="2600"/>
        <w:gridCol w:w="2126"/>
        <w:gridCol w:w="2127"/>
      </w:tblGrid>
      <w:tr w:rsidR="00CA4652" w:rsidRPr="00CA4652" w14:paraId="39616A12" w14:textId="77777777" w:rsidTr="008C561A">
        <w:trPr>
          <w:trHeight w:val="288"/>
        </w:trPr>
        <w:tc>
          <w:tcPr>
            <w:tcW w:w="1387" w:type="dxa"/>
            <w:noWrap/>
            <w:hideMark/>
          </w:tcPr>
          <w:p w14:paraId="26393E0C" w14:textId="77777777" w:rsidR="00CA4652" w:rsidRPr="00CA4652" w:rsidRDefault="00CA4652" w:rsidP="00CA4652">
            <w:pPr>
              <w:spacing w:line="259" w:lineRule="auto"/>
              <w:ind w:left="709"/>
              <w:jc w:val="both"/>
            </w:pPr>
          </w:p>
        </w:tc>
        <w:tc>
          <w:tcPr>
            <w:tcW w:w="2600" w:type="dxa"/>
            <w:noWrap/>
            <w:hideMark/>
          </w:tcPr>
          <w:p w14:paraId="7D0E1DF5" w14:textId="77777777" w:rsidR="00CA4652" w:rsidRPr="00CA4652" w:rsidRDefault="00CA4652" w:rsidP="00CA4652">
            <w:pPr>
              <w:spacing w:line="259" w:lineRule="auto"/>
              <w:ind w:left="709"/>
              <w:jc w:val="right"/>
              <w:rPr>
                <w:b/>
                <w:bCs/>
                <w:lang w:val="fr-BE"/>
              </w:rPr>
            </w:pPr>
            <w:r w:rsidRPr="00CA4652">
              <w:rPr>
                <w:b/>
                <w:bCs/>
                <w:lang w:val="fr-BE"/>
              </w:rPr>
              <w:t>67%</w:t>
            </w:r>
          </w:p>
        </w:tc>
        <w:tc>
          <w:tcPr>
            <w:tcW w:w="2126" w:type="dxa"/>
            <w:noWrap/>
            <w:hideMark/>
          </w:tcPr>
          <w:p w14:paraId="21A04AC6" w14:textId="77777777" w:rsidR="00CA4652" w:rsidRPr="00CA4652" w:rsidRDefault="00CA4652" w:rsidP="00CA4652">
            <w:pPr>
              <w:spacing w:line="259" w:lineRule="auto"/>
              <w:ind w:left="709"/>
              <w:jc w:val="right"/>
              <w:rPr>
                <w:b/>
                <w:bCs/>
                <w:lang w:val="fr-BE"/>
              </w:rPr>
            </w:pPr>
            <w:r w:rsidRPr="00CA4652">
              <w:rPr>
                <w:b/>
                <w:bCs/>
                <w:lang w:val="fr-BE"/>
              </w:rPr>
              <w:t>100%</w:t>
            </w:r>
          </w:p>
        </w:tc>
        <w:tc>
          <w:tcPr>
            <w:tcW w:w="2127" w:type="dxa"/>
            <w:noWrap/>
            <w:hideMark/>
          </w:tcPr>
          <w:p w14:paraId="1D6150B1" w14:textId="77777777" w:rsidR="00CA4652" w:rsidRPr="00CA4652" w:rsidRDefault="00CA4652" w:rsidP="00CA4652">
            <w:pPr>
              <w:spacing w:line="259" w:lineRule="auto"/>
              <w:ind w:left="709"/>
              <w:jc w:val="right"/>
              <w:rPr>
                <w:b/>
                <w:bCs/>
                <w:lang w:val="fr-BE"/>
              </w:rPr>
            </w:pPr>
            <w:r w:rsidRPr="00CA4652">
              <w:rPr>
                <w:b/>
                <w:bCs/>
                <w:lang w:val="fr-BE"/>
              </w:rPr>
              <w:t>167%</w:t>
            </w:r>
          </w:p>
        </w:tc>
      </w:tr>
      <w:tr w:rsidR="008C561A" w:rsidRPr="00CA4652" w14:paraId="7F080AE8" w14:textId="77777777" w:rsidTr="008C561A">
        <w:trPr>
          <w:trHeight w:val="288"/>
        </w:trPr>
        <w:tc>
          <w:tcPr>
            <w:tcW w:w="1387" w:type="dxa"/>
            <w:noWrap/>
            <w:vAlign w:val="bottom"/>
            <w:hideMark/>
          </w:tcPr>
          <w:p w14:paraId="692F1139" w14:textId="03E37239" w:rsidR="008C561A" w:rsidRPr="00CA4652" w:rsidRDefault="008C561A" w:rsidP="008C561A">
            <w:pPr>
              <w:spacing w:line="259" w:lineRule="auto"/>
              <w:jc w:val="center"/>
              <w:rPr>
                <w:b/>
                <w:bCs/>
                <w:lang w:val="fr-BE"/>
              </w:rPr>
            </w:pPr>
            <w:r w:rsidRPr="0076210D">
              <w:rPr>
                <w:b/>
                <w:color w:val="000000"/>
              </w:rPr>
              <w:t>Bas</w:t>
            </w:r>
            <w:r>
              <w:rPr>
                <w:b/>
                <w:color w:val="000000"/>
              </w:rPr>
              <w:t>is</w:t>
            </w:r>
          </w:p>
        </w:tc>
        <w:tc>
          <w:tcPr>
            <w:tcW w:w="2600" w:type="dxa"/>
            <w:shd w:val="clear" w:color="auto" w:fill="auto"/>
            <w:noWrap/>
            <w:vAlign w:val="bottom"/>
            <w:hideMark/>
          </w:tcPr>
          <w:p w14:paraId="4DB4ABFF" w14:textId="77777777" w:rsidR="008C561A" w:rsidRPr="00CA4652" w:rsidRDefault="008C561A" w:rsidP="008C561A">
            <w:pPr>
              <w:spacing w:line="259" w:lineRule="auto"/>
              <w:ind w:left="709"/>
              <w:jc w:val="right"/>
              <w:rPr>
                <w:lang w:val="fr-BE"/>
              </w:rPr>
            </w:pPr>
            <w:r w:rsidRPr="00CA4652">
              <w:rPr>
                <w:lang w:val="fr-BE"/>
              </w:rPr>
              <w:t>30,94%</w:t>
            </w:r>
          </w:p>
        </w:tc>
        <w:tc>
          <w:tcPr>
            <w:tcW w:w="2126" w:type="dxa"/>
            <w:shd w:val="clear" w:color="auto" w:fill="auto"/>
            <w:noWrap/>
            <w:vAlign w:val="bottom"/>
            <w:hideMark/>
          </w:tcPr>
          <w:p w14:paraId="27372BE2" w14:textId="77777777" w:rsidR="008C561A" w:rsidRPr="00CA4652" w:rsidRDefault="008C561A" w:rsidP="008C561A">
            <w:pPr>
              <w:spacing w:line="259" w:lineRule="auto"/>
              <w:ind w:left="709"/>
              <w:jc w:val="right"/>
              <w:rPr>
                <w:lang w:val="fr-BE"/>
              </w:rPr>
            </w:pPr>
            <w:r w:rsidRPr="00CA4652">
              <w:rPr>
                <w:lang w:val="fr-BE"/>
              </w:rPr>
              <w:t>38,20%</w:t>
            </w:r>
          </w:p>
        </w:tc>
        <w:tc>
          <w:tcPr>
            <w:tcW w:w="2127" w:type="dxa"/>
            <w:shd w:val="clear" w:color="auto" w:fill="auto"/>
            <w:noWrap/>
            <w:vAlign w:val="bottom"/>
            <w:hideMark/>
          </w:tcPr>
          <w:p w14:paraId="0A9B3334" w14:textId="77777777" w:rsidR="008C561A" w:rsidRPr="00CA4652" w:rsidRDefault="008C561A" w:rsidP="008C561A">
            <w:pPr>
              <w:spacing w:line="259" w:lineRule="auto"/>
              <w:ind w:left="709"/>
              <w:jc w:val="right"/>
              <w:rPr>
                <w:lang w:val="fr-BE"/>
              </w:rPr>
            </w:pPr>
            <w:r w:rsidRPr="00CA4652">
              <w:rPr>
                <w:lang w:val="fr-BE"/>
              </w:rPr>
              <w:t>45,86%</w:t>
            </w:r>
          </w:p>
        </w:tc>
      </w:tr>
      <w:tr w:rsidR="008C561A" w:rsidRPr="00CA4652" w14:paraId="3B73B5FF" w14:textId="77777777" w:rsidTr="008C561A">
        <w:trPr>
          <w:trHeight w:val="288"/>
        </w:trPr>
        <w:tc>
          <w:tcPr>
            <w:tcW w:w="1387" w:type="dxa"/>
            <w:noWrap/>
            <w:vAlign w:val="bottom"/>
            <w:hideMark/>
          </w:tcPr>
          <w:p w14:paraId="72976F3F" w14:textId="2167519C" w:rsidR="008C561A" w:rsidRPr="00CA6EB5" w:rsidRDefault="008C561A" w:rsidP="008C561A">
            <w:pPr>
              <w:spacing w:line="259" w:lineRule="auto"/>
              <w:jc w:val="center"/>
              <w:rPr>
                <w:bCs/>
                <w:lang w:val="fr-BE"/>
              </w:rPr>
            </w:pPr>
            <w:r w:rsidRPr="00CA6EB5">
              <w:rPr>
                <w:bCs/>
                <w:color w:val="000000"/>
              </w:rPr>
              <w:t>I</w:t>
            </w:r>
          </w:p>
        </w:tc>
        <w:tc>
          <w:tcPr>
            <w:tcW w:w="2600" w:type="dxa"/>
            <w:shd w:val="clear" w:color="auto" w:fill="auto"/>
            <w:noWrap/>
            <w:vAlign w:val="bottom"/>
            <w:hideMark/>
          </w:tcPr>
          <w:p w14:paraId="3693C597" w14:textId="77777777" w:rsidR="008C561A" w:rsidRPr="00CA4652" w:rsidRDefault="008C561A" w:rsidP="008C561A">
            <w:pPr>
              <w:spacing w:line="259" w:lineRule="auto"/>
              <w:ind w:left="709"/>
              <w:jc w:val="right"/>
              <w:rPr>
                <w:lang w:val="fr-BE"/>
              </w:rPr>
            </w:pPr>
            <w:r w:rsidRPr="00CA4652">
              <w:rPr>
                <w:lang w:val="fr-BE"/>
              </w:rPr>
              <w:t>29,62%</w:t>
            </w:r>
          </w:p>
        </w:tc>
        <w:tc>
          <w:tcPr>
            <w:tcW w:w="2126" w:type="dxa"/>
            <w:shd w:val="clear" w:color="auto" w:fill="auto"/>
            <w:noWrap/>
            <w:vAlign w:val="bottom"/>
            <w:hideMark/>
          </w:tcPr>
          <w:p w14:paraId="5E0FF584" w14:textId="77777777" w:rsidR="008C561A" w:rsidRPr="00CA4652" w:rsidRDefault="008C561A" w:rsidP="008C561A">
            <w:pPr>
              <w:spacing w:line="259" w:lineRule="auto"/>
              <w:ind w:left="709"/>
              <w:jc w:val="right"/>
              <w:rPr>
                <w:lang w:val="fr-BE"/>
              </w:rPr>
            </w:pPr>
            <w:r w:rsidRPr="00CA4652">
              <w:rPr>
                <w:lang w:val="fr-BE"/>
              </w:rPr>
              <w:t>36,57%</w:t>
            </w:r>
          </w:p>
        </w:tc>
        <w:tc>
          <w:tcPr>
            <w:tcW w:w="2127" w:type="dxa"/>
            <w:shd w:val="clear" w:color="auto" w:fill="auto"/>
            <w:noWrap/>
            <w:vAlign w:val="bottom"/>
            <w:hideMark/>
          </w:tcPr>
          <w:p w14:paraId="254AA39E" w14:textId="77777777" w:rsidR="008C561A" w:rsidRPr="00CA4652" w:rsidRDefault="008C561A" w:rsidP="008C561A">
            <w:pPr>
              <w:spacing w:line="259" w:lineRule="auto"/>
              <w:ind w:left="709"/>
              <w:jc w:val="right"/>
              <w:rPr>
                <w:lang w:val="fr-BE"/>
              </w:rPr>
            </w:pPr>
            <w:r w:rsidRPr="00CA4652">
              <w:rPr>
                <w:lang w:val="fr-BE"/>
              </w:rPr>
              <w:t>43,97%</w:t>
            </w:r>
          </w:p>
        </w:tc>
      </w:tr>
      <w:tr w:rsidR="008C561A" w:rsidRPr="00CA4652" w14:paraId="15BD1FC6" w14:textId="77777777" w:rsidTr="008C561A">
        <w:trPr>
          <w:trHeight w:val="288"/>
        </w:trPr>
        <w:tc>
          <w:tcPr>
            <w:tcW w:w="1387" w:type="dxa"/>
            <w:noWrap/>
            <w:vAlign w:val="bottom"/>
            <w:hideMark/>
          </w:tcPr>
          <w:p w14:paraId="6119CA0E" w14:textId="42959A87" w:rsidR="008C561A" w:rsidRPr="00CA6EB5" w:rsidRDefault="008C561A" w:rsidP="008C561A">
            <w:pPr>
              <w:spacing w:line="259" w:lineRule="auto"/>
              <w:jc w:val="center"/>
              <w:rPr>
                <w:bCs/>
                <w:lang w:val="fr-BE"/>
              </w:rPr>
            </w:pPr>
            <w:r w:rsidRPr="00CA6EB5">
              <w:rPr>
                <w:rFonts w:eastAsia="Times New Roman"/>
                <w:bCs/>
                <w:color w:val="000000"/>
              </w:rPr>
              <w:t>II</w:t>
            </w:r>
          </w:p>
        </w:tc>
        <w:tc>
          <w:tcPr>
            <w:tcW w:w="2600" w:type="dxa"/>
            <w:shd w:val="clear" w:color="auto" w:fill="auto"/>
            <w:noWrap/>
            <w:vAlign w:val="bottom"/>
            <w:hideMark/>
          </w:tcPr>
          <w:p w14:paraId="356973CC" w14:textId="77777777" w:rsidR="008C561A" w:rsidRPr="00CA4652" w:rsidRDefault="008C561A" w:rsidP="008C561A">
            <w:pPr>
              <w:spacing w:line="259" w:lineRule="auto"/>
              <w:ind w:left="709"/>
              <w:jc w:val="right"/>
              <w:rPr>
                <w:lang w:val="fr-BE"/>
              </w:rPr>
            </w:pPr>
            <w:r w:rsidRPr="00CA4652">
              <w:rPr>
                <w:lang w:val="fr-BE"/>
              </w:rPr>
              <w:t>29,03%</w:t>
            </w:r>
          </w:p>
        </w:tc>
        <w:tc>
          <w:tcPr>
            <w:tcW w:w="2126" w:type="dxa"/>
            <w:shd w:val="clear" w:color="auto" w:fill="auto"/>
            <w:noWrap/>
            <w:vAlign w:val="bottom"/>
            <w:hideMark/>
          </w:tcPr>
          <w:p w14:paraId="298C247D" w14:textId="77777777" w:rsidR="008C561A" w:rsidRPr="00CA4652" w:rsidRDefault="008C561A" w:rsidP="008C561A">
            <w:pPr>
              <w:spacing w:line="259" w:lineRule="auto"/>
              <w:ind w:left="709"/>
              <w:jc w:val="right"/>
              <w:rPr>
                <w:lang w:val="fr-BE"/>
              </w:rPr>
            </w:pPr>
            <w:r w:rsidRPr="00CA4652">
              <w:rPr>
                <w:lang w:val="fr-BE"/>
              </w:rPr>
              <w:t>35,74%</w:t>
            </w:r>
          </w:p>
        </w:tc>
        <w:tc>
          <w:tcPr>
            <w:tcW w:w="2127" w:type="dxa"/>
            <w:shd w:val="clear" w:color="auto" w:fill="auto"/>
            <w:noWrap/>
            <w:vAlign w:val="bottom"/>
            <w:hideMark/>
          </w:tcPr>
          <w:p w14:paraId="00609EEA" w14:textId="77777777" w:rsidR="008C561A" w:rsidRPr="00CA4652" w:rsidRDefault="008C561A" w:rsidP="008C561A">
            <w:pPr>
              <w:spacing w:line="259" w:lineRule="auto"/>
              <w:ind w:left="709"/>
              <w:jc w:val="right"/>
              <w:rPr>
                <w:lang w:val="fr-BE"/>
              </w:rPr>
            </w:pPr>
            <w:r w:rsidRPr="00CA4652">
              <w:rPr>
                <w:lang w:val="fr-BE"/>
              </w:rPr>
              <w:t>42,88%</w:t>
            </w:r>
          </w:p>
        </w:tc>
      </w:tr>
      <w:tr w:rsidR="008C561A" w:rsidRPr="00CA4652" w14:paraId="2C410D10" w14:textId="77777777" w:rsidTr="008C561A">
        <w:trPr>
          <w:trHeight w:val="288"/>
        </w:trPr>
        <w:tc>
          <w:tcPr>
            <w:tcW w:w="1387" w:type="dxa"/>
            <w:noWrap/>
            <w:vAlign w:val="bottom"/>
            <w:hideMark/>
          </w:tcPr>
          <w:p w14:paraId="13789B38" w14:textId="7F97DAAB" w:rsidR="008C561A" w:rsidRPr="00CA6EB5" w:rsidRDefault="008C561A" w:rsidP="008C561A">
            <w:pPr>
              <w:spacing w:line="259" w:lineRule="auto"/>
              <w:jc w:val="center"/>
              <w:rPr>
                <w:bCs/>
                <w:lang w:val="fr-BE"/>
              </w:rPr>
            </w:pPr>
            <w:r w:rsidRPr="00CA6EB5">
              <w:rPr>
                <w:rFonts w:eastAsia="Times New Roman"/>
                <w:bCs/>
                <w:color w:val="000000"/>
              </w:rPr>
              <w:t>III</w:t>
            </w:r>
          </w:p>
        </w:tc>
        <w:tc>
          <w:tcPr>
            <w:tcW w:w="2600" w:type="dxa"/>
            <w:shd w:val="clear" w:color="auto" w:fill="auto"/>
            <w:noWrap/>
            <w:vAlign w:val="bottom"/>
            <w:hideMark/>
          </w:tcPr>
          <w:p w14:paraId="14E75C3D" w14:textId="77777777" w:rsidR="008C561A" w:rsidRPr="00CA4652" w:rsidRDefault="008C561A" w:rsidP="008C561A">
            <w:pPr>
              <w:spacing w:line="259" w:lineRule="auto"/>
              <w:ind w:left="709"/>
              <w:jc w:val="right"/>
              <w:rPr>
                <w:lang w:val="fr-BE"/>
              </w:rPr>
            </w:pPr>
            <w:r w:rsidRPr="00CA4652">
              <w:rPr>
                <w:lang w:val="fr-BE"/>
              </w:rPr>
              <w:t>28,45%</w:t>
            </w:r>
          </w:p>
        </w:tc>
        <w:tc>
          <w:tcPr>
            <w:tcW w:w="2126" w:type="dxa"/>
            <w:shd w:val="clear" w:color="auto" w:fill="auto"/>
            <w:noWrap/>
            <w:vAlign w:val="bottom"/>
            <w:hideMark/>
          </w:tcPr>
          <w:p w14:paraId="0ACA523B" w14:textId="77777777" w:rsidR="008C561A" w:rsidRPr="00CA4652" w:rsidRDefault="008C561A" w:rsidP="008C561A">
            <w:pPr>
              <w:spacing w:line="259" w:lineRule="auto"/>
              <w:ind w:left="709"/>
              <w:jc w:val="right"/>
              <w:rPr>
                <w:lang w:val="fr-BE"/>
              </w:rPr>
            </w:pPr>
            <w:r w:rsidRPr="00CA4652">
              <w:rPr>
                <w:lang w:val="fr-BE"/>
              </w:rPr>
              <w:t>34,92%</w:t>
            </w:r>
          </w:p>
        </w:tc>
        <w:tc>
          <w:tcPr>
            <w:tcW w:w="2127" w:type="dxa"/>
            <w:shd w:val="clear" w:color="auto" w:fill="auto"/>
            <w:noWrap/>
            <w:vAlign w:val="bottom"/>
            <w:hideMark/>
          </w:tcPr>
          <w:p w14:paraId="0EC164B4" w14:textId="77777777" w:rsidR="008C561A" w:rsidRPr="00CA4652" w:rsidRDefault="008C561A" w:rsidP="008C561A">
            <w:pPr>
              <w:spacing w:line="259" w:lineRule="auto"/>
              <w:ind w:left="709"/>
              <w:jc w:val="right"/>
              <w:rPr>
                <w:lang w:val="fr-BE"/>
              </w:rPr>
            </w:pPr>
            <w:r w:rsidRPr="00CA4652">
              <w:rPr>
                <w:lang w:val="fr-BE"/>
              </w:rPr>
              <w:t>41,79%</w:t>
            </w:r>
          </w:p>
        </w:tc>
      </w:tr>
      <w:tr w:rsidR="008C561A" w:rsidRPr="00CA4652" w14:paraId="6EE6E799" w14:textId="77777777" w:rsidTr="008C561A">
        <w:trPr>
          <w:trHeight w:val="288"/>
        </w:trPr>
        <w:tc>
          <w:tcPr>
            <w:tcW w:w="1387" w:type="dxa"/>
            <w:noWrap/>
            <w:vAlign w:val="bottom"/>
            <w:hideMark/>
          </w:tcPr>
          <w:p w14:paraId="569EE945" w14:textId="20A98158" w:rsidR="008C561A" w:rsidRPr="00CA6EB5" w:rsidRDefault="008C561A" w:rsidP="008C561A">
            <w:pPr>
              <w:spacing w:line="259" w:lineRule="auto"/>
              <w:jc w:val="center"/>
              <w:rPr>
                <w:bCs/>
                <w:lang w:val="fr-BE"/>
              </w:rPr>
            </w:pPr>
            <w:r w:rsidRPr="00CA6EB5">
              <w:rPr>
                <w:rFonts w:eastAsia="Times New Roman"/>
                <w:bCs/>
                <w:color w:val="000000"/>
              </w:rPr>
              <w:t>IV</w:t>
            </w:r>
          </w:p>
        </w:tc>
        <w:tc>
          <w:tcPr>
            <w:tcW w:w="2600" w:type="dxa"/>
            <w:shd w:val="clear" w:color="auto" w:fill="auto"/>
            <w:noWrap/>
            <w:vAlign w:val="bottom"/>
            <w:hideMark/>
          </w:tcPr>
          <w:p w14:paraId="2967F2E8" w14:textId="77777777" w:rsidR="008C561A" w:rsidRPr="00CA4652" w:rsidRDefault="008C561A" w:rsidP="008C561A">
            <w:pPr>
              <w:spacing w:line="259" w:lineRule="auto"/>
              <w:ind w:left="709"/>
              <w:jc w:val="right"/>
              <w:rPr>
                <w:lang w:val="fr-BE"/>
              </w:rPr>
            </w:pPr>
            <w:r w:rsidRPr="00CA4652">
              <w:rPr>
                <w:lang w:val="fr-BE"/>
              </w:rPr>
              <w:t>27,85%</w:t>
            </w:r>
          </w:p>
        </w:tc>
        <w:tc>
          <w:tcPr>
            <w:tcW w:w="2126" w:type="dxa"/>
            <w:shd w:val="clear" w:color="auto" w:fill="auto"/>
            <w:noWrap/>
            <w:vAlign w:val="bottom"/>
            <w:hideMark/>
          </w:tcPr>
          <w:p w14:paraId="13DE64E8" w14:textId="77777777" w:rsidR="008C561A" w:rsidRPr="00CA4652" w:rsidRDefault="008C561A" w:rsidP="008C561A">
            <w:pPr>
              <w:spacing w:line="259" w:lineRule="auto"/>
              <w:ind w:left="709"/>
              <w:jc w:val="right"/>
              <w:rPr>
                <w:lang w:val="fr-BE"/>
              </w:rPr>
            </w:pPr>
            <w:r w:rsidRPr="00CA4652">
              <w:rPr>
                <w:lang w:val="fr-BE"/>
              </w:rPr>
              <w:t>34,07%</w:t>
            </w:r>
          </w:p>
        </w:tc>
        <w:tc>
          <w:tcPr>
            <w:tcW w:w="2127" w:type="dxa"/>
            <w:shd w:val="clear" w:color="auto" w:fill="auto"/>
            <w:noWrap/>
            <w:vAlign w:val="bottom"/>
            <w:hideMark/>
          </w:tcPr>
          <w:p w14:paraId="55D1DBB7" w14:textId="77777777" w:rsidR="008C561A" w:rsidRPr="00CA4652" w:rsidRDefault="008C561A" w:rsidP="008C561A">
            <w:pPr>
              <w:spacing w:line="259" w:lineRule="auto"/>
              <w:ind w:left="709"/>
              <w:jc w:val="right"/>
              <w:rPr>
                <w:lang w:val="fr-BE"/>
              </w:rPr>
            </w:pPr>
            <w:r w:rsidRPr="00CA4652">
              <w:rPr>
                <w:lang w:val="fr-BE"/>
              </w:rPr>
              <w:t>40,68%</w:t>
            </w:r>
          </w:p>
        </w:tc>
      </w:tr>
      <w:tr w:rsidR="008C561A" w:rsidRPr="00CA4652" w14:paraId="65840F7E" w14:textId="77777777" w:rsidTr="008C561A">
        <w:trPr>
          <w:trHeight w:val="288"/>
        </w:trPr>
        <w:tc>
          <w:tcPr>
            <w:tcW w:w="1387" w:type="dxa"/>
            <w:noWrap/>
            <w:vAlign w:val="bottom"/>
            <w:hideMark/>
          </w:tcPr>
          <w:p w14:paraId="2B4FDCE8" w14:textId="565946C1" w:rsidR="008C561A" w:rsidRPr="00CA6EB5" w:rsidRDefault="008C561A" w:rsidP="008C561A">
            <w:pPr>
              <w:spacing w:line="259" w:lineRule="auto"/>
              <w:jc w:val="center"/>
              <w:rPr>
                <w:bCs/>
                <w:lang w:val="fr-BE"/>
              </w:rPr>
            </w:pPr>
            <w:r w:rsidRPr="00CA6EB5">
              <w:rPr>
                <w:rFonts w:eastAsia="Times New Roman"/>
                <w:bCs/>
                <w:color w:val="000000"/>
              </w:rPr>
              <w:t>V</w:t>
            </w:r>
          </w:p>
        </w:tc>
        <w:tc>
          <w:tcPr>
            <w:tcW w:w="2600" w:type="dxa"/>
            <w:shd w:val="clear" w:color="auto" w:fill="auto"/>
            <w:noWrap/>
            <w:vAlign w:val="bottom"/>
            <w:hideMark/>
          </w:tcPr>
          <w:p w14:paraId="31DA81BB" w14:textId="77777777" w:rsidR="008C561A" w:rsidRPr="00CA4652" w:rsidRDefault="008C561A" w:rsidP="008C561A">
            <w:pPr>
              <w:spacing w:line="259" w:lineRule="auto"/>
              <w:ind w:left="709"/>
              <w:jc w:val="right"/>
              <w:rPr>
                <w:lang w:val="fr-BE"/>
              </w:rPr>
            </w:pPr>
            <w:r w:rsidRPr="00CA4652">
              <w:rPr>
                <w:lang w:val="fr-BE"/>
              </w:rPr>
              <w:t>27,22%</w:t>
            </w:r>
          </w:p>
        </w:tc>
        <w:tc>
          <w:tcPr>
            <w:tcW w:w="2126" w:type="dxa"/>
            <w:shd w:val="clear" w:color="auto" w:fill="auto"/>
            <w:noWrap/>
            <w:vAlign w:val="bottom"/>
            <w:hideMark/>
          </w:tcPr>
          <w:p w14:paraId="26AFA76C" w14:textId="77777777" w:rsidR="008C561A" w:rsidRPr="00CA4652" w:rsidRDefault="008C561A" w:rsidP="008C561A">
            <w:pPr>
              <w:spacing w:line="259" w:lineRule="auto"/>
              <w:ind w:left="709"/>
              <w:jc w:val="right"/>
              <w:rPr>
                <w:lang w:val="fr-BE"/>
              </w:rPr>
            </w:pPr>
            <w:r w:rsidRPr="00CA4652">
              <w:rPr>
                <w:lang w:val="fr-BE"/>
              </w:rPr>
              <w:t>33,17%</w:t>
            </w:r>
          </w:p>
        </w:tc>
        <w:tc>
          <w:tcPr>
            <w:tcW w:w="2127" w:type="dxa"/>
            <w:shd w:val="clear" w:color="auto" w:fill="auto"/>
            <w:noWrap/>
            <w:vAlign w:val="bottom"/>
            <w:hideMark/>
          </w:tcPr>
          <w:p w14:paraId="3BB68E76" w14:textId="77777777" w:rsidR="008C561A" w:rsidRPr="00CA4652" w:rsidRDefault="008C561A" w:rsidP="008C561A">
            <w:pPr>
              <w:spacing w:line="259" w:lineRule="auto"/>
              <w:ind w:left="709"/>
              <w:jc w:val="right"/>
              <w:rPr>
                <w:lang w:val="fr-BE"/>
              </w:rPr>
            </w:pPr>
            <w:r w:rsidRPr="00CA4652">
              <w:rPr>
                <w:lang w:val="fr-BE"/>
              </w:rPr>
              <w:t>39,49%</w:t>
            </w:r>
          </w:p>
        </w:tc>
      </w:tr>
    </w:tbl>
    <w:p w14:paraId="41AE81DC" w14:textId="77777777" w:rsidR="00CC1FE2" w:rsidRDefault="00CC1FE2" w:rsidP="00EC0B02">
      <w:pPr>
        <w:spacing w:after="0"/>
        <w:ind w:left="709"/>
        <w:jc w:val="both"/>
      </w:pPr>
    </w:p>
    <w:p w14:paraId="07D3E114" w14:textId="77777777" w:rsidR="001C5F39" w:rsidRDefault="001C5F39" w:rsidP="00275FEB">
      <w:r>
        <w:br w:type="page"/>
      </w:r>
    </w:p>
    <w:p w14:paraId="23A64F6F" w14:textId="77777777" w:rsidR="0038686A" w:rsidRPr="00B21FAC" w:rsidRDefault="0038686A" w:rsidP="00BA7E3E">
      <w:pPr>
        <w:spacing w:after="0"/>
        <w:jc w:val="both"/>
      </w:pPr>
    </w:p>
    <w:p w14:paraId="0C6FA367" w14:textId="77777777" w:rsidR="00A57A2D" w:rsidRPr="00B21FAC" w:rsidRDefault="00A57A2D" w:rsidP="00BA7E3E">
      <w:pPr>
        <w:pStyle w:val="Lijstalinea"/>
        <w:spacing w:after="0"/>
        <w:ind w:left="0"/>
        <w:jc w:val="both"/>
      </w:pPr>
    </w:p>
    <w:p w14:paraId="31DC6B21" w14:textId="7651C64F" w:rsidR="00A57A2D" w:rsidRPr="00B21FAC" w:rsidRDefault="00A57A2D" w:rsidP="00275FEB">
      <w:pPr>
        <w:pStyle w:val="Kop2"/>
        <w:numPr>
          <w:ilvl w:val="0"/>
          <w:numId w:val="40"/>
        </w:numPr>
      </w:pPr>
      <w:bookmarkStart w:id="174" w:name="_Toc107210906"/>
      <w:r w:rsidRPr="00B21FAC">
        <w:t>Werkloosheids- en promotieval</w:t>
      </w:r>
      <w:bookmarkEnd w:id="174"/>
    </w:p>
    <w:p w14:paraId="70069A1E" w14:textId="472A0F47" w:rsidR="00A57A2D" w:rsidRPr="00B21FAC" w:rsidRDefault="00A57A2D" w:rsidP="00BA7E3E">
      <w:pPr>
        <w:pStyle w:val="Lijstalinea"/>
        <w:spacing w:after="0"/>
        <w:ind w:left="0"/>
        <w:jc w:val="both"/>
      </w:pPr>
    </w:p>
    <w:p w14:paraId="3398FD39" w14:textId="4C1FF028" w:rsidR="00022AC6" w:rsidRDefault="00022AC6">
      <w:pPr>
        <w:pStyle w:val="Lijstalinea"/>
        <w:spacing w:after="0"/>
        <w:ind w:left="0"/>
        <w:jc w:val="both"/>
      </w:pPr>
    </w:p>
    <w:p w14:paraId="004D08E6" w14:textId="0EC393B2" w:rsidR="00396146" w:rsidRDefault="00396146">
      <w:pPr>
        <w:pStyle w:val="Lijstalinea"/>
        <w:spacing w:after="0"/>
        <w:ind w:left="0"/>
        <w:jc w:val="both"/>
      </w:pPr>
      <w:r w:rsidRPr="00BA7E3E">
        <w:rPr>
          <w:b/>
          <w:bCs/>
        </w:rPr>
        <w:t>Voorstel</w:t>
      </w:r>
      <w:r>
        <w:t xml:space="preserve"> </w:t>
      </w:r>
      <w:r w:rsidR="00BA56FC">
        <w:t>–</w:t>
      </w:r>
      <w:r>
        <w:t xml:space="preserve"> </w:t>
      </w:r>
      <w:r w:rsidR="008E5EF1">
        <w:t xml:space="preserve">Bij het uitwerken van de </w:t>
      </w:r>
      <w:r w:rsidR="00BA56FC">
        <w:t xml:space="preserve">tariefstructuur </w:t>
      </w:r>
      <w:r w:rsidR="008E5EF1">
        <w:t>wordt een bijzondere aandacht besteed aan</w:t>
      </w:r>
      <w:r w:rsidR="00BE094E">
        <w:t xml:space="preserve"> de werkloosheids</w:t>
      </w:r>
      <w:r w:rsidR="008F5574">
        <w:t>- en promotie</w:t>
      </w:r>
      <w:r w:rsidR="008E5EF1">
        <w:t xml:space="preserve">val. </w:t>
      </w:r>
      <w:r w:rsidR="002D413B">
        <w:t xml:space="preserve">Excessieve marginale belastingvoeten onderaan de loonladder moeten worden </w:t>
      </w:r>
      <w:r w:rsidR="00611331">
        <w:t>vermeden</w:t>
      </w:r>
      <w:r w:rsidR="002D413B">
        <w:t>.</w:t>
      </w:r>
      <w:r w:rsidR="00776058">
        <w:t xml:space="preserve"> </w:t>
      </w:r>
      <w:r w:rsidR="00BE094E">
        <w:t xml:space="preserve"> </w:t>
      </w:r>
    </w:p>
    <w:p w14:paraId="63BD8BCC" w14:textId="652D3B3A" w:rsidR="00396146" w:rsidRDefault="00396146">
      <w:pPr>
        <w:pStyle w:val="Lijstalinea"/>
        <w:spacing w:after="0"/>
        <w:ind w:left="0"/>
        <w:jc w:val="both"/>
      </w:pPr>
    </w:p>
    <w:p w14:paraId="134602C1" w14:textId="3C1A2208" w:rsidR="002D413B" w:rsidRPr="00BA7E3E" w:rsidRDefault="002D413B">
      <w:pPr>
        <w:pStyle w:val="Lijstalinea"/>
        <w:spacing w:after="0"/>
        <w:ind w:left="0"/>
        <w:jc w:val="both"/>
        <w:rPr>
          <w:u w:val="single"/>
        </w:rPr>
      </w:pPr>
      <w:r w:rsidRPr="00BA7E3E">
        <w:rPr>
          <w:u w:val="single"/>
        </w:rPr>
        <w:t>Toelichting:</w:t>
      </w:r>
    </w:p>
    <w:p w14:paraId="328960FB" w14:textId="77777777" w:rsidR="002D413B" w:rsidRPr="00B21FAC" w:rsidRDefault="002D413B" w:rsidP="00BA7E3E">
      <w:pPr>
        <w:pStyle w:val="Lijstalinea"/>
        <w:spacing w:after="0"/>
        <w:ind w:left="0"/>
        <w:jc w:val="both"/>
      </w:pPr>
    </w:p>
    <w:p w14:paraId="48535587" w14:textId="4EFAA882" w:rsidR="00A57A2D" w:rsidRPr="00B21FAC" w:rsidRDefault="3683CD98" w:rsidP="00BA7E3E">
      <w:pPr>
        <w:pStyle w:val="Lijstalinea"/>
        <w:spacing w:after="0"/>
        <w:ind w:left="0"/>
        <w:jc w:val="both"/>
      </w:pPr>
      <w:r w:rsidRPr="00B21FAC">
        <w:t>De voorgestelde verbreding van de tariefschijven</w:t>
      </w:r>
      <w:r w:rsidR="0084799B">
        <w:t xml:space="preserve"> en/of </w:t>
      </w:r>
      <w:r w:rsidRPr="00B21FAC">
        <w:t>aangepaste tariefstructuur, speelt vooral in het voordeel van zij die effectief een inkomen genieten dat op vandaag reeds substantieel binnen die (hogere) schijven valt. Voor de lage inkomens is het effect dus kleiner. Een bijzondere focus op deze inkomstencategorieën is nochtans van belang, teneinde zowel de werkloosheidsval als de promotieval te vermijden.</w:t>
      </w:r>
    </w:p>
    <w:p w14:paraId="4004F3C9" w14:textId="77777777" w:rsidR="00A57A2D" w:rsidRPr="00B21FAC" w:rsidRDefault="00A57A2D" w:rsidP="00BA7E3E">
      <w:pPr>
        <w:pStyle w:val="Lijstalinea"/>
        <w:spacing w:after="0"/>
        <w:ind w:left="0"/>
        <w:jc w:val="both"/>
      </w:pPr>
    </w:p>
    <w:p w14:paraId="19093466" w14:textId="77777777" w:rsidR="00A57A2D" w:rsidRPr="00B21FAC" w:rsidRDefault="00A57A2D" w:rsidP="00BA7E3E">
      <w:pPr>
        <w:pStyle w:val="Lijstalinea"/>
        <w:numPr>
          <w:ilvl w:val="0"/>
          <w:numId w:val="15"/>
        </w:numPr>
        <w:spacing w:after="0"/>
        <w:jc w:val="both"/>
        <w:rPr>
          <w:b/>
          <w:bCs/>
        </w:rPr>
      </w:pPr>
      <w:r w:rsidRPr="00B21FAC">
        <w:rPr>
          <w:b/>
          <w:bCs/>
        </w:rPr>
        <w:t>Werkloosheidsval.</w:t>
      </w:r>
    </w:p>
    <w:p w14:paraId="112BE062" w14:textId="77777777" w:rsidR="00A57A2D" w:rsidRPr="00B21FAC" w:rsidRDefault="00A57A2D" w:rsidP="00BA7E3E">
      <w:pPr>
        <w:spacing w:after="0"/>
        <w:ind w:left="709"/>
        <w:jc w:val="both"/>
      </w:pPr>
    </w:p>
    <w:p w14:paraId="5B4BD356" w14:textId="7125D25E" w:rsidR="00A57A2D" w:rsidRPr="00B21FAC" w:rsidRDefault="00A57A2D" w:rsidP="00BA7E3E">
      <w:pPr>
        <w:spacing w:after="0"/>
        <w:ind w:left="709"/>
        <w:jc w:val="both"/>
      </w:pPr>
      <w:r w:rsidRPr="00B21FAC">
        <w:t xml:space="preserve">Teneinde de </w:t>
      </w:r>
      <w:r w:rsidRPr="00B21FAC">
        <w:rPr>
          <w:u w:val="single"/>
        </w:rPr>
        <w:t>werkloosheidsval</w:t>
      </w:r>
      <w:r w:rsidRPr="00B21FAC">
        <w:t xml:space="preserve"> op een degelijke wijze aan te pakken, is het van belang om zowel rekening te houden met het verlies aan sociale uitkeringen en/of andere sociale tegemoetkomingen als met het (para)fiscaal stelsel van toepassing op deze lagere inkomsten. In het kader van de voorliggende hervormingsopdracht, wordt uitsluitend ingegaan op het fiscaal stelsel dat geldt voor de lagere inkomsten. Net zoals dit geldt voor de beoordeling van de gemiddelde effectieve heffingsdruk, kan ook hier evenwel geen abstractie worden gemaakt van het parafiscaal stelsel. Op vandaag is de meest performante maatregel op dit vlak overigens de (</w:t>
      </w:r>
      <w:r w:rsidR="00611331">
        <w:t>sociale</w:t>
      </w:r>
      <w:r w:rsidRPr="00B21FAC">
        <w:t xml:space="preserve"> </w:t>
      </w:r>
      <w:r w:rsidR="00611331">
        <w:t>e</w:t>
      </w:r>
      <w:r w:rsidRPr="00B21FAC">
        <w:t xml:space="preserve">n </w:t>
      </w:r>
      <w:r w:rsidR="00611331">
        <w:t>fiscale</w:t>
      </w:r>
      <w:r w:rsidRPr="00B21FAC">
        <w:t>) werkbonus.</w:t>
      </w:r>
    </w:p>
    <w:p w14:paraId="49EBF7F1" w14:textId="77777777" w:rsidR="00022AC6" w:rsidRPr="00B21FAC" w:rsidRDefault="00022AC6" w:rsidP="00BA7E3E">
      <w:pPr>
        <w:spacing w:after="0"/>
        <w:ind w:left="709"/>
        <w:jc w:val="both"/>
      </w:pPr>
    </w:p>
    <w:p w14:paraId="06F76BE1" w14:textId="4A97AA7A" w:rsidR="00A57A2D" w:rsidRPr="00B21FAC" w:rsidRDefault="00A57A2D" w:rsidP="00BA7E3E">
      <w:pPr>
        <w:spacing w:after="0"/>
        <w:ind w:left="709"/>
        <w:jc w:val="both"/>
      </w:pPr>
      <w:r w:rsidRPr="00B21FAC">
        <w:t>De problematiek van de werkloosheidsval zal naar verwachting verkleinen voor zover een fiscale hervorming ertoe zou leiden dat de lagere inkomsten minder zwaar worden belast (bv. door de onderste tariefschijf te verbreden of door de tarieven op de lagere inkomsten substantieel te laten zakken). De impact hiervan op de participatiebelastingvoet zal nauwkeurig in kaart moeten worden gebracht. Mogelijks begeleidende maatregelen moeten hieraan gekoppeld worden. Dit kan bv. bestaan uit een hermodulering van de (</w:t>
      </w:r>
      <w:r w:rsidR="00A27B69">
        <w:t>sociale en fiscale</w:t>
      </w:r>
      <w:r w:rsidRPr="00B21FAC">
        <w:t>) werkbonus</w:t>
      </w:r>
      <w:r w:rsidR="006740D1">
        <w:t xml:space="preserve"> of zelfs via de toepassing van negatieve marginale belastingvoeten op lage </w:t>
      </w:r>
      <w:r w:rsidR="00977CBF">
        <w:t>inkomsten</w:t>
      </w:r>
      <w:r w:rsidRPr="00B21FAC">
        <w:t>.</w:t>
      </w:r>
    </w:p>
    <w:p w14:paraId="5CF23DD9" w14:textId="77777777" w:rsidR="00A57A2D" w:rsidRPr="00B21FAC" w:rsidRDefault="00A57A2D" w:rsidP="00BA7E3E">
      <w:pPr>
        <w:spacing w:after="0"/>
        <w:ind w:left="709"/>
        <w:jc w:val="both"/>
      </w:pPr>
    </w:p>
    <w:p w14:paraId="543BA6FD" w14:textId="77777777" w:rsidR="00A57A2D" w:rsidRPr="00B21FAC" w:rsidRDefault="00A57A2D" w:rsidP="00BA7E3E">
      <w:pPr>
        <w:pStyle w:val="Lijstalinea"/>
        <w:numPr>
          <w:ilvl w:val="0"/>
          <w:numId w:val="15"/>
        </w:numPr>
        <w:spacing w:after="0"/>
        <w:jc w:val="both"/>
        <w:rPr>
          <w:b/>
          <w:bCs/>
        </w:rPr>
      </w:pPr>
      <w:r w:rsidRPr="00B21FAC">
        <w:rPr>
          <w:b/>
          <w:bCs/>
        </w:rPr>
        <w:t>Promotieval</w:t>
      </w:r>
    </w:p>
    <w:p w14:paraId="0F822D1A" w14:textId="77777777" w:rsidR="00A57A2D" w:rsidRPr="00B21FAC" w:rsidRDefault="00A57A2D" w:rsidP="00BA7E3E">
      <w:pPr>
        <w:pStyle w:val="Lijstalinea"/>
        <w:spacing w:after="0"/>
        <w:jc w:val="both"/>
        <w:rPr>
          <w:b/>
          <w:bCs/>
        </w:rPr>
      </w:pPr>
    </w:p>
    <w:p w14:paraId="1008F539" w14:textId="748BC421" w:rsidR="00A57A2D" w:rsidRPr="00B21FAC" w:rsidRDefault="00A57A2D" w:rsidP="00BA7E3E">
      <w:pPr>
        <w:spacing w:after="0"/>
        <w:ind w:left="709"/>
        <w:jc w:val="both"/>
      </w:pPr>
      <w:r w:rsidRPr="00B21FAC">
        <w:t xml:space="preserve">Teneinde de </w:t>
      </w:r>
      <w:r w:rsidRPr="00B21FAC">
        <w:rPr>
          <w:u w:val="single"/>
        </w:rPr>
        <w:t>promotieval</w:t>
      </w:r>
      <w:r w:rsidRPr="00B21FAC">
        <w:t xml:space="preserve"> op een degelijke wijze aan te pakken, </w:t>
      </w:r>
      <w:r w:rsidR="00620271">
        <w:t xml:space="preserve">en bijgevolg </w:t>
      </w:r>
      <w:r w:rsidR="005D0967">
        <w:t xml:space="preserve">de werknemer te stimuleren om productiever te worden, </w:t>
      </w:r>
      <w:r w:rsidRPr="00B21FAC">
        <w:t>is het vooral zaak om de fiscale en parafiscale bijdragen (drastisch) te laten zakken. Dit vormt een onderdeel van de vooropgestelde verlaging van de belastingdruk die in het algemeen zal leiden tot een verlaging van de marginale belastingvoeten.</w:t>
      </w:r>
    </w:p>
    <w:p w14:paraId="45F45923" w14:textId="77777777" w:rsidR="00345210" w:rsidRPr="00B21FAC" w:rsidRDefault="00345210" w:rsidP="00BA7E3E">
      <w:pPr>
        <w:spacing w:after="0"/>
        <w:ind w:left="709"/>
        <w:jc w:val="both"/>
      </w:pPr>
    </w:p>
    <w:p w14:paraId="42B436B7" w14:textId="753502B9" w:rsidR="00A57A2D" w:rsidRPr="00B21FAC" w:rsidRDefault="00A57A2D" w:rsidP="00BA7E3E">
      <w:pPr>
        <w:spacing w:after="0"/>
        <w:ind w:left="709"/>
        <w:jc w:val="both"/>
      </w:pPr>
      <w:r w:rsidRPr="00B21FAC">
        <w:t>Het is wel kenmerkend aan ons huidig stelsel dat de marginale belastingvoet twee zogenaamde ‘pieken’ kent. De ene wordt veroorzaakt door de uitfasering van de werkbonus en vormt dus op die manier de keerzijde van de verlaagde participatie</w:t>
      </w:r>
      <w:r w:rsidR="003F7E2B" w:rsidRPr="00B21FAC">
        <w:t>belasting</w:t>
      </w:r>
      <w:r w:rsidRPr="00B21FAC">
        <w:t xml:space="preserve">voeten onderaan </w:t>
      </w:r>
      <w:r w:rsidR="003F7E2B" w:rsidRPr="00B21FAC">
        <w:t>de loonladder</w:t>
      </w:r>
      <w:r w:rsidRPr="00B21FAC">
        <w:t xml:space="preserve">. De tweede piek stemt overeen met de startdrempel van de bijzondere bijdrage sociale zekerheid. </w:t>
      </w:r>
    </w:p>
    <w:p w14:paraId="585CB339" w14:textId="413FDAB9" w:rsidR="002E2867" w:rsidRDefault="002E2867" w:rsidP="00BA7E3E">
      <w:pPr>
        <w:spacing w:after="0"/>
        <w:ind w:left="709"/>
        <w:jc w:val="both"/>
      </w:pPr>
    </w:p>
    <w:p w14:paraId="49B6C8F1" w14:textId="3B090245" w:rsidR="00A5029E" w:rsidRDefault="00A171C6" w:rsidP="00BA7E3E">
      <w:pPr>
        <w:spacing w:after="0"/>
        <w:ind w:left="709"/>
        <w:jc w:val="both"/>
      </w:pPr>
      <w:r>
        <w:rPr>
          <w:noProof/>
        </w:rPr>
        <w:drawing>
          <wp:inline distT="0" distB="0" distL="0" distR="0" wp14:anchorId="63A8EE0D" wp14:editId="35C96560">
            <wp:extent cx="5671185" cy="5638165"/>
            <wp:effectExtent l="0" t="0" r="5715" b="635"/>
            <wp:docPr id="1" name="Grafiek 1">
              <a:extLst xmlns:a="http://schemas.openxmlformats.org/drawingml/2006/main">
                <a:ext uri="{FF2B5EF4-FFF2-40B4-BE49-F238E27FC236}">
                  <a16:creationId xmlns:a16="http://schemas.microsoft.com/office/drawing/2014/main" id="{800E10B7-85BD-4F5F-9B38-20BEF7C651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6D49364" w14:textId="384EB4D4" w:rsidR="00A5029E" w:rsidRDefault="00A5029E" w:rsidP="00BA7E3E">
      <w:pPr>
        <w:spacing w:after="0"/>
        <w:ind w:left="709"/>
        <w:jc w:val="both"/>
      </w:pPr>
    </w:p>
    <w:p w14:paraId="64638D87" w14:textId="77777777" w:rsidR="00A5029E" w:rsidRPr="00B21FAC" w:rsidRDefault="00A5029E" w:rsidP="00F92526">
      <w:pPr>
        <w:spacing w:after="0"/>
        <w:jc w:val="both"/>
      </w:pPr>
    </w:p>
    <w:p w14:paraId="16A3EE5D" w14:textId="1FBCA26E" w:rsidR="00A57A2D" w:rsidRPr="00B21FAC" w:rsidRDefault="00A57A2D" w:rsidP="00BA7E3E">
      <w:pPr>
        <w:spacing w:after="0"/>
        <w:ind w:left="709"/>
        <w:jc w:val="both"/>
      </w:pPr>
      <w:r w:rsidRPr="00B21FAC">
        <w:t xml:space="preserve">De eerste piek valt (bij een behoud van de werkbonus) moeilijk te vermijden. De vraag rijst of dit </w:t>
      </w:r>
      <w:r w:rsidRPr="00B21FAC">
        <w:rPr>
          <w:i/>
          <w:iCs/>
        </w:rPr>
        <w:t>überhaupt</w:t>
      </w:r>
      <w:r w:rsidRPr="00B21FAC">
        <w:t xml:space="preserve"> vereist is, althans voor zover de hoogte van de piek drastisch zakt. De ‘hellingsgraad’ kan gemilderd worden</w:t>
      </w:r>
      <w:r w:rsidR="00C369E9">
        <w:t xml:space="preserve"> </w:t>
      </w:r>
      <w:r w:rsidRPr="00B21FAC">
        <w:t>door een vertraagde uitfasering.</w:t>
      </w:r>
    </w:p>
    <w:p w14:paraId="7F85EACF" w14:textId="77777777" w:rsidR="002E2867" w:rsidRPr="00B21FAC" w:rsidRDefault="002E2867" w:rsidP="00BA7E3E">
      <w:pPr>
        <w:spacing w:after="0"/>
        <w:ind w:left="709"/>
        <w:jc w:val="both"/>
      </w:pPr>
    </w:p>
    <w:p w14:paraId="686F6F16" w14:textId="5E2FD212" w:rsidR="00301FF2" w:rsidRDefault="00A57A2D" w:rsidP="00F92526">
      <w:pPr>
        <w:spacing w:after="0"/>
        <w:ind w:left="709"/>
        <w:jc w:val="both"/>
      </w:pPr>
      <w:r w:rsidRPr="00B21FAC">
        <w:t xml:space="preserve">De tweede piek, veroorzaakt door de BBSZ, is het gevolg van een anomalie in het stelsel, in die zin dat deze bijzondere bijdrage reeds verschuldigd is door de </w:t>
      </w:r>
      <w:r w:rsidR="000142D0" w:rsidRPr="00B21FAC">
        <w:t>l</w:t>
      </w:r>
      <w:r w:rsidR="000142D0">
        <w:t>age</w:t>
      </w:r>
      <w:r w:rsidR="000142D0" w:rsidRPr="00B21FAC">
        <w:t xml:space="preserve"> </w:t>
      </w:r>
      <w:r w:rsidRPr="00B21FAC">
        <w:t xml:space="preserve">inkomens (hetgeen het gevolg is van een niet-indexering van de bijdragedrempels). Dit, alsook het feit dat deze bijdrage geenszins neutraal is op het vlak van de samenlevingsvormen, leidt </w:t>
      </w:r>
      <w:r w:rsidR="00FD0851">
        <w:t xml:space="preserve">tot </w:t>
      </w:r>
      <w:r w:rsidR="00FD0851" w:rsidRPr="00FD0851">
        <w:t xml:space="preserve">de absolute aanbeveling om deze </w:t>
      </w:r>
      <w:r w:rsidRPr="00B21FAC">
        <w:t xml:space="preserve">bijdrage op </w:t>
      </w:r>
      <w:r w:rsidR="00A27B69">
        <w:t>te heffen</w:t>
      </w:r>
      <w:r w:rsidRPr="00B21FAC">
        <w:t>.</w:t>
      </w:r>
      <w:r w:rsidR="00430D45" w:rsidRPr="00430D45">
        <w:t xml:space="preserve"> </w:t>
      </w:r>
      <w:r w:rsidR="00430D45">
        <w:t xml:space="preserve">Deze aanbeveling sluit overigens aan </w:t>
      </w:r>
      <w:r w:rsidR="00E63942">
        <w:t>bij het advies van de HRF (202</w:t>
      </w:r>
      <w:r w:rsidR="004D3124">
        <w:t>0</w:t>
      </w:r>
      <w:r w:rsidR="00E63942">
        <w:t>), alsook bij de reeds door de Regering genomen beslissing om</w:t>
      </w:r>
      <w:r w:rsidR="00430D45" w:rsidRPr="00430D45">
        <w:t xml:space="preserve"> een tax shift uit te voeren waarbij 200 miljoen euro </w:t>
      </w:r>
      <w:r w:rsidR="00A27B69">
        <w:t>is</w:t>
      </w:r>
      <w:r w:rsidR="00430D45" w:rsidRPr="00430D45">
        <w:t xml:space="preserve"> gebruikt om de BBSZ (en het supplement sociale bijdragen zelfstandigen te verlagen)</w:t>
      </w:r>
      <w:r w:rsidR="0098434B">
        <w:t>.</w:t>
      </w:r>
      <w:r w:rsidR="00301FF2">
        <w:br w:type="page"/>
      </w:r>
    </w:p>
    <w:p w14:paraId="3A416CCD" w14:textId="77777777" w:rsidR="00A57A2D" w:rsidRPr="00B21FAC" w:rsidRDefault="00A57A2D" w:rsidP="00BA7E3E">
      <w:pPr>
        <w:pStyle w:val="Lijstalinea"/>
        <w:spacing w:after="0"/>
        <w:ind w:left="0"/>
        <w:jc w:val="both"/>
      </w:pPr>
    </w:p>
    <w:p w14:paraId="16059262" w14:textId="77777777" w:rsidR="00A57A2D" w:rsidRPr="00B21FAC" w:rsidRDefault="00A57A2D" w:rsidP="00BA7E3E">
      <w:pPr>
        <w:pStyle w:val="Lijstalinea"/>
        <w:spacing w:after="0"/>
        <w:ind w:left="0"/>
        <w:jc w:val="both"/>
      </w:pPr>
    </w:p>
    <w:p w14:paraId="6ECD88F3" w14:textId="7EF808D0" w:rsidR="00A57A2D" w:rsidRPr="00B21FAC" w:rsidRDefault="00463700" w:rsidP="00275FEB">
      <w:pPr>
        <w:pStyle w:val="Kop2"/>
        <w:numPr>
          <w:ilvl w:val="0"/>
          <w:numId w:val="40"/>
        </w:numPr>
      </w:pPr>
      <w:bookmarkStart w:id="175" w:name="_Toc107210907"/>
      <w:r>
        <w:t>H</w:t>
      </w:r>
      <w:r w:rsidR="00A57A2D" w:rsidRPr="00B21FAC">
        <w:t>erstel van neutraliteit</w:t>
      </w:r>
      <w:bookmarkEnd w:id="175"/>
    </w:p>
    <w:p w14:paraId="5E0BB9D4" w14:textId="77777777" w:rsidR="00A57A2D" w:rsidRPr="00B21FAC" w:rsidRDefault="00A57A2D" w:rsidP="00BA7E3E">
      <w:pPr>
        <w:pStyle w:val="Lijstalinea"/>
        <w:spacing w:after="0"/>
        <w:ind w:left="0"/>
        <w:jc w:val="both"/>
      </w:pPr>
    </w:p>
    <w:p w14:paraId="02E4D50F" w14:textId="3B7B44E3" w:rsidR="00A57A2D" w:rsidRDefault="00A57A2D">
      <w:pPr>
        <w:pStyle w:val="Lijstalinea"/>
        <w:spacing w:after="0"/>
        <w:ind w:left="0"/>
        <w:jc w:val="both"/>
      </w:pPr>
    </w:p>
    <w:p w14:paraId="7A13C440" w14:textId="77777777" w:rsidR="00B06133" w:rsidRDefault="004B7B98">
      <w:pPr>
        <w:pStyle w:val="Lijstalinea"/>
        <w:spacing w:after="0"/>
        <w:ind w:left="0"/>
        <w:jc w:val="both"/>
      </w:pPr>
      <w:r w:rsidRPr="00BA7E3E">
        <w:rPr>
          <w:b/>
          <w:bCs/>
        </w:rPr>
        <w:t>Voorstel</w:t>
      </w:r>
      <w:r>
        <w:t xml:space="preserve"> </w:t>
      </w:r>
      <w:r w:rsidR="00637445">
        <w:t>–</w:t>
      </w:r>
      <w:r>
        <w:t xml:space="preserve"> </w:t>
      </w:r>
      <w:r w:rsidR="00637445">
        <w:t>Er wordt maximaal ingezet op het herstel van de neutraliteit</w:t>
      </w:r>
      <w:r w:rsidR="00B06133">
        <w:t>, door:</w:t>
      </w:r>
    </w:p>
    <w:p w14:paraId="030E8B1D" w14:textId="21F9EA33" w:rsidR="004B7B98" w:rsidRDefault="006B40FC" w:rsidP="00EF5ECA">
      <w:pPr>
        <w:pStyle w:val="Lijstalinea"/>
        <w:numPr>
          <w:ilvl w:val="0"/>
          <w:numId w:val="92"/>
        </w:numPr>
        <w:spacing w:after="0"/>
        <w:jc w:val="both"/>
      </w:pPr>
      <w:r>
        <w:t>h</w:t>
      </w:r>
      <w:r w:rsidR="00EF5ECA">
        <w:t>et onderscheid tussen winst en baten op te heffen;</w:t>
      </w:r>
    </w:p>
    <w:p w14:paraId="135C51E2" w14:textId="0B9A6DB6" w:rsidR="00EF5ECA" w:rsidRDefault="006B40FC" w:rsidP="00EF5ECA">
      <w:pPr>
        <w:pStyle w:val="Lijstalinea"/>
        <w:numPr>
          <w:ilvl w:val="0"/>
          <w:numId w:val="92"/>
        </w:numPr>
        <w:spacing w:after="0"/>
        <w:jc w:val="both"/>
      </w:pPr>
      <w:r>
        <w:t>e</w:t>
      </w:r>
      <w:r w:rsidR="00EF5ECA">
        <w:t xml:space="preserve">lke vorm van activiteitsinkomen </w:t>
      </w:r>
      <w:r w:rsidR="004C4B8B">
        <w:t xml:space="preserve">principieel </w:t>
      </w:r>
      <w:r w:rsidR="000B1FBD">
        <w:t>op dezelfde wijze te belasten, onafhankelijk van de vergoedingswijze of het statuut waarin de vergoeding wordt verkregen</w:t>
      </w:r>
      <w:r w:rsidR="004F3D95">
        <w:t>;</w:t>
      </w:r>
    </w:p>
    <w:p w14:paraId="1AD10A4F" w14:textId="3E6FA806" w:rsidR="004F3D95" w:rsidRDefault="006B40FC" w:rsidP="00BA7E3E">
      <w:pPr>
        <w:pStyle w:val="Lijstalinea"/>
        <w:numPr>
          <w:ilvl w:val="0"/>
          <w:numId w:val="92"/>
        </w:numPr>
        <w:spacing w:after="0"/>
        <w:jc w:val="both"/>
      </w:pPr>
      <w:r>
        <w:t>d</w:t>
      </w:r>
      <w:r w:rsidR="004F3D95">
        <w:t>e loonbegrippen in de sociale zekerheidswetgeving en de fiscaliteit maximaal te harmoniseren.</w:t>
      </w:r>
    </w:p>
    <w:p w14:paraId="6289DE08" w14:textId="23884602" w:rsidR="004B7B98" w:rsidRDefault="004B7B98">
      <w:pPr>
        <w:pStyle w:val="Lijstalinea"/>
        <w:spacing w:after="0"/>
        <w:ind w:left="0"/>
        <w:jc w:val="both"/>
      </w:pPr>
    </w:p>
    <w:p w14:paraId="3DF26FC7" w14:textId="694A53FA" w:rsidR="004B7B98" w:rsidRPr="00BA7E3E" w:rsidRDefault="004B7B98">
      <w:pPr>
        <w:pStyle w:val="Lijstalinea"/>
        <w:spacing w:after="0"/>
        <w:ind w:left="0"/>
        <w:jc w:val="both"/>
        <w:rPr>
          <w:u w:val="single"/>
        </w:rPr>
      </w:pPr>
      <w:r w:rsidRPr="00BA7E3E">
        <w:rPr>
          <w:u w:val="single"/>
        </w:rPr>
        <w:t>Toelichting:</w:t>
      </w:r>
    </w:p>
    <w:p w14:paraId="3820AB20" w14:textId="77777777" w:rsidR="004B7B98" w:rsidRPr="00B21FAC" w:rsidRDefault="004B7B98" w:rsidP="00BA7E3E">
      <w:pPr>
        <w:pStyle w:val="Lijstalinea"/>
        <w:spacing w:after="0"/>
        <w:ind w:left="0"/>
        <w:jc w:val="both"/>
      </w:pPr>
    </w:p>
    <w:p w14:paraId="288817FB" w14:textId="3428465C" w:rsidR="004913AC" w:rsidRDefault="00A57A2D" w:rsidP="00BA7E3E">
      <w:pPr>
        <w:pStyle w:val="Lijstalinea"/>
        <w:spacing w:after="0"/>
        <w:ind w:left="0"/>
        <w:jc w:val="both"/>
      </w:pPr>
      <w:r w:rsidRPr="00B21FAC">
        <w:t xml:space="preserve">De betrachting moet overheersen om </w:t>
      </w:r>
      <w:r w:rsidR="0014208B">
        <w:t xml:space="preserve">de (verdere) wildgroei aan specifieke stelsels </w:t>
      </w:r>
      <w:r w:rsidR="00D14478">
        <w:t>te vermijden</w:t>
      </w:r>
      <w:r w:rsidR="00706CBC">
        <w:t>, met als doel het neutraliteitsprincipe te honoreren. Een dergelijke oefening kan meteen ook leiden tot een sterke vereenvoudiging.</w:t>
      </w:r>
    </w:p>
    <w:p w14:paraId="52518C92" w14:textId="77777777" w:rsidR="004913AC" w:rsidRPr="00B21FAC" w:rsidRDefault="004913AC" w:rsidP="00BA7E3E">
      <w:pPr>
        <w:pStyle w:val="Lijstalinea"/>
        <w:spacing w:after="0"/>
        <w:ind w:left="0"/>
        <w:jc w:val="both"/>
      </w:pPr>
    </w:p>
    <w:p w14:paraId="406E9120" w14:textId="50C48EB4" w:rsidR="00A57A2D" w:rsidRPr="00B21FAC" w:rsidRDefault="00A57A2D" w:rsidP="00BA7E3E">
      <w:pPr>
        <w:pStyle w:val="Lijstalinea"/>
        <w:spacing w:after="0"/>
        <w:ind w:left="0"/>
        <w:jc w:val="both"/>
      </w:pPr>
      <w:r w:rsidRPr="00B21FAC">
        <w:t xml:space="preserve">Bepaalde van die </w:t>
      </w:r>
      <w:r w:rsidR="00A36543">
        <w:t>specifieke stelsels</w:t>
      </w:r>
      <w:r w:rsidR="00A36543" w:rsidRPr="00B21FAC">
        <w:t xml:space="preserve"> </w:t>
      </w:r>
      <w:r w:rsidRPr="00B21FAC">
        <w:t xml:space="preserve">hebben </w:t>
      </w:r>
      <w:r w:rsidR="009E21CE">
        <w:t xml:space="preserve">overigens </w:t>
      </w:r>
      <w:r w:rsidRPr="00B21FAC">
        <w:t>een eerder historische verklaring (zoals bv. het onderscheid tussen winst en baten). Andere</w:t>
      </w:r>
      <w:r w:rsidR="00A36543">
        <w:t>n</w:t>
      </w:r>
      <w:r w:rsidRPr="00B21FAC">
        <w:t xml:space="preserve"> zijn vaak het gevolg van </w:t>
      </w:r>
      <w:r w:rsidRPr="00B21FAC">
        <w:rPr>
          <w:i/>
          <w:iCs/>
        </w:rPr>
        <w:t>ad hoc</w:t>
      </w:r>
      <w:r w:rsidRPr="00B21FAC">
        <w:t xml:space="preserve"> stelsels die tot stand zijn gekomen vanuit de verzuchting de loonkost te milderen of rekening te houden met de (al dan niet vermeende) eigenheid van bepaalde beroepsgroepen.</w:t>
      </w:r>
    </w:p>
    <w:p w14:paraId="6CC24FB0" w14:textId="77777777" w:rsidR="00A57A2D" w:rsidRPr="00B21FAC" w:rsidRDefault="00A57A2D" w:rsidP="00BA7E3E">
      <w:pPr>
        <w:pStyle w:val="Lijstalinea"/>
        <w:spacing w:after="0"/>
        <w:ind w:left="0"/>
        <w:jc w:val="both"/>
      </w:pPr>
    </w:p>
    <w:p w14:paraId="757815AF" w14:textId="1FA35E4B" w:rsidR="00A57A2D" w:rsidRPr="00B21FAC" w:rsidRDefault="00A57A2D" w:rsidP="00BA7E3E">
      <w:pPr>
        <w:pStyle w:val="Lijstalinea"/>
        <w:spacing w:after="0"/>
        <w:ind w:left="0"/>
        <w:jc w:val="both"/>
      </w:pPr>
      <w:r w:rsidRPr="00B21FAC">
        <w:t xml:space="preserve">In een gemoderniseerd stelsel, waarbij de nadruk wordt gelegd op de substantiële verlaging van de lasten op de arbeid, hebben dergelijke onderscheiden in ieder geval </w:t>
      </w:r>
      <w:r w:rsidR="00990E70">
        <w:t xml:space="preserve">(en op zijn minst verhoudingsgewijze) </w:t>
      </w:r>
      <w:r w:rsidRPr="00B21FAC">
        <w:t xml:space="preserve">geen bestaansreden meer. Het opheffen van alle diverse regimes kan voorts toelaten in zekere mate de </w:t>
      </w:r>
      <w:r w:rsidR="00647275">
        <w:t>bepleitte tariefverlaging</w:t>
      </w:r>
      <w:r w:rsidRPr="00B21FAC">
        <w:t xml:space="preserve"> te financieren.</w:t>
      </w:r>
    </w:p>
    <w:p w14:paraId="1AE4D96E" w14:textId="77777777" w:rsidR="00A57A2D" w:rsidRPr="00B21FAC" w:rsidRDefault="00A57A2D" w:rsidP="00BA7E3E">
      <w:pPr>
        <w:pStyle w:val="Lijstalinea"/>
        <w:spacing w:after="0"/>
        <w:ind w:left="0"/>
        <w:jc w:val="both"/>
      </w:pPr>
    </w:p>
    <w:p w14:paraId="521B2962" w14:textId="05C242FB" w:rsidR="00990E70" w:rsidRPr="00990E70" w:rsidRDefault="00A57A2D" w:rsidP="00BA7E3E">
      <w:pPr>
        <w:pStyle w:val="Lijstalinea"/>
        <w:spacing w:after="0"/>
        <w:ind w:left="0"/>
        <w:jc w:val="both"/>
      </w:pPr>
      <w:r w:rsidRPr="00B21FAC">
        <w:t>Het is vanuit deze betrachting dat een aantal (niet limitatief opgelijste) voorstellen worden geformuleerd</w:t>
      </w:r>
      <w:r w:rsidR="00990E70">
        <w:t>. Voor de goede orde weze overigens herhaald dat de consequente toepassing van de hier geformuleerde voorstellen op zich niet</w:t>
      </w:r>
      <w:r w:rsidR="00990E70" w:rsidRPr="00990E70">
        <w:t xml:space="preserve"> verhindert dat alsnog specifieke stelsels </w:t>
      </w:r>
      <w:r w:rsidR="00990E70">
        <w:t>(al dan niet in gewijzigde vorm</w:t>
      </w:r>
      <w:r w:rsidR="00152373">
        <w:t xml:space="preserve"> en rekening houdend met de engagementen opgenomen in het Regeerakkoord</w:t>
      </w:r>
      <w:r w:rsidR="00990E70">
        <w:t xml:space="preserve">) </w:t>
      </w:r>
      <w:r w:rsidR="00990E70" w:rsidRPr="00990E70">
        <w:t xml:space="preserve">zouden worden behouden. De voorwaarde hierbij moet echter zijn dat dergelijke stelsels (i) op bijzondere wijze verantwoord moeten worden, (ii) doelgericht, rechtlijnig en specifiek moeten zijn en (iii) recurrent geherevalueerd moeten </w:t>
      </w:r>
      <w:r w:rsidR="00152373">
        <w:t xml:space="preserve">kunnen </w:t>
      </w:r>
      <w:r w:rsidR="00990E70" w:rsidRPr="00990E70">
        <w:t>worden</w:t>
      </w:r>
      <w:r w:rsidR="00A104C8">
        <w:t xml:space="preserve"> (cf. bouwsteen 10)</w:t>
      </w:r>
      <w:r w:rsidR="00990E70" w:rsidRPr="00990E70">
        <w:t>.</w:t>
      </w:r>
      <w:r w:rsidR="002B048A">
        <w:t xml:space="preserve"> Het is overigens in het licht hiervan dat bepaalde veelbesproken verloningsvormen hierna, illustratief, aan een </w:t>
      </w:r>
      <w:r w:rsidR="007E1FD5">
        <w:t>voorlopige beoordeling worden onderworpen.</w:t>
      </w:r>
    </w:p>
    <w:p w14:paraId="28488D58" w14:textId="77777777" w:rsidR="00440BE1" w:rsidRPr="00B21FAC" w:rsidRDefault="00440BE1" w:rsidP="00BA7E3E">
      <w:pPr>
        <w:pStyle w:val="Lijstalinea"/>
        <w:spacing w:after="0"/>
        <w:ind w:left="0"/>
        <w:jc w:val="both"/>
      </w:pPr>
    </w:p>
    <w:p w14:paraId="007EBFBB" w14:textId="77777777" w:rsidR="00A57A2D" w:rsidRPr="00B21FAC" w:rsidRDefault="00A57A2D" w:rsidP="00BA7E3E">
      <w:pPr>
        <w:pStyle w:val="Lijstalinea"/>
        <w:numPr>
          <w:ilvl w:val="0"/>
          <w:numId w:val="15"/>
        </w:numPr>
        <w:spacing w:after="0"/>
        <w:jc w:val="both"/>
        <w:rPr>
          <w:b/>
          <w:bCs/>
        </w:rPr>
      </w:pPr>
      <w:r w:rsidRPr="00B21FAC">
        <w:rPr>
          <w:b/>
          <w:bCs/>
        </w:rPr>
        <w:t xml:space="preserve">Er worden voortaan (en abstractie makend van de vervangingsinkomsten) nog slechts twee categorieën van ‘activiteitsinkomsten’ onderscheiden, te weten de ‘winst’ (inkomsten verkregen op zelfstandige basis) en de ‘bezoldigingen’ (inkomsten verkregen als werknemer, bedrijfsleider of meewerkende echtgenoot). </w:t>
      </w:r>
    </w:p>
    <w:p w14:paraId="198E27BA" w14:textId="77777777" w:rsidR="00A57A2D" w:rsidRPr="00B21FAC" w:rsidRDefault="00A57A2D" w:rsidP="00BA7E3E">
      <w:pPr>
        <w:pStyle w:val="Lijstalinea"/>
        <w:spacing w:after="0"/>
        <w:jc w:val="both"/>
      </w:pPr>
    </w:p>
    <w:p w14:paraId="7D96C649" w14:textId="77777777" w:rsidR="00A57A2D" w:rsidRPr="00B21FAC" w:rsidRDefault="00A57A2D" w:rsidP="00BA7E3E">
      <w:pPr>
        <w:pStyle w:val="Lijstalinea"/>
        <w:spacing w:after="0"/>
        <w:jc w:val="both"/>
      </w:pPr>
      <w:r w:rsidRPr="00B21FAC">
        <w:t>Het onderscheid tussen winst en baten wordt bijgevolg opgeheven.</w:t>
      </w:r>
    </w:p>
    <w:p w14:paraId="1C41E14F" w14:textId="77777777" w:rsidR="00A57A2D" w:rsidRPr="00B21FAC" w:rsidRDefault="00A57A2D" w:rsidP="00BA7E3E">
      <w:pPr>
        <w:pStyle w:val="Lijstalinea"/>
        <w:spacing w:after="0"/>
        <w:jc w:val="both"/>
      </w:pPr>
    </w:p>
    <w:p w14:paraId="266D5C75" w14:textId="7195B4B8" w:rsidR="00A57A2D" w:rsidRPr="00B21FAC" w:rsidRDefault="00A57A2D" w:rsidP="00BA7E3E">
      <w:pPr>
        <w:pStyle w:val="Lijstalinea"/>
        <w:spacing w:after="0"/>
        <w:jc w:val="both"/>
      </w:pPr>
      <w:r w:rsidRPr="00B21FAC">
        <w:rPr>
          <w:u w:val="single"/>
        </w:rPr>
        <w:t>PM:</w:t>
      </w:r>
      <w:r w:rsidRPr="00B21FAC">
        <w:t xml:space="preserve"> de huidige genieters van ‘baten’ worden belast op ‘kasbasis’ (i.t.t. de genieters van winsten die belast worden op ‘accrual’ basis). Dit betekent dan ook dat de huidige genieters van ‘baten’ een aangepaste boekhouding zullen moeten voeren opdat het winstregime van toepassing kan zijn. </w:t>
      </w:r>
      <w:r w:rsidR="002B0EE6">
        <w:t xml:space="preserve">Voor de genieters die nu reeds een dubbele boekhouding voeren, zal dit in ieder geval </w:t>
      </w:r>
      <w:r w:rsidR="00AF29DB">
        <w:t xml:space="preserve">een vereenvoudiging zijn. </w:t>
      </w:r>
      <w:r w:rsidRPr="00B21FAC">
        <w:t>Er zal ook een overgangsmaatregel vereist zijn teneinde dubbele (niet-)belasting te vermijden.</w:t>
      </w:r>
    </w:p>
    <w:p w14:paraId="4C80B64A" w14:textId="77777777" w:rsidR="00A57A2D" w:rsidRPr="00B21FAC" w:rsidRDefault="00A57A2D" w:rsidP="00BA7E3E">
      <w:pPr>
        <w:pStyle w:val="Lijstalinea"/>
        <w:spacing w:after="0"/>
        <w:jc w:val="both"/>
      </w:pPr>
    </w:p>
    <w:p w14:paraId="00DE2129" w14:textId="77777777" w:rsidR="00A57A2D" w:rsidRPr="00B21FAC" w:rsidRDefault="00A57A2D" w:rsidP="00BA7E3E">
      <w:pPr>
        <w:pStyle w:val="Lijstalinea"/>
        <w:numPr>
          <w:ilvl w:val="0"/>
          <w:numId w:val="15"/>
        </w:numPr>
        <w:spacing w:after="0"/>
        <w:jc w:val="both"/>
        <w:rPr>
          <w:b/>
          <w:bCs/>
        </w:rPr>
      </w:pPr>
      <w:r w:rsidRPr="00B21FAC">
        <w:rPr>
          <w:b/>
          <w:bCs/>
        </w:rPr>
        <w:t>Elke vorm van activiteitsinkomen wordt op dezelfde wijze belast</w:t>
      </w:r>
    </w:p>
    <w:p w14:paraId="64AAC110" w14:textId="77777777" w:rsidR="00A57A2D" w:rsidRPr="00B21FAC" w:rsidRDefault="00A57A2D" w:rsidP="00BA7E3E">
      <w:pPr>
        <w:pStyle w:val="Lijstalinea"/>
        <w:spacing w:after="0"/>
        <w:jc w:val="both"/>
        <w:rPr>
          <w:b/>
          <w:bCs/>
        </w:rPr>
      </w:pPr>
    </w:p>
    <w:p w14:paraId="05BD723C" w14:textId="77777777" w:rsidR="00A57A2D" w:rsidRPr="00B21FAC" w:rsidRDefault="00A57A2D" w:rsidP="00BA7E3E">
      <w:pPr>
        <w:pStyle w:val="Lijstalinea"/>
        <w:numPr>
          <w:ilvl w:val="1"/>
          <w:numId w:val="15"/>
        </w:numPr>
        <w:spacing w:after="0"/>
        <w:jc w:val="both"/>
        <w:rPr>
          <w:b/>
          <w:bCs/>
        </w:rPr>
      </w:pPr>
      <w:r w:rsidRPr="00B21FAC">
        <w:rPr>
          <w:b/>
          <w:bCs/>
        </w:rPr>
        <w:t>Onafhankelijk van de vergoedingswijze</w:t>
      </w:r>
    </w:p>
    <w:p w14:paraId="4FD42A8F" w14:textId="77777777" w:rsidR="00A57A2D" w:rsidRPr="00B21FAC" w:rsidRDefault="00A57A2D" w:rsidP="00BA7E3E">
      <w:pPr>
        <w:pStyle w:val="Lijstalinea"/>
        <w:spacing w:after="0"/>
        <w:ind w:left="1440"/>
        <w:jc w:val="both"/>
      </w:pPr>
    </w:p>
    <w:p w14:paraId="197183B9" w14:textId="2F2B504B" w:rsidR="00A57A2D" w:rsidRPr="00B21FAC" w:rsidRDefault="00A57A2D" w:rsidP="00BA7E3E">
      <w:pPr>
        <w:pStyle w:val="Lijstalinea"/>
        <w:numPr>
          <w:ilvl w:val="2"/>
          <w:numId w:val="15"/>
        </w:numPr>
        <w:spacing w:after="0"/>
        <w:jc w:val="both"/>
      </w:pPr>
      <w:r w:rsidRPr="00B21FAC">
        <w:t xml:space="preserve">Dit betekent dat het bestaan van allerhande </w:t>
      </w:r>
      <w:r w:rsidRPr="00B21FAC">
        <w:rPr>
          <w:i/>
          <w:iCs/>
        </w:rPr>
        <w:t>ad hoc</w:t>
      </w:r>
      <w:r w:rsidRPr="00B21FAC">
        <w:t xml:space="preserve"> vrijstellingen volledig in vraag moet worden gesteld (bv. maaltijdcheques, sport-</w:t>
      </w:r>
      <w:r w:rsidR="00883787">
        <w:t>,</w:t>
      </w:r>
      <w:r w:rsidRPr="00B21FAC">
        <w:t xml:space="preserve"> cultuur</w:t>
      </w:r>
      <w:r w:rsidR="009D007C">
        <w:t xml:space="preserve">- en </w:t>
      </w:r>
      <w:r w:rsidRPr="00B21FAC">
        <w:t>ecocheques).</w:t>
      </w:r>
    </w:p>
    <w:p w14:paraId="32D70688" w14:textId="77777777" w:rsidR="00A57A2D" w:rsidRPr="00B21FAC" w:rsidRDefault="00A57A2D" w:rsidP="00BA7E3E">
      <w:pPr>
        <w:pStyle w:val="Lijstalinea"/>
        <w:spacing w:after="0"/>
        <w:ind w:left="1440"/>
        <w:jc w:val="both"/>
      </w:pPr>
    </w:p>
    <w:p w14:paraId="7E225D54" w14:textId="4BF14F52" w:rsidR="00A57A2D" w:rsidRPr="00B21FAC" w:rsidRDefault="00A57A2D" w:rsidP="00BA7E3E">
      <w:pPr>
        <w:pStyle w:val="Lijstalinea"/>
        <w:numPr>
          <w:ilvl w:val="2"/>
          <w:numId w:val="15"/>
        </w:numPr>
        <w:spacing w:after="0"/>
        <w:jc w:val="both"/>
      </w:pPr>
      <w:r w:rsidRPr="00B21FAC">
        <w:t xml:space="preserve">Dit impliceert evenzeer dat de waardering van voordelen </w:t>
      </w:r>
      <w:r w:rsidR="008E3317">
        <w:t xml:space="preserve">van </w:t>
      </w:r>
      <w:r w:rsidRPr="00B21FAC">
        <w:t>alle aard zo nauw als mogelijk moet aansluiten bij de werkelijke waarde van het voordeel. Het gebruik van een forfaitaire waarderingsmethode is daarbij niet uitgesloten, maar de bestaande methoden moeten wel fundamenteel worden herzien</w:t>
      </w:r>
      <w:r w:rsidR="00BA2F9B">
        <w:t>, met als doel te vermijden dat de forfaitaire waardering al te zeer zou afwijken van de werkelijke waarde van het voordeel</w:t>
      </w:r>
      <w:r w:rsidRPr="00B21FAC">
        <w:t>.</w:t>
      </w:r>
    </w:p>
    <w:p w14:paraId="07635C20" w14:textId="77777777" w:rsidR="00A57A2D" w:rsidRPr="00B21FAC" w:rsidRDefault="00A57A2D" w:rsidP="00BA7E3E">
      <w:pPr>
        <w:pStyle w:val="Lijstalinea"/>
        <w:spacing w:after="0"/>
        <w:ind w:left="1418"/>
        <w:jc w:val="both"/>
      </w:pPr>
    </w:p>
    <w:p w14:paraId="09D1EDCD" w14:textId="0A21AC0D" w:rsidR="00A57A2D" w:rsidRPr="00B21FAC" w:rsidRDefault="00A57A2D" w:rsidP="00BA7E3E">
      <w:pPr>
        <w:pStyle w:val="Lijstalinea"/>
        <w:spacing w:after="0"/>
        <w:ind w:left="2124"/>
        <w:jc w:val="both"/>
      </w:pPr>
      <w:r w:rsidRPr="00B21FAC">
        <w:t>Zeer concreet moet het principe, zoals opgenomen in artikel 36 WIB92, voluit worden hersteld. De forfaitaire waarderingsmethodes, zoals opgenomen in het KBWIB</w:t>
      </w:r>
      <w:r w:rsidR="008E3317">
        <w:t>92</w:t>
      </w:r>
      <w:r w:rsidRPr="00B21FAC">
        <w:t xml:space="preserve">, moeten </w:t>
      </w:r>
      <w:r w:rsidR="005F6A4F">
        <w:t>hier dus in ieder geval opnieuw op aansluiten</w:t>
      </w:r>
      <w:r w:rsidRPr="00B21FAC">
        <w:t>.</w:t>
      </w:r>
    </w:p>
    <w:p w14:paraId="559C9176" w14:textId="77777777" w:rsidR="00A57A2D" w:rsidRPr="00B21FAC" w:rsidRDefault="00A57A2D" w:rsidP="00BA7E3E">
      <w:pPr>
        <w:pStyle w:val="Lijstalinea"/>
        <w:spacing w:after="0"/>
        <w:ind w:left="2124"/>
        <w:jc w:val="both"/>
      </w:pPr>
    </w:p>
    <w:p w14:paraId="72853A59" w14:textId="404BB224" w:rsidR="00A57A2D" w:rsidRPr="00B21FAC" w:rsidRDefault="00A57A2D" w:rsidP="00BA7E3E">
      <w:pPr>
        <w:pStyle w:val="Lijstalinea"/>
        <w:spacing w:after="0"/>
        <w:ind w:left="2124"/>
        <w:jc w:val="both"/>
      </w:pPr>
      <w:r w:rsidRPr="00B21FAC">
        <w:rPr>
          <w:u w:val="single"/>
        </w:rPr>
        <w:t>PM:</w:t>
      </w:r>
      <w:r w:rsidRPr="00B21FAC">
        <w:t xml:space="preserve"> Wat specifiek de </w:t>
      </w:r>
      <w:r w:rsidRPr="00B21FAC">
        <w:rPr>
          <w:i/>
          <w:iCs/>
        </w:rPr>
        <w:t>bedrijfswagens</w:t>
      </w:r>
      <w:r w:rsidRPr="00B21FAC">
        <w:t xml:space="preserve"> betreft, kan uiteraard geen abstractie worden gemaakt van de recente beslissing van de Regering om het bedrijfswagenpark te vergroenen (met behoud van de bijzonder</w:t>
      </w:r>
      <w:r w:rsidR="00A85173" w:rsidRPr="00B21FAC">
        <w:t>e</w:t>
      </w:r>
      <w:r w:rsidRPr="00B21FAC">
        <w:t xml:space="preserve"> waarderingsregel voor het VAA). Deze maatregel moet op termijn echter veeleer beschouwd worden als een ‘transitiemaatregel’ die ertoe strekt de vergroening van het wagenpark te versnellen. Eenmaal deze maatregel zijn effect heeft bereikt, verdient het aanbeveling </w:t>
      </w:r>
      <w:r w:rsidR="00596D68">
        <w:t xml:space="preserve">de waarderingsregel </w:t>
      </w:r>
      <w:r w:rsidR="002055F7">
        <w:t xml:space="preserve">dermate te </w:t>
      </w:r>
      <w:r w:rsidR="00596D68">
        <w:t>heromschrijven</w:t>
      </w:r>
      <w:r w:rsidR="002055F7">
        <w:t xml:space="preserve"> dat</w:t>
      </w:r>
      <w:r w:rsidRPr="00B21FAC">
        <w:t xml:space="preserve"> ook voor de bedrijfswagen het ‘reële’ voordeel in aanmerking </w:t>
      </w:r>
      <w:r w:rsidR="00596D68">
        <w:t>wordt genomen</w:t>
      </w:r>
      <w:r w:rsidRPr="00B21FAC">
        <w:t>.</w:t>
      </w:r>
    </w:p>
    <w:p w14:paraId="7C1C6A67" w14:textId="77777777" w:rsidR="00A57A2D" w:rsidRPr="00B21FAC" w:rsidRDefault="00A57A2D" w:rsidP="00BA7E3E">
      <w:pPr>
        <w:pStyle w:val="Lijstalinea"/>
        <w:spacing w:after="0"/>
        <w:ind w:left="2124"/>
        <w:jc w:val="both"/>
      </w:pPr>
    </w:p>
    <w:p w14:paraId="692AFE35" w14:textId="5A7135F5" w:rsidR="00A57A2D" w:rsidRPr="00B21FAC" w:rsidRDefault="00A57A2D" w:rsidP="00BA7E3E">
      <w:pPr>
        <w:pStyle w:val="Lijstalinea"/>
        <w:spacing w:after="0"/>
        <w:ind w:left="2124"/>
        <w:jc w:val="both"/>
      </w:pPr>
      <w:r w:rsidRPr="00B21FAC">
        <w:rPr>
          <w:u w:val="single"/>
        </w:rPr>
        <w:t>PM:</w:t>
      </w:r>
      <w:r w:rsidRPr="00B21FAC">
        <w:t xml:space="preserve"> Ook </w:t>
      </w:r>
      <w:r w:rsidR="00725D3E">
        <w:t xml:space="preserve">voor </w:t>
      </w:r>
      <w:r w:rsidRPr="00B21FAC">
        <w:t xml:space="preserve">wat het voordeel betreft dat verband houdt met de toekenning van </w:t>
      </w:r>
      <w:r w:rsidRPr="00B21FAC">
        <w:rPr>
          <w:i/>
          <w:iCs/>
        </w:rPr>
        <w:t>aandelenopties</w:t>
      </w:r>
      <w:r w:rsidRPr="00B21FAC">
        <w:t xml:space="preserve"> (en warrants), is er nood aan verdere reflectie. </w:t>
      </w:r>
    </w:p>
    <w:p w14:paraId="450D0CFA" w14:textId="3C60FC03" w:rsidR="00116045" w:rsidRDefault="00116045" w:rsidP="00BA7E3E">
      <w:pPr>
        <w:pStyle w:val="Lijstalinea"/>
        <w:spacing w:after="0"/>
        <w:ind w:left="2124"/>
        <w:jc w:val="both"/>
      </w:pPr>
    </w:p>
    <w:p w14:paraId="57F082A6" w14:textId="77777777" w:rsidR="00974DFB" w:rsidRDefault="0032729F" w:rsidP="00BA7E3E">
      <w:pPr>
        <w:pStyle w:val="Lijstalinea"/>
        <w:spacing w:after="0"/>
        <w:ind w:left="2124"/>
        <w:jc w:val="both"/>
      </w:pPr>
      <w:r>
        <w:t>De huidige regeling is opgenomen in de Wet van 26 maart 1999 betreffende het Belgische actieplan voor de werkgelegenheid 1998 en houdende diverse bepalingen (Optiewet).</w:t>
      </w:r>
      <w:r w:rsidR="006F1580">
        <w:t xml:space="preserve"> </w:t>
      </w:r>
      <w:r w:rsidR="0074683C">
        <w:t>Middels deze wet betrachtte de wetgever rechtszekerheid te creëren</w:t>
      </w:r>
      <w:r w:rsidR="00974DFB">
        <w:t xml:space="preserve">, nadat jarenlang betwistingen werden gevoerd omtrent het belastbaar tijdstip en omtrent de bepaling van de belastbare grondslag. </w:t>
      </w:r>
    </w:p>
    <w:p w14:paraId="20CB2001" w14:textId="77777777" w:rsidR="00974DFB" w:rsidRDefault="00974DFB" w:rsidP="00BA7E3E">
      <w:pPr>
        <w:pStyle w:val="Lijstalinea"/>
        <w:spacing w:after="0"/>
        <w:ind w:left="2124"/>
        <w:jc w:val="both"/>
      </w:pPr>
    </w:p>
    <w:p w14:paraId="6FB0D7F4" w14:textId="7992B3C6" w:rsidR="009A036B" w:rsidRDefault="00404880" w:rsidP="00BA7E3E">
      <w:pPr>
        <w:pStyle w:val="Lijstalinea"/>
        <w:spacing w:after="0"/>
        <w:ind w:left="2124"/>
        <w:jc w:val="both"/>
      </w:pPr>
      <w:r>
        <w:t>Het stelsel komt er (beknopt gesteld) op neer</w:t>
      </w:r>
      <w:r w:rsidR="008D61D9">
        <w:t xml:space="preserve"> dat </w:t>
      </w:r>
      <w:r w:rsidR="00B91F3B">
        <w:t xml:space="preserve">de werknemer belast wordt op het moment van de toekenning van de opties, waarbij het voordeel </w:t>
      </w:r>
      <w:r w:rsidR="00950643">
        <w:t xml:space="preserve">(voor niet genoteerde opties) </w:t>
      </w:r>
      <w:r w:rsidR="00B91F3B">
        <w:t xml:space="preserve">forfaitair </w:t>
      </w:r>
      <w:r w:rsidR="00806FA4">
        <w:t>gewaardeerd wordt op 18% van de waarde van de onderliggende aandelen bij aanbod.</w:t>
      </w:r>
      <w:r w:rsidR="00950643">
        <w:t xml:space="preserve"> Het forfaitaire voordeel kan tot de helft herleid worden, mits aan een aantal voorwaarden is voldaan.</w:t>
      </w:r>
    </w:p>
    <w:p w14:paraId="3F6666EF" w14:textId="56088BB5" w:rsidR="009A036B" w:rsidRDefault="009A036B" w:rsidP="00BA7E3E">
      <w:pPr>
        <w:pStyle w:val="Lijstalinea"/>
        <w:spacing w:after="0"/>
        <w:ind w:left="2124"/>
        <w:jc w:val="both"/>
      </w:pPr>
    </w:p>
    <w:p w14:paraId="31671CC8" w14:textId="641820CC" w:rsidR="00A57A2D" w:rsidRPr="00B21FAC" w:rsidRDefault="00A57A2D" w:rsidP="00BA7E3E">
      <w:pPr>
        <w:pStyle w:val="Lijstalinea"/>
        <w:spacing w:after="0"/>
        <w:ind w:left="2124"/>
        <w:jc w:val="both"/>
      </w:pPr>
      <w:r w:rsidRPr="00B21FAC">
        <w:t xml:space="preserve">In zijn advies van februari 2013 heeft de Hoge Raad van Financiën de </w:t>
      </w:r>
      <w:r w:rsidR="00DC1671">
        <w:t>draagwijdte van de Optiewet opnieuw onderzocht</w:t>
      </w:r>
      <w:r w:rsidRPr="00B21FAC">
        <w:t xml:space="preserve">, n.a.v. een door de fiscale administratie geformuleerd voorstel om (i) het belastbaar tijdstip (in alle gevallen) te plaatsen op het moment van de uitoefening of overdracht en (ii) het belastbaar bedrag gelijk </w:t>
      </w:r>
      <w:r w:rsidR="00291862">
        <w:t xml:space="preserve">te </w:t>
      </w:r>
      <w:r w:rsidRPr="00B21FAC">
        <w:t xml:space="preserve">stellen met de waarde van de bij de uitoefening van de opties verkregen aandelen (verminderd met de uitoefenprijs) of van het bij vervreemding van de opties verkregen bedrag. </w:t>
      </w:r>
    </w:p>
    <w:p w14:paraId="2FBF3217" w14:textId="77777777" w:rsidR="00602904" w:rsidRPr="00B21FAC" w:rsidRDefault="00602904" w:rsidP="00BA7E3E">
      <w:pPr>
        <w:pStyle w:val="Lijstalinea"/>
        <w:spacing w:after="0"/>
        <w:ind w:left="2124"/>
        <w:jc w:val="both"/>
      </w:pPr>
    </w:p>
    <w:p w14:paraId="5BC80337" w14:textId="54F173DF" w:rsidR="00A57A2D" w:rsidRPr="00B21FAC" w:rsidRDefault="00A57A2D" w:rsidP="00BA7E3E">
      <w:pPr>
        <w:pStyle w:val="Lijstalinea"/>
        <w:spacing w:after="0"/>
        <w:ind w:left="2124"/>
        <w:jc w:val="both"/>
      </w:pPr>
      <w:r w:rsidRPr="00B21FAC">
        <w:t>De HRF wees er destijds op dat het probleem met het belastingstelsel niet het moment van de belastingheffing zou zijn, maar wel de waardering van de fiscale en parafiscale belastbare grondslag. Daarnaast wordt ook melding gemaakt van mogelijke praktijken die afwijken van de economische bestaansreden en initiële doelstellingen van de wetgever.</w:t>
      </w:r>
    </w:p>
    <w:p w14:paraId="4DF711D8" w14:textId="77777777" w:rsidR="00602904" w:rsidRPr="00B21FAC" w:rsidRDefault="00602904" w:rsidP="00BA7E3E">
      <w:pPr>
        <w:pStyle w:val="Lijstalinea"/>
        <w:spacing w:after="0"/>
        <w:ind w:left="2124"/>
        <w:jc w:val="both"/>
      </w:pPr>
    </w:p>
    <w:p w14:paraId="233037AA" w14:textId="0CAF26A0" w:rsidR="00A57A2D" w:rsidRPr="00B21FAC" w:rsidRDefault="00A57A2D" w:rsidP="00BA7E3E">
      <w:pPr>
        <w:pStyle w:val="Lijstalinea"/>
        <w:spacing w:after="0"/>
        <w:ind w:left="2124"/>
        <w:jc w:val="both"/>
      </w:pPr>
      <w:r w:rsidRPr="00B21FAC">
        <w:t xml:space="preserve">In het licht hiervan </w:t>
      </w:r>
      <w:r w:rsidR="00C624FD">
        <w:t>leek</w:t>
      </w:r>
      <w:r w:rsidR="00C624FD" w:rsidRPr="00B21FAC">
        <w:t xml:space="preserve"> </w:t>
      </w:r>
      <w:r w:rsidRPr="00B21FAC">
        <w:t xml:space="preserve">de HRF </w:t>
      </w:r>
      <w:r w:rsidR="00C624FD">
        <w:t xml:space="preserve">er </w:t>
      </w:r>
      <w:r w:rsidRPr="00B21FAC">
        <w:t xml:space="preserve">dan ook voorstander </w:t>
      </w:r>
      <w:r w:rsidR="00C624FD">
        <w:t xml:space="preserve">van </w:t>
      </w:r>
      <w:r w:rsidRPr="00B21FAC">
        <w:t>om de regeling in die zin aan te passen, dat opnieuw wordt aangesloten bij de initiële doelstelling die de wetgever voor ogen had, te weten het concurrentieel aantrekkelijk belonen van het hogere personeel van (vooral) groeiondernemingen in zeer concurrentiële groeisectoren. Daarbij werd ook het belang van dergelijke ondernemingen voor de werkgelegenheid en het behoud of de ontwikkeling van gespecialiseerde knowhow benadrukt.</w:t>
      </w:r>
      <w:r w:rsidRPr="00B21FAC">
        <w:rPr>
          <w:rStyle w:val="Voetnootmarkering"/>
        </w:rPr>
        <w:footnoteReference w:id="5"/>
      </w:r>
    </w:p>
    <w:p w14:paraId="0033E44C" w14:textId="77777777" w:rsidR="00602904" w:rsidRPr="00B21FAC" w:rsidRDefault="00602904" w:rsidP="00BA7E3E">
      <w:pPr>
        <w:pStyle w:val="Lijstalinea"/>
        <w:spacing w:after="0"/>
        <w:ind w:left="2124"/>
        <w:jc w:val="both"/>
      </w:pPr>
    </w:p>
    <w:p w14:paraId="0BD430B4" w14:textId="36698CE9" w:rsidR="00A57A2D" w:rsidRPr="00B21FAC" w:rsidRDefault="00A57A2D" w:rsidP="00BA7E3E">
      <w:pPr>
        <w:pStyle w:val="Lijstalinea"/>
        <w:spacing w:after="0"/>
        <w:ind w:left="2124"/>
        <w:jc w:val="both"/>
      </w:pPr>
      <w:r w:rsidRPr="00B21FAC">
        <w:t xml:space="preserve">Dat het stelsel op zich zou moeten behouden worden als een bijzondere ‘incentive’ om het hogere personeel aantrekkelijker te kunnen belonen, lijkt vanuit economisch oogpunt in vraag te moeten worden gesteld. In de mate de hervorming kan leiden tot een substantiële verlaging van de lasten op arbeid (desgevallend middels flankerende maatregelen op het vlak van de sociale bijdragen), boet ook het argument van de internationale competitie enigszins aan belang in. </w:t>
      </w:r>
    </w:p>
    <w:p w14:paraId="174CFF33" w14:textId="77777777" w:rsidR="00602904" w:rsidRPr="00B21FAC" w:rsidRDefault="00602904" w:rsidP="00BA7E3E">
      <w:pPr>
        <w:pStyle w:val="Lijstalinea"/>
        <w:spacing w:after="0"/>
        <w:ind w:left="2124"/>
        <w:jc w:val="both"/>
      </w:pPr>
    </w:p>
    <w:p w14:paraId="665D28DA" w14:textId="0A4F96BF" w:rsidR="00A57A2D" w:rsidRPr="00B21FAC" w:rsidRDefault="00A57A2D" w:rsidP="00BA7E3E">
      <w:pPr>
        <w:pStyle w:val="Lijstalinea"/>
        <w:spacing w:after="0"/>
        <w:ind w:left="2124"/>
        <w:jc w:val="both"/>
      </w:pPr>
      <w:r w:rsidRPr="00B21FAC">
        <w:t xml:space="preserve">Dit neemt echter niet weg dat uit de praktijk </w:t>
      </w:r>
      <w:r w:rsidR="006609C5">
        <w:t xml:space="preserve">zou kunnen blijken </w:t>
      </w:r>
      <w:r w:rsidRPr="00B21FAC">
        <w:t xml:space="preserve">dat het vaak noodzakelijk is om de belangrijkste topkaderleden toe </w:t>
      </w:r>
      <w:r w:rsidR="00212E05" w:rsidRPr="00B21FAC">
        <w:t xml:space="preserve">te </w:t>
      </w:r>
      <w:r w:rsidRPr="00B21FAC">
        <w:t>laten tot het aandeelhouderschap van de onderneming en hen op die manier (ook wat de vermogensopbouw betreft) aan de onderneming te binden.</w:t>
      </w:r>
    </w:p>
    <w:p w14:paraId="1544CCC9" w14:textId="77777777" w:rsidR="00AC3665" w:rsidRPr="00B21FAC" w:rsidRDefault="00AC3665" w:rsidP="00BA7E3E">
      <w:pPr>
        <w:pStyle w:val="Lijstalinea"/>
        <w:spacing w:after="0"/>
        <w:ind w:left="2124"/>
        <w:jc w:val="both"/>
      </w:pPr>
    </w:p>
    <w:p w14:paraId="1EF52DA1" w14:textId="2A56D788" w:rsidR="00A57A2D" w:rsidRPr="00B21FAC" w:rsidRDefault="00A57A2D" w:rsidP="00BA7E3E">
      <w:pPr>
        <w:pStyle w:val="Lijstalinea"/>
        <w:spacing w:after="0"/>
        <w:ind w:left="2124"/>
        <w:jc w:val="both"/>
      </w:pPr>
      <w:r w:rsidRPr="00B21FAC">
        <w:t xml:space="preserve">Hiermee rekening houdend </w:t>
      </w:r>
      <w:r w:rsidR="00917AB9">
        <w:t>zou</w:t>
      </w:r>
      <w:r w:rsidR="00917AB9" w:rsidRPr="00B21FAC">
        <w:t xml:space="preserve"> </w:t>
      </w:r>
      <w:r w:rsidRPr="00B21FAC">
        <w:t>dan ook</w:t>
      </w:r>
      <w:r w:rsidR="00F4476A">
        <w:t>, binnen de gestelde premissen,</w:t>
      </w:r>
      <w:r w:rsidRPr="00B21FAC">
        <w:t xml:space="preserve"> voorgesteld </w:t>
      </w:r>
      <w:r w:rsidR="00917AB9">
        <w:t xml:space="preserve">kunnen worden </w:t>
      </w:r>
      <w:r w:rsidRPr="00B21FAC">
        <w:t>om:</w:t>
      </w:r>
    </w:p>
    <w:p w14:paraId="3EE44BAF" w14:textId="77777777" w:rsidR="00A57A2D" w:rsidRPr="00B21FAC" w:rsidRDefault="00A57A2D" w:rsidP="00BA7E3E">
      <w:pPr>
        <w:pStyle w:val="Lijstalinea"/>
        <w:numPr>
          <w:ilvl w:val="3"/>
          <w:numId w:val="15"/>
        </w:numPr>
        <w:spacing w:after="0"/>
        <w:jc w:val="both"/>
      </w:pPr>
      <w:r w:rsidRPr="00B21FAC">
        <w:t>het toepassingsgebied van de aandelenoptiewet te beperken tot opties die betrekking hebben op de aandelen van de eigenlijke werkgever, waarbij geen bedingen zijn opgenomen die ertoe strekken een zeker voordeel aan de begunstigde te verlenen;</w:t>
      </w:r>
    </w:p>
    <w:p w14:paraId="57385C61" w14:textId="77777777" w:rsidR="00A57A2D" w:rsidRPr="00B21FAC" w:rsidRDefault="00A57A2D" w:rsidP="00BA7E3E">
      <w:pPr>
        <w:pStyle w:val="Lijstalinea"/>
        <w:numPr>
          <w:ilvl w:val="3"/>
          <w:numId w:val="15"/>
        </w:numPr>
        <w:spacing w:after="0"/>
        <w:jc w:val="both"/>
      </w:pPr>
      <w:r w:rsidRPr="00B21FAC">
        <w:t>verloning via de toekenning van opties (of warrants) voor het overige op dezelfde wijze te behandelen als een verloning in euro’s, hetgeen impliceert dat de werkelijke waarde van het voordeel aan het normale regime moet worden onderworpen;</w:t>
      </w:r>
    </w:p>
    <w:p w14:paraId="283CCCFB" w14:textId="5C8DBDE7" w:rsidR="00A57A2D" w:rsidRPr="00B21FAC" w:rsidRDefault="00A57A2D" w:rsidP="00BA7E3E">
      <w:pPr>
        <w:pStyle w:val="Lijstalinea"/>
        <w:numPr>
          <w:ilvl w:val="3"/>
          <w:numId w:val="15"/>
        </w:numPr>
        <w:spacing w:after="0"/>
        <w:jc w:val="both"/>
      </w:pPr>
      <w:r w:rsidRPr="00B21FAC">
        <w:t xml:space="preserve">het principe van de </w:t>
      </w:r>
      <w:r w:rsidR="00B46C75">
        <w:t>belastingheffing</w:t>
      </w:r>
      <w:r w:rsidRPr="00B21FAC">
        <w:t xml:space="preserve"> bij toekenning uitsluitend te behouden in de hypothese dat de toekenning onvoorwaardelijk en definitief is. Voor zover dit niet het geval zou zijn, is het logischer de belastbaarheid te situeren op het ogenblik van de uitoefening.</w:t>
      </w:r>
    </w:p>
    <w:p w14:paraId="08D034EA" w14:textId="77777777" w:rsidR="00AC3665" w:rsidRPr="00B21FAC" w:rsidRDefault="00AC3665" w:rsidP="00BA7E3E">
      <w:pPr>
        <w:pStyle w:val="Lijstalinea"/>
        <w:spacing w:after="0"/>
        <w:ind w:left="2127"/>
        <w:jc w:val="both"/>
      </w:pPr>
    </w:p>
    <w:p w14:paraId="26AD52A4" w14:textId="5B6B728F" w:rsidR="00A57A2D" w:rsidRPr="00B21FAC" w:rsidRDefault="00F86400" w:rsidP="00BA7E3E">
      <w:pPr>
        <w:pStyle w:val="Lijstalinea"/>
        <w:spacing w:after="0"/>
        <w:ind w:left="2127"/>
        <w:jc w:val="both"/>
      </w:pPr>
      <w:r>
        <w:t>C</w:t>
      </w:r>
      <w:r w:rsidR="00A57A2D" w:rsidRPr="00B21FAC">
        <w:t xml:space="preserve">onform </w:t>
      </w:r>
      <w:r w:rsidR="00725D3E">
        <w:t>de principes uiteengezet in het luik m.b.t. vermogensinkomsten</w:t>
      </w:r>
      <w:r w:rsidR="00A57A2D" w:rsidRPr="00B21FAC">
        <w:t xml:space="preserve">, wordt ook de latere meerwaarde </w:t>
      </w:r>
      <w:r w:rsidR="005D5657">
        <w:t xml:space="preserve">principieel </w:t>
      </w:r>
      <w:r w:rsidR="00A57A2D" w:rsidRPr="00B21FAC">
        <w:t>belastbaar. Concreet betekent dit dat (i) bij definitieve en onvoorwaardelijke toekenning van de optie de waarde in voorkomend geval belast wordt als een activiteitsinkomen, (ii) de uitoefening van de optie een fiscaal neutrale verrichting vormt en (iii) de latere verkoop van het aandeel aanleiding kan geven tot een meerwaardebelasting voor zover en in de mate de verkoopprijs van het aandeel de betaalde uitoefenprijs van de optie overstijgt.</w:t>
      </w:r>
    </w:p>
    <w:p w14:paraId="11227CE1" w14:textId="77777777" w:rsidR="00A57A2D" w:rsidRPr="00B21FAC" w:rsidRDefault="00A57A2D" w:rsidP="00BA7E3E">
      <w:pPr>
        <w:pStyle w:val="Lijstalinea"/>
        <w:spacing w:after="0"/>
        <w:ind w:left="2160"/>
        <w:jc w:val="both"/>
      </w:pPr>
    </w:p>
    <w:p w14:paraId="731D6C32" w14:textId="4416C053" w:rsidR="00A57A2D" w:rsidRPr="00B21FAC" w:rsidRDefault="00A57A2D" w:rsidP="00BA7E3E">
      <w:pPr>
        <w:pStyle w:val="Lijstalinea"/>
        <w:spacing w:after="0"/>
        <w:ind w:left="1418"/>
        <w:jc w:val="both"/>
      </w:pPr>
      <w:r w:rsidRPr="00B21FAC">
        <w:rPr>
          <w:u w:val="single"/>
        </w:rPr>
        <w:t>PM:</w:t>
      </w:r>
      <w:r w:rsidRPr="00B21FAC">
        <w:t xml:space="preserve"> </w:t>
      </w:r>
      <w:r w:rsidR="00725D3E">
        <w:t>H</w:t>
      </w:r>
      <w:r w:rsidRPr="00B21FAC">
        <w:t>et beginsel van de neutraliteit vereist dat alle lasten die verband houden met de toekenning van de bezoldigingen in hoofde van de werkgever/vennootschap aftrekbaar zijn. In het licht van de hier vooropgestelde oefening, dient bijgevolg ook deze reflectie in de hervorming te worden betrokken.</w:t>
      </w:r>
    </w:p>
    <w:p w14:paraId="4ACCBDAA" w14:textId="77777777" w:rsidR="00A57A2D" w:rsidRPr="00B21FAC" w:rsidRDefault="00A57A2D" w:rsidP="00BA7E3E">
      <w:pPr>
        <w:pStyle w:val="Lijstalinea"/>
        <w:spacing w:after="0"/>
        <w:jc w:val="both"/>
      </w:pPr>
    </w:p>
    <w:p w14:paraId="2B94F435" w14:textId="77777777" w:rsidR="00A57A2D" w:rsidRPr="00B21FAC" w:rsidRDefault="00A57A2D" w:rsidP="00BA7E3E">
      <w:pPr>
        <w:pStyle w:val="Lijstalinea"/>
        <w:numPr>
          <w:ilvl w:val="1"/>
          <w:numId w:val="15"/>
        </w:numPr>
        <w:spacing w:after="0"/>
        <w:jc w:val="both"/>
        <w:rPr>
          <w:b/>
          <w:bCs/>
        </w:rPr>
      </w:pPr>
      <w:r w:rsidRPr="00B21FAC">
        <w:rPr>
          <w:b/>
          <w:bCs/>
        </w:rPr>
        <w:t>Onafhankelijk van het statuut waarin de vergoeding voor arbeid wordt verkregen</w:t>
      </w:r>
    </w:p>
    <w:p w14:paraId="0C6959BE" w14:textId="77777777" w:rsidR="00A57A2D" w:rsidRPr="00B21FAC" w:rsidRDefault="00A57A2D" w:rsidP="00BA7E3E">
      <w:pPr>
        <w:pStyle w:val="Lijstalinea"/>
        <w:spacing w:after="0"/>
        <w:ind w:left="1440"/>
        <w:jc w:val="both"/>
      </w:pPr>
    </w:p>
    <w:p w14:paraId="40A48240" w14:textId="37DD0AF7" w:rsidR="00A57A2D" w:rsidRPr="00B21FAC" w:rsidRDefault="00A57A2D" w:rsidP="00BA7E3E">
      <w:pPr>
        <w:pStyle w:val="Lijstalinea"/>
        <w:spacing w:after="0"/>
        <w:ind w:left="1418"/>
        <w:jc w:val="both"/>
      </w:pPr>
      <w:r w:rsidRPr="00B21FAC">
        <w:t>Dit betekent dat er moet overwogen worden om allerhande nevenstelsels op te heffen, zoals o.m.:</w:t>
      </w:r>
    </w:p>
    <w:p w14:paraId="02259BE2" w14:textId="66D74BE1" w:rsidR="00A57A2D" w:rsidRPr="00B21FAC" w:rsidRDefault="00A57A2D" w:rsidP="00BA7E3E">
      <w:pPr>
        <w:pStyle w:val="Lijstalinea"/>
        <w:numPr>
          <w:ilvl w:val="0"/>
          <w:numId w:val="17"/>
        </w:numPr>
        <w:spacing w:after="0"/>
        <w:ind w:left="1843"/>
        <w:jc w:val="both"/>
      </w:pPr>
      <w:r w:rsidRPr="00B21FAC">
        <w:t>auteursrechten (artikel 37, lid 2 WIB92)</w:t>
      </w:r>
    </w:p>
    <w:p w14:paraId="77D9DD47" w14:textId="6C86F032" w:rsidR="00A57A2D" w:rsidRPr="00B21FAC" w:rsidRDefault="00374DB6" w:rsidP="00BA7E3E">
      <w:pPr>
        <w:pStyle w:val="Lijstalinea"/>
        <w:numPr>
          <w:ilvl w:val="0"/>
          <w:numId w:val="17"/>
        </w:numPr>
        <w:spacing w:after="0"/>
        <w:ind w:left="1843"/>
        <w:jc w:val="both"/>
      </w:pPr>
      <w:r>
        <w:t>f</w:t>
      </w:r>
      <w:r w:rsidR="00A57A2D" w:rsidRPr="00B21FAC">
        <w:t>orfaitaire vergoedingen aan kunstenaars (art. 38, § 1, lid 1, 23° WIB92)</w:t>
      </w:r>
    </w:p>
    <w:p w14:paraId="7C0AE520" w14:textId="0FB998DD" w:rsidR="00A57A2D" w:rsidRPr="00B21FAC" w:rsidRDefault="00374DB6" w:rsidP="00BA7E3E">
      <w:pPr>
        <w:pStyle w:val="Lijstalinea"/>
        <w:numPr>
          <w:ilvl w:val="0"/>
          <w:numId w:val="17"/>
        </w:numPr>
        <w:spacing w:after="0"/>
        <w:ind w:left="1843"/>
        <w:jc w:val="both"/>
        <w:rPr>
          <w:lang w:val="en-GB"/>
        </w:rPr>
      </w:pPr>
      <w:r>
        <w:rPr>
          <w:lang w:val="en-GB"/>
        </w:rPr>
        <w:t>f</w:t>
      </w:r>
      <w:r w:rsidR="00A57A2D" w:rsidRPr="00B21FAC">
        <w:rPr>
          <w:lang w:val="en-GB"/>
        </w:rPr>
        <w:t>lexi-jobs (art. 38, § 1, lid 1, 29° WIB92)</w:t>
      </w:r>
    </w:p>
    <w:p w14:paraId="490508F7" w14:textId="5E2A22EF" w:rsidR="00A57A2D" w:rsidRPr="00B21FAC" w:rsidRDefault="00374DB6" w:rsidP="00BA7E3E">
      <w:pPr>
        <w:pStyle w:val="Lijstalinea"/>
        <w:numPr>
          <w:ilvl w:val="0"/>
          <w:numId w:val="17"/>
        </w:numPr>
        <w:spacing w:after="0"/>
        <w:ind w:left="1843"/>
        <w:jc w:val="both"/>
      </w:pPr>
      <w:r>
        <w:t>o</w:t>
      </w:r>
      <w:r w:rsidR="00A57A2D" w:rsidRPr="00B21FAC">
        <w:t>veruren in de horeca (art. 38, §1, lid 1, 30° WIB92)</w:t>
      </w:r>
    </w:p>
    <w:p w14:paraId="6135CDCF" w14:textId="118B2410" w:rsidR="00A57A2D" w:rsidRPr="00B21FAC" w:rsidRDefault="00A57A2D" w:rsidP="00BA7E3E">
      <w:pPr>
        <w:pStyle w:val="Lijstalinea"/>
        <w:numPr>
          <w:ilvl w:val="0"/>
          <w:numId w:val="17"/>
        </w:numPr>
        <w:spacing w:after="0"/>
        <w:ind w:left="1843"/>
        <w:jc w:val="both"/>
      </w:pPr>
      <w:r w:rsidRPr="00B21FAC">
        <w:t>deeleconomie (artikel 90, lid 1, 1°bis WIB92)</w:t>
      </w:r>
    </w:p>
    <w:p w14:paraId="6825757C" w14:textId="21F3293F" w:rsidR="00A57A2D" w:rsidRPr="00B21FAC" w:rsidRDefault="00A57A2D" w:rsidP="00BA7E3E">
      <w:pPr>
        <w:pStyle w:val="Lijstalinea"/>
        <w:numPr>
          <w:ilvl w:val="0"/>
          <w:numId w:val="17"/>
        </w:numPr>
        <w:spacing w:after="0"/>
        <w:ind w:left="1843"/>
        <w:jc w:val="both"/>
      </w:pPr>
      <w:r w:rsidRPr="00B21FAC">
        <w:t>verenigingswerk (artikel 90, lid 1, 1°ter WIB92)</w:t>
      </w:r>
    </w:p>
    <w:p w14:paraId="0018F67C" w14:textId="0882088B" w:rsidR="00A57A2D" w:rsidRPr="00B21FAC" w:rsidRDefault="00374DB6" w:rsidP="00BA7E3E">
      <w:pPr>
        <w:pStyle w:val="Lijstalinea"/>
        <w:numPr>
          <w:ilvl w:val="0"/>
          <w:numId w:val="17"/>
        </w:numPr>
        <w:spacing w:after="0"/>
        <w:ind w:left="1843"/>
        <w:jc w:val="both"/>
      </w:pPr>
      <w:r>
        <w:t>g</w:t>
      </w:r>
      <w:r w:rsidR="00A57A2D" w:rsidRPr="00B21FAC">
        <w:t>elegenheidswerk in de horecasector (art. 171, 1°, e) WIB92 – art. 31ter, al. 2 KB 28 november 1969)</w:t>
      </w:r>
    </w:p>
    <w:p w14:paraId="58B49DC1" w14:textId="7F8E67E0" w:rsidR="00A57A2D" w:rsidRPr="00B21FAC" w:rsidRDefault="00374DB6" w:rsidP="00BA7E3E">
      <w:pPr>
        <w:pStyle w:val="Lijstalinea"/>
        <w:numPr>
          <w:ilvl w:val="0"/>
          <w:numId w:val="17"/>
        </w:numPr>
        <w:spacing w:after="0"/>
        <w:ind w:left="1843"/>
        <w:jc w:val="both"/>
      </w:pPr>
      <w:r>
        <w:t>s</w:t>
      </w:r>
      <w:r w:rsidR="00A57A2D" w:rsidRPr="00B21FAC">
        <w:t>portbeoefenaars, scheidsrechter, trainers,… (art. 171, 1°, i) en 171, 4°, j) WIB92)</w:t>
      </w:r>
    </w:p>
    <w:p w14:paraId="1D7CF7E9" w14:textId="77777777" w:rsidR="00A57A2D" w:rsidRPr="00B21FAC" w:rsidRDefault="00A57A2D" w:rsidP="00BA7E3E">
      <w:pPr>
        <w:spacing w:after="0"/>
      </w:pPr>
    </w:p>
    <w:p w14:paraId="5E3F766A" w14:textId="6D6CABD1" w:rsidR="00A57A2D" w:rsidRPr="00B21FAC" w:rsidRDefault="00A57A2D" w:rsidP="00BA7E3E">
      <w:pPr>
        <w:pStyle w:val="Lijstalinea"/>
        <w:spacing w:after="0"/>
        <w:ind w:left="1418"/>
        <w:jc w:val="both"/>
      </w:pPr>
      <w:r w:rsidRPr="00B21FAC">
        <w:rPr>
          <w:u w:val="single"/>
        </w:rPr>
        <w:t>PM:</w:t>
      </w:r>
      <w:r w:rsidRPr="00B21FAC">
        <w:t xml:space="preserve"> Het voorgaande doet </w:t>
      </w:r>
      <w:r w:rsidR="00372441">
        <w:t xml:space="preserve">ook hier </w:t>
      </w:r>
      <w:r w:rsidRPr="00B21FAC">
        <w:t xml:space="preserve">geen afbreuk aan het feit dat </w:t>
      </w:r>
      <w:r w:rsidR="00182620">
        <w:t xml:space="preserve">bij het uitwerken van een fiscale hervorming </w:t>
      </w:r>
      <w:r w:rsidRPr="00B21FAC">
        <w:t xml:space="preserve">de oorspronkelijke doelstellingen die verband houden met deze diverse regimes </w:t>
      </w:r>
      <w:r w:rsidR="00182620">
        <w:t>toch nog in</w:t>
      </w:r>
      <w:r w:rsidR="00182620" w:rsidRPr="00B21FAC">
        <w:t xml:space="preserve"> </w:t>
      </w:r>
      <w:r w:rsidRPr="00B21FAC">
        <w:t xml:space="preserve">rekening </w:t>
      </w:r>
      <w:r w:rsidR="004457A2">
        <w:t>zouden kunnen gebracht worden</w:t>
      </w:r>
      <w:r w:rsidRPr="00B21FAC">
        <w:t xml:space="preserve">. De betrachting moet wel overheersen om dit conceptueel op een zuivere wijze te doen. Illustratief is de regeling rond de auteursrechten die mede gemotiveerd </w:t>
      </w:r>
      <w:r w:rsidR="009975DD">
        <w:t>wordt</w:t>
      </w:r>
      <w:r w:rsidR="009975DD" w:rsidRPr="00B21FAC">
        <w:t xml:space="preserve"> </w:t>
      </w:r>
      <w:r w:rsidRPr="00B21FAC">
        <w:t xml:space="preserve">vanuit het inzicht dat een aantal ‘auteurs’ op korte termijn inkomsten realiseren die de vertolking vormen van arbeidsprestaties die zich soms over meerdere jaren uitstrekken. Deze doelstelling kan ‘doelgerichter’ ingevuld worden middels de toepassing (in duidelijk afgelijnde gevallen) van een ‘gemiddeld tarief’. Het basisprincipe, met name dat elk zogenaamd ‘auteursrecht’ behaald in het kader van een onderliggende beroepsactiviteit </w:t>
      </w:r>
      <w:r w:rsidR="003356C8">
        <w:t xml:space="preserve">principieel </w:t>
      </w:r>
      <w:r w:rsidRPr="00B21FAC">
        <w:t>als een belastbaar beroepsinkomen moet worden beschouwd, dient evenwel stand te houden.</w:t>
      </w:r>
    </w:p>
    <w:p w14:paraId="43AEB95E" w14:textId="77777777" w:rsidR="00A57A2D" w:rsidRPr="00B21FAC" w:rsidRDefault="00A57A2D" w:rsidP="00BA7E3E">
      <w:pPr>
        <w:pStyle w:val="Lijstalinea"/>
        <w:spacing w:after="0"/>
        <w:ind w:left="1418"/>
        <w:jc w:val="both"/>
      </w:pPr>
    </w:p>
    <w:p w14:paraId="210A2477" w14:textId="1F2B9ECA" w:rsidR="00A57A2D" w:rsidRPr="00B21FAC" w:rsidRDefault="00B73FEE" w:rsidP="00BA7E3E">
      <w:pPr>
        <w:pStyle w:val="Lijstalinea"/>
        <w:spacing w:after="0"/>
        <w:ind w:left="1418"/>
        <w:jc w:val="both"/>
      </w:pPr>
      <w:r w:rsidRPr="00B21FAC">
        <w:rPr>
          <w:u w:val="single"/>
        </w:rPr>
        <w:t>PM:</w:t>
      </w:r>
      <w:r w:rsidRPr="00B21FAC">
        <w:t xml:space="preserve"> </w:t>
      </w:r>
      <w:r w:rsidR="00A57A2D" w:rsidRPr="00B21FAC">
        <w:t xml:space="preserve">De keuze om alle activiteitsinkomsten op dezelfde wijze te belasten, onafhankelijk van het statuut, heeft nog andere consequenties. Conceptueel betekent dit dat het onderscheid tussen ‘diverse’ inkomsten (inz. inkomsten uit activiteiten, met uitsluiting dus van vermogensinkomsten) en beroepsinkomsten verdwijnt. ‘Toevallige winsten of baten’ die verband houden met verrichte arbeidsprestaties, worden dus voortaan als ‘winst’ belast. </w:t>
      </w:r>
    </w:p>
    <w:p w14:paraId="601C5A48" w14:textId="77777777" w:rsidR="000F2CA1" w:rsidRPr="00B21FAC" w:rsidRDefault="000F2CA1" w:rsidP="00BA7E3E">
      <w:pPr>
        <w:pStyle w:val="Lijstalinea"/>
        <w:spacing w:after="0"/>
        <w:ind w:left="1418"/>
        <w:jc w:val="both"/>
      </w:pPr>
    </w:p>
    <w:p w14:paraId="1D25B07D" w14:textId="77A2158B" w:rsidR="00A57A2D" w:rsidRPr="00B21FAC" w:rsidRDefault="00A57A2D" w:rsidP="00BA7E3E">
      <w:pPr>
        <w:pStyle w:val="Lijstalinea"/>
        <w:spacing w:after="0"/>
        <w:ind w:left="1418"/>
        <w:jc w:val="both"/>
      </w:pPr>
      <w:r w:rsidRPr="00B21FAC">
        <w:t>Het onderscheid tussen professionele winsten en niet-professionele winsten, blijft niettemin van belang. Zo is het (</w:t>
      </w:r>
      <w:r w:rsidRPr="00B21FAC">
        <w:rPr>
          <w:i/>
          <w:iCs/>
        </w:rPr>
        <w:t>rebus sic stantibus</w:t>
      </w:r>
      <w:r w:rsidRPr="00B21FAC">
        <w:t xml:space="preserve">) alvast niet de bedoeling dat op de activiteitsinkomsten behaald buiten de professionele sfeer sociale bijdragen verschuldigd worden. </w:t>
      </w:r>
      <w:r w:rsidR="008F0A74">
        <w:t xml:space="preserve">Een </w:t>
      </w:r>
      <w:r w:rsidR="005A1F8C">
        <w:t xml:space="preserve">‘gesplitste’ aangifte is dus vereist. </w:t>
      </w:r>
      <w:r w:rsidRPr="00B21FAC">
        <w:t>Voorts kan het niet de bedoeling zijn dat deze inkomsten aanleiding zouden kunnen geven tot enige verliesoverdracht (zie verder).</w:t>
      </w:r>
    </w:p>
    <w:p w14:paraId="026A69E3" w14:textId="77777777" w:rsidR="000F2CA1" w:rsidRPr="00B21FAC" w:rsidRDefault="000F2CA1" w:rsidP="00BA7E3E">
      <w:pPr>
        <w:pStyle w:val="Lijstalinea"/>
        <w:spacing w:after="0"/>
        <w:ind w:left="1418"/>
        <w:jc w:val="both"/>
      </w:pPr>
    </w:p>
    <w:p w14:paraId="49F07B49" w14:textId="7655DB1E" w:rsidR="00A57A2D" w:rsidRPr="00B21FAC" w:rsidRDefault="00A57A2D" w:rsidP="00BA7E3E">
      <w:pPr>
        <w:pStyle w:val="Lijstalinea"/>
        <w:spacing w:after="0"/>
        <w:ind w:left="1418"/>
        <w:jc w:val="both"/>
      </w:pPr>
      <w:r w:rsidRPr="00B21FAC">
        <w:t xml:space="preserve">Ook inhoudelijk is er een onderscheid, in die zin dat winsten binnen de professionele sfeer (i.t.t. winsten buiten de professionele sfeer) ook de inkomsten uit een professioneel geaffecteerd vermogen omvatten (zowel vaste als vlottende activa, onverminderd de toepassing van het vermogensrendement op vaste activa, zie verder). </w:t>
      </w:r>
    </w:p>
    <w:p w14:paraId="56C40B8D" w14:textId="77777777" w:rsidR="00B3288A" w:rsidRPr="00B21FAC" w:rsidRDefault="00B3288A" w:rsidP="00BA7E3E">
      <w:pPr>
        <w:pStyle w:val="Lijstalinea"/>
        <w:spacing w:after="0"/>
        <w:ind w:left="1418"/>
        <w:jc w:val="both"/>
      </w:pPr>
    </w:p>
    <w:p w14:paraId="29B66B20" w14:textId="51337899" w:rsidR="00A57A2D" w:rsidRPr="00B21FAC" w:rsidRDefault="00A57A2D" w:rsidP="00BA7E3E">
      <w:pPr>
        <w:pStyle w:val="Lijstalinea"/>
        <w:spacing w:after="0"/>
        <w:ind w:left="1418"/>
        <w:jc w:val="both"/>
      </w:pPr>
      <w:r w:rsidRPr="00B21FAC">
        <w:t>De problematiek van de afbakening blijft dus bestaan. Het verdient dan ook aanbeveling om duidelijke kwantitatieve en/of kwalitatieve grenzen te bepalen, in functie waarvan het onderscheid kan worden gemaakt. De wetgever kan ter</w:t>
      </w:r>
      <w:r w:rsidR="003C49C8">
        <w:t xml:space="preserve"> </w:t>
      </w:r>
      <w:r w:rsidRPr="00B21FAC">
        <w:t>zake gebruik maken van weerlegbare vermoedens voor zover bepaalde ‘grenzen’ worden overschreden.</w:t>
      </w:r>
    </w:p>
    <w:p w14:paraId="563868AA" w14:textId="77777777" w:rsidR="00A57A2D" w:rsidRPr="00B21FAC" w:rsidRDefault="00A57A2D" w:rsidP="00BA7E3E">
      <w:pPr>
        <w:pStyle w:val="Lijstalinea"/>
        <w:spacing w:after="0"/>
        <w:ind w:left="1418"/>
        <w:jc w:val="both"/>
      </w:pPr>
    </w:p>
    <w:p w14:paraId="4D142AE2" w14:textId="5E040AEE" w:rsidR="00A57A2D" w:rsidRPr="00B21FAC" w:rsidRDefault="00A57A2D" w:rsidP="00BA7E3E">
      <w:pPr>
        <w:pStyle w:val="Lijstalinea"/>
        <w:spacing w:after="0"/>
        <w:ind w:left="1418"/>
        <w:jc w:val="both"/>
      </w:pPr>
      <w:r w:rsidRPr="00B21FAC">
        <w:rPr>
          <w:u w:val="single"/>
        </w:rPr>
        <w:t>PM:</w:t>
      </w:r>
      <w:r w:rsidRPr="00B21FAC">
        <w:t xml:space="preserve"> Het voorgaande doet geen afbreuk aan de onbelastbaarheid van de </w:t>
      </w:r>
      <w:r w:rsidR="004C1BCB">
        <w:t xml:space="preserve">(werkelijke) </w:t>
      </w:r>
      <w:r w:rsidRPr="00B21FAC">
        <w:t xml:space="preserve">onkostenvergoedingen die voor bepaalde werkzaamheden zouden worden toegekend, m.i.v. de onkostenvergoedingen in de niet-professionele sfeer (zie ook de Wet van 3 juli 2005 betreffende de rechten van vrijwilligers). </w:t>
      </w:r>
    </w:p>
    <w:p w14:paraId="19BDF3E0" w14:textId="77777777" w:rsidR="00A57A2D" w:rsidRPr="00B21FAC" w:rsidRDefault="00A57A2D" w:rsidP="00BA7E3E">
      <w:pPr>
        <w:spacing w:after="0"/>
        <w:jc w:val="both"/>
      </w:pPr>
    </w:p>
    <w:p w14:paraId="27418EB3" w14:textId="77777777" w:rsidR="00A57A2D" w:rsidRPr="00B21FAC" w:rsidRDefault="00A57A2D" w:rsidP="00BA7E3E">
      <w:pPr>
        <w:pStyle w:val="Lijstalinea"/>
        <w:numPr>
          <w:ilvl w:val="0"/>
          <w:numId w:val="15"/>
        </w:numPr>
        <w:spacing w:after="0"/>
        <w:jc w:val="both"/>
        <w:rPr>
          <w:b/>
          <w:bCs/>
        </w:rPr>
      </w:pPr>
      <w:r w:rsidRPr="00B21FAC">
        <w:rPr>
          <w:b/>
          <w:bCs/>
        </w:rPr>
        <w:t>De loonbegrippen in de sociale zekerheidswetgeving en de fiscaliteit (m.i.v. de bepaling van de forfaitaire kosten eigen aan de werkgever) worden maximaal geharmoniseerd</w:t>
      </w:r>
    </w:p>
    <w:p w14:paraId="190C36F5" w14:textId="77777777" w:rsidR="00A57A2D" w:rsidRPr="00B21FAC" w:rsidRDefault="00A57A2D" w:rsidP="00BA7E3E">
      <w:pPr>
        <w:pStyle w:val="Lijstalinea"/>
        <w:spacing w:after="0"/>
        <w:jc w:val="both"/>
      </w:pPr>
    </w:p>
    <w:p w14:paraId="04A504E3" w14:textId="6BF55772" w:rsidR="00A57A2D" w:rsidRDefault="00A57A2D" w:rsidP="00BA7E3E">
      <w:pPr>
        <w:pStyle w:val="Lijstalinea"/>
        <w:spacing w:after="0"/>
        <w:jc w:val="both"/>
      </w:pPr>
      <w:r w:rsidRPr="00B21FAC">
        <w:t xml:space="preserve">Ofschoon het in het kader van de fiscale hervorming niet de onmiddellijke doelstelling is om wijzigingen aan de sociale zekerheid voor te stellen, lijkt het (om redenen van transparantie en coherentie) toch op zijn minst noodzakelijk dat het loonbegrip over de beide stelsels heen </w:t>
      </w:r>
      <w:r w:rsidR="00AF4EEC">
        <w:t xml:space="preserve">zo veel als mogelijk </w:t>
      </w:r>
      <w:r w:rsidRPr="00B21FAC">
        <w:t xml:space="preserve">wordt geharmoniseerd. </w:t>
      </w:r>
    </w:p>
    <w:p w14:paraId="2FC9C7C5" w14:textId="6DF6366E" w:rsidR="00301FF2" w:rsidRDefault="00301FF2">
      <w:r>
        <w:br w:type="page"/>
      </w:r>
    </w:p>
    <w:p w14:paraId="19931A3E" w14:textId="77777777" w:rsidR="001C5F39" w:rsidRDefault="001C5F39" w:rsidP="00BA7E3E">
      <w:pPr>
        <w:pStyle w:val="Lijstalinea"/>
        <w:spacing w:after="0"/>
        <w:jc w:val="both"/>
      </w:pPr>
    </w:p>
    <w:p w14:paraId="216325C2" w14:textId="77777777" w:rsidR="001C5F39" w:rsidRPr="00B21FAC" w:rsidRDefault="001C5F39" w:rsidP="00BA7E3E">
      <w:pPr>
        <w:pStyle w:val="Lijstalinea"/>
        <w:spacing w:after="0"/>
        <w:jc w:val="both"/>
      </w:pPr>
    </w:p>
    <w:p w14:paraId="68315667" w14:textId="39074629" w:rsidR="00A57A2D" w:rsidRPr="00B21FAC" w:rsidRDefault="002D4762" w:rsidP="00BA7E3E">
      <w:pPr>
        <w:pStyle w:val="Kop2"/>
        <w:numPr>
          <w:ilvl w:val="0"/>
          <w:numId w:val="40"/>
        </w:numPr>
      </w:pPr>
      <w:bookmarkStart w:id="176" w:name="_Toc107210908"/>
      <w:r w:rsidRPr="00B21FAC">
        <w:t>Wisselwerking met de vermogensinkomsten</w:t>
      </w:r>
      <w:bookmarkEnd w:id="176"/>
    </w:p>
    <w:p w14:paraId="7DC113F6" w14:textId="7327AD57" w:rsidR="002D4762" w:rsidRPr="00B21FAC" w:rsidRDefault="002D4762" w:rsidP="00BA7E3E">
      <w:pPr>
        <w:spacing w:after="0"/>
      </w:pPr>
    </w:p>
    <w:p w14:paraId="5431CEE0" w14:textId="31C27B1D" w:rsidR="002D4762" w:rsidRPr="00B21FAC" w:rsidRDefault="002D4762" w:rsidP="00BA7E3E">
      <w:pPr>
        <w:spacing w:after="0"/>
      </w:pPr>
    </w:p>
    <w:p w14:paraId="0CF9DDEE" w14:textId="7FEAEBC3" w:rsidR="00BA0C6E" w:rsidRPr="00B21FAC" w:rsidRDefault="00007822" w:rsidP="00BA7E3E">
      <w:pPr>
        <w:spacing w:after="0"/>
        <w:jc w:val="both"/>
      </w:pPr>
      <w:r w:rsidRPr="00B21FAC">
        <w:t xml:space="preserve">Het nieuw voorgesteld </w:t>
      </w:r>
      <w:r w:rsidR="0034763A">
        <w:t>belasting</w:t>
      </w:r>
      <w:r w:rsidRPr="00B21FAC">
        <w:t>stelsel</w:t>
      </w:r>
      <w:r w:rsidR="00E71AD5">
        <w:t xml:space="preserve"> in de personenbelasting</w:t>
      </w:r>
      <w:r w:rsidRPr="00B21FAC">
        <w:t xml:space="preserve"> houdt in dat een onderscheid zal worden gemaakt tussen</w:t>
      </w:r>
      <w:r w:rsidR="00A0570A">
        <w:t xml:space="preserve"> (i)</w:t>
      </w:r>
      <w:r w:rsidRPr="00B21FAC">
        <w:t xml:space="preserve"> inkomsten uit activiteiten en </w:t>
      </w:r>
      <w:r w:rsidR="00A0570A">
        <w:t xml:space="preserve">(ii) </w:t>
      </w:r>
      <w:r w:rsidRPr="00B21FAC">
        <w:t xml:space="preserve">inkomsten uit vermogen. Tussen beide stelsels </w:t>
      </w:r>
      <w:r w:rsidR="00082351" w:rsidRPr="00B21FAC">
        <w:t>bestaan wel bepaalde linken. Dit wordt hierna kort geduid</w:t>
      </w:r>
      <w:r w:rsidR="00B3485D">
        <w:t>, in combinatie met de voorstellen die hieromtrent gemaakt worden</w:t>
      </w:r>
      <w:r w:rsidR="00082351" w:rsidRPr="00B21FAC">
        <w:t>.</w:t>
      </w:r>
    </w:p>
    <w:p w14:paraId="37635A47" w14:textId="798B3925" w:rsidR="00BA0C6E" w:rsidRPr="00B21FAC" w:rsidRDefault="00BA0C6E" w:rsidP="00BA7E3E">
      <w:pPr>
        <w:spacing w:after="0"/>
      </w:pPr>
    </w:p>
    <w:p w14:paraId="6D1C3B19" w14:textId="77777777" w:rsidR="00BA0C6E" w:rsidRPr="00B21FAC" w:rsidRDefault="00BA0C6E" w:rsidP="00BA7E3E">
      <w:pPr>
        <w:spacing w:after="0"/>
      </w:pPr>
    </w:p>
    <w:p w14:paraId="64ECAE8C" w14:textId="1440BE21" w:rsidR="002D4762" w:rsidRPr="00B21FAC" w:rsidRDefault="00497EF1" w:rsidP="00275FEB">
      <w:pPr>
        <w:pStyle w:val="Kop3"/>
        <w:numPr>
          <w:ilvl w:val="0"/>
          <w:numId w:val="37"/>
        </w:numPr>
      </w:pPr>
      <w:bookmarkStart w:id="177" w:name="_Toc107210909"/>
      <w:r>
        <w:t xml:space="preserve">Vermijden van conversie van activiteitsinkomsten in </w:t>
      </w:r>
      <w:r w:rsidR="00A5069B">
        <w:t>vermogensinkomsten</w:t>
      </w:r>
      <w:bookmarkEnd w:id="177"/>
    </w:p>
    <w:p w14:paraId="4A2E2FF0" w14:textId="77777777" w:rsidR="002D4762" w:rsidRPr="00B21FAC" w:rsidRDefault="002D4762" w:rsidP="00BA7E3E">
      <w:pPr>
        <w:spacing w:after="0"/>
        <w:jc w:val="both"/>
      </w:pPr>
    </w:p>
    <w:p w14:paraId="73BC4D5A" w14:textId="6AEBEDCB" w:rsidR="002D4762" w:rsidRDefault="002D4762">
      <w:pPr>
        <w:spacing w:after="0"/>
        <w:jc w:val="both"/>
      </w:pPr>
    </w:p>
    <w:p w14:paraId="780E8445" w14:textId="615B85B7" w:rsidR="00B3485D" w:rsidRDefault="00FD2F63">
      <w:pPr>
        <w:spacing w:after="0"/>
        <w:jc w:val="both"/>
      </w:pPr>
      <w:r w:rsidRPr="00BA7E3E">
        <w:rPr>
          <w:b/>
          <w:bCs/>
        </w:rPr>
        <w:t>Voorstel</w:t>
      </w:r>
      <w:r>
        <w:t xml:space="preserve"> </w:t>
      </w:r>
      <w:r w:rsidR="009F2188">
        <w:t>–</w:t>
      </w:r>
      <w:r>
        <w:t xml:space="preserve"> </w:t>
      </w:r>
      <w:r w:rsidR="009F2188">
        <w:t xml:space="preserve">Er worden </w:t>
      </w:r>
      <w:r w:rsidR="00A527AD">
        <w:t xml:space="preserve">algemene of </w:t>
      </w:r>
      <w:r w:rsidR="009F2188">
        <w:t xml:space="preserve">specifieke maatregelen genomen die ertoe strekken te vermijden dat activiteitsinkomsten </w:t>
      </w:r>
      <w:r w:rsidR="009E37F6">
        <w:t>op een oneigenlijke wijze geconverteerd worden in vermogensinkomsten.</w:t>
      </w:r>
    </w:p>
    <w:p w14:paraId="0AC46F13" w14:textId="1C18514A" w:rsidR="00B3485D" w:rsidRDefault="00B3485D">
      <w:pPr>
        <w:spacing w:after="0"/>
        <w:jc w:val="both"/>
      </w:pPr>
    </w:p>
    <w:p w14:paraId="6BF33542" w14:textId="6D54F9C4" w:rsidR="00FD2F63" w:rsidRPr="00BA7E3E" w:rsidRDefault="00FD2F63">
      <w:pPr>
        <w:spacing w:after="0"/>
        <w:jc w:val="both"/>
        <w:rPr>
          <w:u w:val="single"/>
        </w:rPr>
      </w:pPr>
      <w:r w:rsidRPr="00BA7E3E">
        <w:rPr>
          <w:u w:val="single"/>
        </w:rPr>
        <w:t>Toelichting:</w:t>
      </w:r>
    </w:p>
    <w:p w14:paraId="58ED2238" w14:textId="77777777" w:rsidR="00FD2F63" w:rsidRPr="00B21FAC" w:rsidRDefault="00FD2F63" w:rsidP="00BA7E3E">
      <w:pPr>
        <w:spacing w:after="0"/>
        <w:jc w:val="both"/>
      </w:pPr>
    </w:p>
    <w:p w14:paraId="7FC2ECAE" w14:textId="0767A057" w:rsidR="00522BBB" w:rsidRDefault="00E26672" w:rsidP="00BA7E3E">
      <w:pPr>
        <w:spacing w:after="0"/>
        <w:jc w:val="both"/>
      </w:pPr>
      <w:r w:rsidRPr="00B21FAC">
        <w:t xml:space="preserve">Er moet vermeden worden dat inkomsten uit activiteiten oneigenlijk geconverteerd worden in vermogensinkomsten, waarop een ander </w:t>
      </w:r>
      <w:r w:rsidR="00B46C75">
        <w:t>heffings</w:t>
      </w:r>
      <w:r w:rsidRPr="00B21FAC">
        <w:t>regime van toepas</w:t>
      </w:r>
      <w:r w:rsidR="00EE7F4F" w:rsidRPr="00B21FAC">
        <w:t xml:space="preserve">sing is. </w:t>
      </w:r>
    </w:p>
    <w:p w14:paraId="40481CF0" w14:textId="77777777" w:rsidR="00522BBB" w:rsidRDefault="00522BBB" w:rsidP="00BA7E3E">
      <w:pPr>
        <w:spacing w:after="0"/>
        <w:jc w:val="both"/>
      </w:pPr>
    </w:p>
    <w:p w14:paraId="21986398" w14:textId="2D7EDD4F" w:rsidR="003B5B65" w:rsidRPr="00B21FAC" w:rsidRDefault="00EE7F4F" w:rsidP="00BA7E3E">
      <w:pPr>
        <w:spacing w:after="0"/>
        <w:jc w:val="both"/>
      </w:pPr>
      <w:r w:rsidRPr="00B21FAC">
        <w:t xml:space="preserve">Een dergelijke conversie kan zich in verschillende situaties voordoen, maar wordt vaak het scherpst gesteld </w:t>
      </w:r>
      <w:r w:rsidR="002D36DB">
        <w:t>bij</w:t>
      </w:r>
      <w:r w:rsidRPr="00B21FAC">
        <w:t xml:space="preserve"> de zogenaamde vervennootschappelijking. </w:t>
      </w:r>
      <w:r w:rsidR="0005021F" w:rsidRPr="00B21FAC">
        <w:t>Het verdient dan ook aanbeveling om in dit kader maatregelen te nemen. Voor verdere duiding wordt verwezen naar het hoofdstuk m.b.t. de vermogensinkomsten.</w:t>
      </w:r>
    </w:p>
    <w:p w14:paraId="7F0D6DCA" w14:textId="3BBCC40E" w:rsidR="00A57A2D" w:rsidRDefault="00A57A2D" w:rsidP="00BA7E3E">
      <w:pPr>
        <w:spacing w:after="0"/>
        <w:rPr>
          <w:smallCaps/>
        </w:rPr>
      </w:pPr>
    </w:p>
    <w:p w14:paraId="6D3D81B6" w14:textId="49A9DF60" w:rsidR="003249B9" w:rsidRDefault="002F11E0" w:rsidP="00BA7E3E">
      <w:pPr>
        <w:spacing w:after="0"/>
        <w:jc w:val="both"/>
      </w:pPr>
      <w:r>
        <w:t xml:space="preserve">Daarnaast </w:t>
      </w:r>
      <w:r w:rsidR="00F94B8E">
        <w:t xml:space="preserve">(en meer in het algemeen) </w:t>
      </w:r>
      <w:r>
        <w:t xml:space="preserve">kan ook voorgesteld worden om te </w:t>
      </w:r>
      <w:r w:rsidR="00A5069B" w:rsidRPr="00B21FAC">
        <w:t xml:space="preserve">bepalen dat vermogensinkomsten allerhande (in de regel roerende inkomsten en meerwaarden, zie ook </w:t>
      </w:r>
      <w:r w:rsidR="00A5069B" w:rsidRPr="00A27B69">
        <w:rPr>
          <w:i/>
          <w:iCs/>
        </w:rPr>
        <w:t>i</w:t>
      </w:r>
      <w:r w:rsidR="00A5069B" w:rsidRPr="00522BBB">
        <w:rPr>
          <w:i/>
          <w:iCs/>
        </w:rPr>
        <w:t>nfra</w:t>
      </w:r>
      <w:r w:rsidR="00A5069B" w:rsidRPr="00B21FAC">
        <w:t xml:space="preserve">) die de betrokkene niet zou behaald hebben zonder de uitoefening van een met </w:t>
      </w:r>
      <w:r w:rsidR="00631ED4">
        <w:t>deze inkomsten</w:t>
      </w:r>
      <w:r w:rsidR="00A5069B" w:rsidRPr="00B21FAC">
        <w:t xml:space="preserve"> verband houdende beroepswerkzaamheid, </w:t>
      </w:r>
      <w:r w:rsidR="00A5069B">
        <w:t xml:space="preserve">principieel </w:t>
      </w:r>
      <w:r w:rsidR="00A5069B" w:rsidRPr="00B21FAC">
        <w:t xml:space="preserve">als beroepsinkomen belastbaar </w:t>
      </w:r>
      <w:r w:rsidR="00A5069B">
        <w:t>zijn</w:t>
      </w:r>
      <w:r w:rsidR="00A5069B" w:rsidRPr="00B21FAC">
        <w:t>.</w:t>
      </w:r>
      <w:r w:rsidR="00F94B8E">
        <w:t xml:space="preserve"> </w:t>
      </w:r>
    </w:p>
    <w:p w14:paraId="0CE0E0BC" w14:textId="64CDC861" w:rsidR="006E55B9" w:rsidRPr="00B21FAC" w:rsidRDefault="00A5069B" w:rsidP="00BA7E3E">
      <w:pPr>
        <w:spacing w:after="0"/>
        <w:jc w:val="both"/>
      </w:pPr>
      <w:r w:rsidRPr="00B21FAC">
        <w:t xml:space="preserve">Hiermee wordt </w:t>
      </w:r>
      <w:r w:rsidR="00F94B8E">
        <w:t>meteen ook</w:t>
      </w:r>
      <w:r w:rsidRPr="00B21FAC">
        <w:t xml:space="preserve"> betracht een antwoord te bieden op het fenomeen dat thans meer en meer opduikt en waarbij, doorgaans aan het hoger kader, bepaalde ‘winst’-deelnemingsrechten worden toegekend die in een oorzakelijk verband staan met de door de betrokkene uitgeoefende beroepswerkzaamheid (cf. de </w:t>
      </w:r>
      <w:r w:rsidRPr="00F94B8E">
        <w:rPr>
          <w:i/>
          <w:iCs/>
        </w:rPr>
        <w:t>carried interest</w:t>
      </w:r>
      <w:r w:rsidRPr="00B21FAC">
        <w:t xml:space="preserve"> regeling</w:t>
      </w:r>
      <w:r w:rsidR="00506C6E">
        <w:t xml:space="preserve"> en de </w:t>
      </w:r>
      <w:r w:rsidR="00506C6E" w:rsidRPr="00506C6E">
        <w:rPr>
          <w:i/>
          <w:iCs/>
        </w:rPr>
        <w:t>management incentive schemes</w:t>
      </w:r>
      <w:r w:rsidRPr="00B21FAC">
        <w:t xml:space="preserve">). Teneinde het ‘activiteitsinkomen’ (de bezoldigingen) af te lijnen t.o.v. het werkelijke vermogensrendement, dient </w:t>
      </w:r>
      <w:r w:rsidR="006E55B9">
        <w:t>i</w:t>
      </w:r>
      <w:r w:rsidR="00DB1F7F">
        <w:t>n</w:t>
      </w:r>
      <w:r w:rsidR="006E55B9">
        <w:t xml:space="preserve"> voorkomend geval </w:t>
      </w:r>
      <w:r w:rsidRPr="00B21FAC">
        <w:t>het ‘activiteitsgebonden exces rendement’ te worden vastgelegd. I.g.v. aanwezigheid van passieve aandeelhouders, stemt het werkelijke vermogensrendement daarbij logischerwijze</w:t>
      </w:r>
      <w:r w:rsidR="00250EBF">
        <w:t xml:space="preserve">, althans in principe, </w:t>
      </w:r>
      <w:r w:rsidRPr="00B21FAC">
        <w:t>verhoudingsgewijs overeen met het rendement van de passieve aandeelhouders op het ingelegde bedrag.</w:t>
      </w:r>
    </w:p>
    <w:p w14:paraId="53BA32B0" w14:textId="2C5B2A9A" w:rsidR="00301FF2" w:rsidRDefault="00301FF2">
      <w:pPr>
        <w:rPr>
          <w:smallCaps/>
        </w:rPr>
      </w:pPr>
      <w:r>
        <w:rPr>
          <w:smallCaps/>
        </w:rPr>
        <w:br w:type="page"/>
      </w:r>
    </w:p>
    <w:p w14:paraId="407E158F" w14:textId="77777777" w:rsidR="00A5069B" w:rsidRPr="00BA7E3E" w:rsidRDefault="00A5069B" w:rsidP="00BA7E3E">
      <w:pPr>
        <w:spacing w:after="0"/>
        <w:rPr>
          <w:smallCaps/>
        </w:rPr>
      </w:pPr>
    </w:p>
    <w:p w14:paraId="2C10B080" w14:textId="77777777" w:rsidR="00082351" w:rsidRPr="00BA7E3E" w:rsidRDefault="00082351" w:rsidP="00BA7E3E">
      <w:pPr>
        <w:spacing w:after="0"/>
        <w:rPr>
          <w:smallCaps/>
        </w:rPr>
      </w:pPr>
    </w:p>
    <w:p w14:paraId="4139E661" w14:textId="4087860D" w:rsidR="00A57A2D" w:rsidRPr="00B21FAC" w:rsidRDefault="00A57A2D" w:rsidP="00275FEB">
      <w:pPr>
        <w:pStyle w:val="Kop3"/>
        <w:numPr>
          <w:ilvl w:val="0"/>
          <w:numId w:val="37"/>
        </w:numPr>
      </w:pPr>
      <w:bookmarkStart w:id="178" w:name="_Toc107210910"/>
      <w:r w:rsidRPr="00B21FAC">
        <w:t>Vermogensrendement</w:t>
      </w:r>
      <w:bookmarkEnd w:id="178"/>
    </w:p>
    <w:p w14:paraId="6547E4CA" w14:textId="174FD9FF" w:rsidR="00A57A2D" w:rsidRPr="00BA7E3E" w:rsidRDefault="00A57A2D" w:rsidP="00BA7E3E">
      <w:pPr>
        <w:pStyle w:val="Lijstalinea"/>
        <w:spacing w:after="0"/>
        <w:ind w:left="0"/>
        <w:jc w:val="both"/>
      </w:pPr>
    </w:p>
    <w:p w14:paraId="6D6AC7A7" w14:textId="732F843E" w:rsidR="00082351" w:rsidRDefault="00082351">
      <w:pPr>
        <w:pStyle w:val="Lijstalinea"/>
        <w:spacing w:after="0"/>
        <w:ind w:left="0"/>
        <w:jc w:val="both"/>
      </w:pPr>
    </w:p>
    <w:p w14:paraId="00F13956" w14:textId="5E26E108" w:rsidR="009E37F6" w:rsidRDefault="009E37F6">
      <w:pPr>
        <w:pStyle w:val="Lijstalinea"/>
        <w:spacing w:after="0"/>
        <w:ind w:left="0"/>
        <w:jc w:val="both"/>
      </w:pPr>
      <w:r w:rsidRPr="00BA7E3E">
        <w:rPr>
          <w:b/>
          <w:bCs/>
        </w:rPr>
        <w:t>Voorstel</w:t>
      </w:r>
      <w:r>
        <w:t xml:space="preserve"> </w:t>
      </w:r>
      <w:r w:rsidR="004C5BBF">
        <w:t>–</w:t>
      </w:r>
      <w:r>
        <w:t xml:space="preserve"> </w:t>
      </w:r>
      <w:r w:rsidR="00877156">
        <w:t xml:space="preserve">Het rendement dat wordt gegenereerd </w:t>
      </w:r>
      <w:r w:rsidR="004C5BBF">
        <w:t xml:space="preserve">door </w:t>
      </w:r>
      <w:r w:rsidR="00C130C6">
        <w:t xml:space="preserve">het </w:t>
      </w:r>
      <w:r w:rsidR="0066471C">
        <w:t xml:space="preserve">vermogen </w:t>
      </w:r>
      <w:r w:rsidR="00C130C6">
        <w:t xml:space="preserve">dat een ondernemer in zijn onderneming investeert, </w:t>
      </w:r>
      <w:r w:rsidR="009957BF">
        <w:t xml:space="preserve">wordt </w:t>
      </w:r>
      <w:r w:rsidR="00687CE8">
        <w:t>als een vermogensinkomen erkend.</w:t>
      </w:r>
    </w:p>
    <w:p w14:paraId="4E9CA937" w14:textId="0AA8FEBF" w:rsidR="009E37F6" w:rsidRDefault="009E37F6">
      <w:pPr>
        <w:pStyle w:val="Lijstalinea"/>
        <w:spacing w:after="0"/>
        <w:ind w:left="0"/>
        <w:jc w:val="both"/>
      </w:pPr>
    </w:p>
    <w:p w14:paraId="1041933F" w14:textId="43892578" w:rsidR="00687CE8" w:rsidRPr="00BA7E3E" w:rsidRDefault="00687CE8">
      <w:pPr>
        <w:pStyle w:val="Lijstalinea"/>
        <w:spacing w:after="0"/>
        <w:ind w:left="0"/>
        <w:jc w:val="both"/>
        <w:rPr>
          <w:u w:val="single"/>
        </w:rPr>
      </w:pPr>
      <w:r w:rsidRPr="00BA7E3E">
        <w:rPr>
          <w:u w:val="single"/>
        </w:rPr>
        <w:t>Toelichting:</w:t>
      </w:r>
    </w:p>
    <w:p w14:paraId="44E40C93" w14:textId="77777777" w:rsidR="00687CE8" w:rsidRPr="00BA7E3E" w:rsidRDefault="00687CE8" w:rsidP="00BA7E3E">
      <w:pPr>
        <w:pStyle w:val="Lijstalinea"/>
        <w:spacing w:after="0"/>
        <w:ind w:left="0"/>
        <w:jc w:val="both"/>
      </w:pPr>
    </w:p>
    <w:p w14:paraId="1220F326" w14:textId="347A3E77" w:rsidR="00A57A2D" w:rsidRPr="00B21FAC" w:rsidRDefault="00A57A2D" w:rsidP="00BA7E3E">
      <w:pPr>
        <w:spacing w:after="0"/>
        <w:jc w:val="both"/>
      </w:pPr>
      <w:r w:rsidRPr="00B21FAC">
        <w:t>Het door de eigenaar-ondernemer professioneel geaffecteerd of opgebouwd vermogen (zowel onroerende als roerende goederen, lichamelijk en onlichamelijk) brengt een bepaald rendement met zich mee dat op vandaag zonder meer kwalificeert als een beroepsinkomen en daarvan ook niet wordt afgezonderd (zie art. 37 WIB92).</w:t>
      </w:r>
    </w:p>
    <w:p w14:paraId="50BB2B2E" w14:textId="77777777" w:rsidR="00082351" w:rsidRPr="00B21FAC" w:rsidRDefault="00082351" w:rsidP="00BA7E3E">
      <w:pPr>
        <w:spacing w:after="0"/>
        <w:jc w:val="both"/>
      </w:pPr>
    </w:p>
    <w:p w14:paraId="151CC383" w14:textId="035CD5F7" w:rsidR="00A57A2D" w:rsidRPr="00B21FAC" w:rsidRDefault="00A57A2D" w:rsidP="00BA7E3E">
      <w:pPr>
        <w:spacing w:after="0"/>
        <w:jc w:val="both"/>
      </w:pPr>
      <w:r w:rsidRPr="00B21FAC">
        <w:t xml:space="preserve">In het nieuwe stelsel wordt </w:t>
      </w:r>
      <w:r w:rsidR="0052338E">
        <w:t xml:space="preserve">voorgesteld </w:t>
      </w:r>
      <w:r w:rsidRPr="00B21FAC">
        <w:t>dit ‘vermogensrendement’</w:t>
      </w:r>
      <w:r w:rsidR="004753A9" w:rsidRPr="00B21FAC">
        <w:t xml:space="preserve"> als een vermogensinkomen </w:t>
      </w:r>
      <w:r w:rsidR="0052338E">
        <w:t xml:space="preserve">te </w:t>
      </w:r>
      <w:r w:rsidR="004753A9" w:rsidRPr="00B21FAC">
        <w:t>belast</w:t>
      </w:r>
      <w:r w:rsidR="0052338E">
        <w:t>en</w:t>
      </w:r>
      <w:r w:rsidRPr="00B21FAC">
        <w:t xml:space="preserve">. </w:t>
      </w:r>
    </w:p>
    <w:p w14:paraId="051EE871" w14:textId="77777777" w:rsidR="00082351" w:rsidRPr="00B21FAC" w:rsidRDefault="00082351" w:rsidP="00BA7E3E">
      <w:pPr>
        <w:spacing w:after="0"/>
        <w:jc w:val="both"/>
      </w:pPr>
    </w:p>
    <w:p w14:paraId="3A93B16B" w14:textId="4D55ADA1" w:rsidR="007565E2" w:rsidRPr="00B21FAC" w:rsidRDefault="00A57A2D" w:rsidP="00BA7E3E">
      <w:pPr>
        <w:spacing w:after="0"/>
        <w:jc w:val="both"/>
      </w:pPr>
      <w:r w:rsidRPr="00B21FAC">
        <w:t xml:space="preserve">De bedoeling bestaat er met name in het onderscheid tussen het uitoefenen van een ondernemingsactiviteit via een vennootschap, dan wel in eigen naam ook op dit vlak verder te neutraliseren. Binnen die geest zou de totale heffing op het vermogensrendement moeten aansluiten op de gecumuleerde belastingdruk </w:t>
      </w:r>
      <w:r w:rsidR="007565E2" w:rsidRPr="00B21FAC">
        <w:t>op een vermogensinkomen gegenereerd door een vennootschap en uitgekeerd aan een aandeelhouder.</w:t>
      </w:r>
    </w:p>
    <w:p w14:paraId="64D2707F" w14:textId="77777777" w:rsidR="004753A9" w:rsidRPr="00B21FAC" w:rsidRDefault="004753A9" w:rsidP="00BA7E3E">
      <w:pPr>
        <w:spacing w:after="0"/>
        <w:jc w:val="both"/>
      </w:pPr>
    </w:p>
    <w:p w14:paraId="0F853384" w14:textId="2F8D4418" w:rsidR="00A57A2D" w:rsidRPr="00B21FAC" w:rsidRDefault="00A57A2D" w:rsidP="00BA7E3E">
      <w:pPr>
        <w:spacing w:after="0"/>
        <w:jc w:val="both"/>
      </w:pPr>
      <w:r w:rsidRPr="00B21FAC">
        <w:t xml:space="preserve">De overheersende idee is dat de goederen die (effectief en desgevallend exclusief) gebruikt worden in het kader van de professionele werkzaamheden bijdragen tot de realisatie van het totale inkomen gegenereerd door de onderneming. Een deel van dit inkomen (i.e. het vermogensrendement) komt dan in mindering van de winst en wordt opgenomen onder de </w:t>
      </w:r>
      <w:r w:rsidR="00E65EAA" w:rsidRPr="00B21FAC">
        <w:t>vermogensinkomsten.</w:t>
      </w:r>
    </w:p>
    <w:p w14:paraId="597A15D9" w14:textId="77777777" w:rsidR="00E65EAA" w:rsidRPr="00B21FAC" w:rsidRDefault="00E65EAA" w:rsidP="00BA7E3E">
      <w:pPr>
        <w:spacing w:after="0"/>
        <w:jc w:val="both"/>
      </w:pPr>
    </w:p>
    <w:p w14:paraId="0415F7DE" w14:textId="3BA50A76" w:rsidR="00A57A2D" w:rsidRPr="00B21FAC" w:rsidRDefault="00A57A2D" w:rsidP="00BA7E3E">
      <w:pPr>
        <w:spacing w:after="0"/>
        <w:jc w:val="both"/>
      </w:pPr>
      <w:r w:rsidRPr="00B21FAC">
        <w:t>De goederen zelf blijven wel professioneel geaffecteerd, hetgeen o.m. ook impliceert dat voor deze goederen afschrijvings- en financieringskosten in aanmerking kunnen worden genomen en dat de verwerving ervan desgevallend kan plaatsvinden met toepassing van de investeringsaftrek.</w:t>
      </w:r>
    </w:p>
    <w:p w14:paraId="458F2889" w14:textId="77777777" w:rsidR="00E65EAA" w:rsidRPr="00B21FAC" w:rsidRDefault="00E65EAA" w:rsidP="00BA7E3E">
      <w:pPr>
        <w:spacing w:after="0"/>
        <w:jc w:val="both"/>
      </w:pPr>
    </w:p>
    <w:p w14:paraId="59D2B9DE" w14:textId="71E84358" w:rsidR="00A57A2D" w:rsidRPr="00B21FAC" w:rsidRDefault="00A57A2D" w:rsidP="00BA7E3E">
      <w:pPr>
        <w:spacing w:after="0"/>
        <w:jc w:val="both"/>
      </w:pPr>
      <w:r w:rsidRPr="00B21FAC">
        <w:t xml:space="preserve">De moeilijkheid bestaat er </w:t>
      </w:r>
      <w:r w:rsidR="00E65EAA" w:rsidRPr="00B21FAC">
        <w:t xml:space="preserve">dan ook </w:t>
      </w:r>
      <w:r w:rsidRPr="00B21FAC">
        <w:t xml:space="preserve">vooral in het ‘vermogensrendement’ te kwantificeren. Bij wijze van werkhypothese </w:t>
      </w:r>
      <w:r w:rsidR="000D216F">
        <w:t>zou kunnen</w:t>
      </w:r>
      <w:r w:rsidR="000D216F" w:rsidRPr="00B21FAC">
        <w:t xml:space="preserve"> </w:t>
      </w:r>
      <w:r w:rsidR="00392AA0" w:rsidRPr="00B21FAC">
        <w:t xml:space="preserve">worden </w:t>
      </w:r>
      <w:r w:rsidRPr="00B21FAC">
        <w:t xml:space="preserve">uitgegaan van een geïmputeerd rendement gelijk aan de OLO 10 jaar + 4% risicopremie, berekend op de residuale boekwaarde van de kwalificerende vaste activa, verminderd met </w:t>
      </w:r>
      <w:r w:rsidR="00C3431F">
        <w:t>het bedrag van de openstaande kredieten</w:t>
      </w:r>
      <w:r w:rsidRPr="00B21FAC">
        <w:t>.</w:t>
      </w:r>
    </w:p>
    <w:p w14:paraId="043158A9" w14:textId="4736D083" w:rsidR="00A57A2D" w:rsidRDefault="00A57A2D" w:rsidP="00BA7E3E">
      <w:pPr>
        <w:spacing w:after="0"/>
        <w:jc w:val="both"/>
      </w:pPr>
    </w:p>
    <w:p w14:paraId="1CEA1ED6" w14:textId="6A84AEEE" w:rsidR="00041B91" w:rsidRDefault="00041B91" w:rsidP="00BA7E3E">
      <w:pPr>
        <w:spacing w:after="0"/>
        <w:jc w:val="both"/>
      </w:pPr>
      <w:r w:rsidRPr="00303355">
        <w:rPr>
          <w:u w:val="single"/>
        </w:rPr>
        <w:t>PM:</w:t>
      </w:r>
      <w:r>
        <w:t xml:space="preserve"> </w:t>
      </w:r>
      <w:r w:rsidR="007D4938">
        <w:t>H</w:t>
      </w:r>
      <w:r>
        <w:t xml:space="preserve">iermee wordt wel een bijkomende complexiteit in de wetgeving ingevoerd. </w:t>
      </w:r>
      <w:r w:rsidR="00B54517">
        <w:t>Dit moet mee in rekening worden gebracht bij de afweging of</w:t>
      </w:r>
      <w:r w:rsidR="006D3803">
        <w:t>, en in voorkomend geval hoe,</w:t>
      </w:r>
      <w:r w:rsidR="00B54517">
        <w:t xml:space="preserve"> een dergelijke maatregel moet ingevoerd worden.</w:t>
      </w:r>
    </w:p>
    <w:p w14:paraId="74DD89DC" w14:textId="22DAE763" w:rsidR="00301FF2" w:rsidRDefault="00301FF2">
      <w:r>
        <w:br w:type="page"/>
      </w:r>
    </w:p>
    <w:p w14:paraId="42EB76D7" w14:textId="77777777" w:rsidR="00B54517" w:rsidRPr="00B21FAC" w:rsidRDefault="00B54517" w:rsidP="00BA7E3E">
      <w:pPr>
        <w:spacing w:after="0"/>
        <w:jc w:val="both"/>
      </w:pPr>
    </w:p>
    <w:p w14:paraId="2008B0B9" w14:textId="77777777" w:rsidR="003B3EE5" w:rsidRPr="00B21FAC" w:rsidRDefault="003B3EE5" w:rsidP="00BA7E3E">
      <w:pPr>
        <w:spacing w:after="0"/>
        <w:jc w:val="both"/>
      </w:pPr>
    </w:p>
    <w:p w14:paraId="74230B28" w14:textId="31C8746F" w:rsidR="00A57A2D" w:rsidRPr="00B21FAC" w:rsidRDefault="00A57A2D" w:rsidP="00275FEB">
      <w:pPr>
        <w:pStyle w:val="Kop3"/>
        <w:numPr>
          <w:ilvl w:val="0"/>
          <w:numId w:val="37"/>
        </w:numPr>
      </w:pPr>
      <w:bookmarkStart w:id="179" w:name="_Toc107210911"/>
      <w:r w:rsidRPr="00B21FAC">
        <w:t>Meerwaarden</w:t>
      </w:r>
      <w:bookmarkEnd w:id="179"/>
    </w:p>
    <w:p w14:paraId="7F6FED78" w14:textId="52649486" w:rsidR="00A57A2D" w:rsidRPr="00BA7E3E" w:rsidRDefault="00A57A2D" w:rsidP="00BA7E3E">
      <w:pPr>
        <w:spacing w:after="0"/>
        <w:jc w:val="both"/>
      </w:pPr>
    </w:p>
    <w:p w14:paraId="77A2BD4E" w14:textId="156D26FF" w:rsidR="003B3EE5" w:rsidRDefault="003B3EE5">
      <w:pPr>
        <w:spacing w:after="0"/>
        <w:jc w:val="both"/>
      </w:pPr>
    </w:p>
    <w:p w14:paraId="177DCB72" w14:textId="3F154AD3" w:rsidR="00491470" w:rsidRDefault="00491470">
      <w:pPr>
        <w:spacing w:after="0"/>
        <w:jc w:val="both"/>
      </w:pPr>
      <w:r w:rsidRPr="00BA7E3E">
        <w:rPr>
          <w:b/>
          <w:bCs/>
        </w:rPr>
        <w:t>Voorstel</w:t>
      </w:r>
      <w:r>
        <w:t xml:space="preserve"> – </w:t>
      </w:r>
      <w:r w:rsidR="00055879">
        <w:t xml:space="preserve">Meerwaarden gerealiseerd op het professioneel geaffecteerd vermogen </w:t>
      </w:r>
      <w:r w:rsidR="00E72393">
        <w:t xml:space="preserve">worden slechts ten belope van de voorheen </w:t>
      </w:r>
      <w:r w:rsidR="00AF0E31">
        <w:t>geboekte en fiscaal aanvaarde afschrijvingen en waardeverminderingen als een activiteitsinkomen belast. Het saldo kwalificeert als een vermogensinkomen.</w:t>
      </w:r>
    </w:p>
    <w:p w14:paraId="523E9937" w14:textId="0C79DE32" w:rsidR="00491470" w:rsidRDefault="00491470">
      <w:pPr>
        <w:spacing w:after="0"/>
        <w:jc w:val="both"/>
      </w:pPr>
    </w:p>
    <w:p w14:paraId="3A4DECFF" w14:textId="2A96BE74" w:rsidR="00491470" w:rsidRPr="00BA7E3E" w:rsidRDefault="00FE3FA4">
      <w:pPr>
        <w:spacing w:after="0"/>
        <w:jc w:val="both"/>
        <w:rPr>
          <w:u w:val="single"/>
        </w:rPr>
      </w:pPr>
      <w:r w:rsidRPr="00BA7E3E">
        <w:rPr>
          <w:u w:val="single"/>
        </w:rPr>
        <w:t>Toelichting:</w:t>
      </w:r>
    </w:p>
    <w:p w14:paraId="741538E9" w14:textId="77777777" w:rsidR="00FE3FA4" w:rsidRPr="00BA7E3E" w:rsidRDefault="00FE3FA4" w:rsidP="00BA7E3E">
      <w:pPr>
        <w:spacing w:after="0"/>
        <w:jc w:val="both"/>
      </w:pPr>
    </w:p>
    <w:p w14:paraId="2F63C66C" w14:textId="54B8E4BC" w:rsidR="00393504" w:rsidRDefault="3683CD98">
      <w:pPr>
        <w:spacing w:after="0"/>
        <w:jc w:val="both"/>
      </w:pPr>
      <w:r w:rsidRPr="00B21FAC">
        <w:t xml:space="preserve">Alle meerwaarden, gerealiseerd op goederen die voorheen professioneel geaffecteerd waren, worden, ten belope van de voorheen geboekte afschrijvingen en waardeverminderingen belast als </w:t>
      </w:r>
      <w:r w:rsidR="00AF0E31">
        <w:t>activiteit</w:t>
      </w:r>
      <w:r w:rsidR="00AF0E31" w:rsidRPr="00B21FAC">
        <w:t xml:space="preserve">sinkomen </w:t>
      </w:r>
      <w:r w:rsidRPr="00B21FAC">
        <w:t>en dit bij toepassing van de normale tarieven.</w:t>
      </w:r>
    </w:p>
    <w:p w14:paraId="42A5E524" w14:textId="77777777" w:rsidR="00393504" w:rsidRDefault="00393504">
      <w:pPr>
        <w:spacing w:after="0"/>
        <w:jc w:val="both"/>
      </w:pPr>
    </w:p>
    <w:p w14:paraId="03F62330" w14:textId="6B7A1518" w:rsidR="00A57A2D" w:rsidRPr="00B21FAC" w:rsidRDefault="3683CD98" w:rsidP="00BA7E3E">
      <w:pPr>
        <w:spacing w:after="0"/>
        <w:jc w:val="both"/>
      </w:pPr>
      <w:r w:rsidRPr="00B21FAC">
        <w:t>Het eventuele saldo, waarvoor dus geen aftrek als beroepskost werd aangenomen, wordt belast als een vermogensinkomen.</w:t>
      </w:r>
      <w:r w:rsidR="00B13489">
        <w:t xml:space="preserve"> Op deze manier wordt vooral betracht meer neutraliteit </w:t>
      </w:r>
      <w:r w:rsidR="00D81410">
        <w:t xml:space="preserve">in </w:t>
      </w:r>
      <w:r w:rsidR="006D3803">
        <w:t xml:space="preserve">de </w:t>
      </w:r>
      <w:r w:rsidR="00D81410">
        <w:t>ondernemingsvorm te bewerkstelligen.</w:t>
      </w:r>
    </w:p>
    <w:p w14:paraId="1148503C" w14:textId="77777777" w:rsidR="00485E30" w:rsidRPr="00B21FAC" w:rsidRDefault="00485E30" w:rsidP="00BA7E3E">
      <w:pPr>
        <w:spacing w:after="0"/>
        <w:jc w:val="both"/>
      </w:pPr>
    </w:p>
    <w:p w14:paraId="14B08F07" w14:textId="542BDF15" w:rsidR="00A57A2D" w:rsidRPr="00B21FAC" w:rsidRDefault="00A57A2D" w:rsidP="00BA7E3E">
      <w:pPr>
        <w:spacing w:after="0"/>
        <w:jc w:val="both"/>
      </w:pPr>
      <w:r w:rsidRPr="00B21FAC">
        <w:t xml:space="preserve">Dit doet geen afbreuk aan de mogelijke toepassing van een continuïteitsregime of een herbeleggingsregime, die ertoe moeten bijdragen het investeren aan te moedigen. </w:t>
      </w:r>
    </w:p>
    <w:p w14:paraId="72CA9ECD" w14:textId="77777777" w:rsidR="00485E30" w:rsidRPr="00B21FAC" w:rsidRDefault="00485E30" w:rsidP="00BA7E3E">
      <w:pPr>
        <w:spacing w:after="0"/>
        <w:jc w:val="both"/>
      </w:pPr>
    </w:p>
    <w:p w14:paraId="546BC7EC" w14:textId="3EBA1156" w:rsidR="00A57A2D" w:rsidRPr="00B21FAC" w:rsidRDefault="00A57A2D" w:rsidP="00BA7E3E">
      <w:pPr>
        <w:spacing w:after="0"/>
        <w:jc w:val="both"/>
      </w:pPr>
      <w:r w:rsidRPr="00B21FAC">
        <w:t xml:space="preserve">T.a.v. de genieters van de bezoldigingen wordt voorgesteld in de wet te expliciteren dat zij </w:t>
      </w:r>
      <w:r w:rsidR="003258FA">
        <w:t xml:space="preserve">in principe </w:t>
      </w:r>
      <w:r w:rsidRPr="00B21FAC">
        <w:t>geen afschrijvingskosten of minderwaarden in aftrek kunnen brengen m.b.t. activa die zij professioneel zouden affecteren (zie verder). Hiertegenover staat om evidente redenen dat de gebeurlijke meerwaarde evenmin als een bezoldiging kan worden belast.</w:t>
      </w:r>
    </w:p>
    <w:p w14:paraId="578281BC" w14:textId="7740E2A0" w:rsidR="00301FF2" w:rsidRDefault="00301FF2">
      <w:r>
        <w:br w:type="page"/>
      </w:r>
    </w:p>
    <w:p w14:paraId="52006E02" w14:textId="77777777" w:rsidR="00A57A2D" w:rsidRDefault="00A57A2D" w:rsidP="00BA7E3E">
      <w:pPr>
        <w:spacing w:after="0"/>
        <w:jc w:val="both"/>
      </w:pPr>
    </w:p>
    <w:p w14:paraId="588E8493" w14:textId="77777777" w:rsidR="001C5F39" w:rsidRPr="00B21FAC" w:rsidRDefault="001C5F39" w:rsidP="00BA7E3E">
      <w:pPr>
        <w:spacing w:after="0"/>
        <w:jc w:val="both"/>
      </w:pPr>
    </w:p>
    <w:p w14:paraId="76642766" w14:textId="1FF2B256" w:rsidR="00A57A2D" w:rsidRPr="00B21FAC" w:rsidRDefault="00A57A2D" w:rsidP="00275FEB">
      <w:pPr>
        <w:pStyle w:val="Kop2"/>
        <w:numPr>
          <w:ilvl w:val="0"/>
          <w:numId w:val="40"/>
        </w:numPr>
      </w:pPr>
      <w:bookmarkStart w:id="180" w:name="_Toc107210912"/>
      <w:r w:rsidRPr="00B21FAC">
        <w:t>Specifieke regels van toepassing op winst</w:t>
      </w:r>
      <w:bookmarkEnd w:id="180"/>
    </w:p>
    <w:p w14:paraId="7B487441" w14:textId="2960F7E5" w:rsidR="00A57A2D" w:rsidRPr="00B21FAC" w:rsidRDefault="00A57A2D" w:rsidP="00BA7E3E">
      <w:pPr>
        <w:spacing w:after="0"/>
        <w:jc w:val="both"/>
      </w:pPr>
    </w:p>
    <w:p w14:paraId="0812D0FB" w14:textId="270A2152" w:rsidR="00A119BA" w:rsidRDefault="00A119BA">
      <w:pPr>
        <w:spacing w:after="0"/>
        <w:jc w:val="both"/>
      </w:pPr>
    </w:p>
    <w:p w14:paraId="4AAD18C3" w14:textId="383FEC24" w:rsidR="003160DC" w:rsidRDefault="003160DC">
      <w:pPr>
        <w:spacing w:after="0"/>
        <w:jc w:val="both"/>
      </w:pPr>
      <w:bookmarkStart w:id="181" w:name="_Hlk93908067"/>
      <w:r w:rsidRPr="00BA7E3E">
        <w:rPr>
          <w:b/>
          <w:bCs/>
        </w:rPr>
        <w:t>Voorstel</w:t>
      </w:r>
      <w:r>
        <w:t xml:space="preserve"> – Onverminderd de hiervoor aangehaalde algemene voorstellen, worden de </w:t>
      </w:r>
      <w:r w:rsidR="00D10C06">
        <w:t xml:space="preserve">regels, zoals van toepassing op winst, grondig geherevalueerd, met als doel </w:t>
      </w:r>
      <w:r w:rsidR="008470CD">
        <w:t xml:space="preserve">zoveel als mogelijk de coherentie en logica van het stelsel te herstellen. </w:t>
      </w:r>
      <w:r w:rsidR="00D32CB9">
        <w:t>Hiertoe kan (o.m.) voorgesteld worden om:</w:t>
      </w:r>
    </w:p>
    <w:p w14:paraId="0752F35A" w14:textId="1E62C988" w:rsidR="00D32CB9" w:rsidRDefault="00BF265D" w:rsidP="00D32CB9">
      <w:pPr>
        <w:pStyle w:val="Lijstalinea"/>
        <w:numPr>
          <w:ilvl w:val="0"/>
          <w:numId w:val="93"/>
        </w:numPr>
        <w:spacing w:after="0"/>
        <w:jc w:val="both"/>
      </w:pPr>
      <w:r>
        <w:t>o</w:t>
      </w:r>
      <w:r w:rsidR="00064A51">
        <w:t xml:space="preserve">ok de n.a.v. de stopzetting van de beroepsactiviteit vaststelbare meerwaarde belastbaar te maken, teneinde </w:t>
      </w:r>
      <w:r w:rsidR="008B7267">
        <w:t xml:space="preserve">fiscale </w:t>
      </w:r>
      <w:r>
        <w:t>desaffectatie te vermijden;</w:t>
      </w:r>
    </w:p>
    <w:p w14:paraId="28654B91" w14:textId="291B2E4C" w:rsidR="00BF265D" w:rsidRDefault="008B7267" w:rsidP="00D32CB9">
      <w:pPr>
        <w:pStyle w:val="Lijstalinea"/>
        <w:numPr>
          <w:ilvl w:val="0"/>
          <w:numId w:val="93"/>
        </w:numPr>
        <w:spacing w:after="0"/>
        <w:jc w:val="both"/>
      </w:pPr>
      <w:r>
        <w:t xml:space="preserve">generieke of specifieke maatregelen te nemen teneinde </w:t>
      </w:r>
      <w:r w:rsidR="00F96E17">
        <w:t>een oneigenlijk gebruik van de kostenaftrek zoveel als mogelijk te beperken;</w:t>
      </w:r>
    </w:p>
    <w:p w14:paraId="12CBE524" w14:textId="2DD68EF6" w:rsidR="00F96E17" w:rsidRDefault="001F386C" w:rsidP="00D32CB9">
      <w:pPr>
        <w:pStyle w:val="Lijstalinea"/>
        <w:numPr>
          <w:ilvl w:val="0"/>
          <w:numId w:val="93"/>
        </w:numPr>
        <w:spacing w:after="0"/>
        <w:jc w:val="both"/>
      </w:pPr>
      <w:r>
        <w:t xml:space="preserve">de thans bestaande </w:t>
      </w:r>
      <w:r w:rsidR="009E7916">
        <w:t xml:space="preserve">diversiteit aan </w:t>
      </w:r>
      <w:r>
        <w:t xml:space="preserve">economische vrijstellingen </w:t>
      </w:r>
      <w:r w:rsidR="009E7916">
        <w:t>beter te stroomlijnen</w:t>
      </w:r>
      <w:r w:rsidR="00C05782">
        <w:t>;</w:t>
      </w:r>
    </w:p>
    <w:p w14:paraId="6281FCED" w14:textId="7F00A87D" w:rsidR="00C05782" w:rsidRDefault="00F86910" w:rsidP="00BA7E3E">
      <w:pPr>
        <w:pStyle w:val="Lijstalinea"/>
        <w:numPr>
          <w:ilvl w:val="0"/>
          <w:numId w:val="93"/>
        </w:numPr>
        <w:spacing w:after="0"/>
        <w:jc w:val="both"/>
      </w:pPr>
      <w:r>
        <w:t>de regels inzake de verliesaanrekening te beperken.</w:t>
      </w:r>
    </w:p>
    <w:bookmarkEnd w:id="181"/>
    <w:p w14:paraId="7BF12AC1" w14:textId="4C9A31AA" w:rsidR="003160DC" w:rsidRDefault="003160DC">
      <w:pPr>
        <w:spacing w:after="0"/>
        <w:jc w:val="both"/>
      </w:pPr>
    </w:p>
    <w:p w14:paraId="52702E28" w14:textId="6772BD19" w:rsidR="00F86910" w:rsidRPr="00BA7E3E" w:rsidRDefault="00F86910">
      <w:pPr>
        <w:spacing w:after="0"/>
        <w:jc w:val="both"/>
        <w:rPr>
          <w:u w:val="single"/>
        </w:rPr>
      </w:pPr>
      <w:r w:rsidRPr="00BA7E3E">
        <w:rPr>
          <w:u w:val="single"/>
        </w:rPr>
        <w:t>Toelichting:</w:t>
      </w:r>
    </w:p>
    <w:p w14:paraId="533FC4D8" w14:textId="77777777" w:rsidR="003160DC" w:rsidRPr="00B21FAC" w:rsidRDefault="003160DC" w:rsidP="00BA7E3E">
      <w:pPr>
        <w:spacing w:after="0"/>
        <w:jc w:val="both"/>
      </w:pPr>
    </w:p>
    <w:p w14:paraId="256ECBE5" w14:textId="4948DA79" w:rsidR="00A65102" w:rsidRDefault="00A57A2D" w:rsidP="00BA7E3E">
      <w:pPr>
        <w:numPr>
          <w:ilvl w:val="0"/>
          <w:numId w:val="15"/>
        </w:numPr>
        <w:spacing w:after="0"/>
        <w:jc w:val="both"/>
      </w:pPr>
      <w:r w:rsidRPr="00B21FAC">
        <w:t xml:space="preserve">De als winst </w:t>
      </w:r>
      <w:r w:rsidRPr="00B21FAC">
        <w:rPr>
          <w:b/>
          <w:bCs/>
        </w:rPr>
        <w:t>belastbare inkomsten</w:t>
      </w:r>
      <w:r w:rsidRPr="00B21FAC">
        <w:t xml:space="preserve"> omvatten in ieder geval de eigenlijke exploitatiewinsten. Meerwaarden op vaste activa worden eveneens als een ‘winst’ beschouwd, doch uitsluitend in de mate deze winst samenvalt met de voorheen aangenomen afschrijvingen en waardeverminderingen. De meerwaardebelasting wordt in de regel maar afgerekend op het moment van de realisatie van het onderliggend actief. </w:t>
      </w:r>
      <w:r w:rsidR="00C813ED">
        <w:t xml:space="preserve">Teneinde desaffectatie en dito onbelastbaarheid te vermijden, verdient het wel aanbeveling </w:t>
      </w:r>
      <w:r w:rsidR="00545866">
        <w:t xml:space="preserve">om ook n.a.v. </w:t>
      </w:r>
      <w:r w:rsidR="00C813ED">
        <w:t xml:space="preserve">de stopzetting van de beroepsactiviteit </w:t>
      </w:r>
      <w:r w:rsidR="00545866">
        <w:t>de gebeurlijk vaststelbare meerwaarde te belasten.</w:t>
      </w:r>
      <w:r w:rsidR="00C813ED">
        <w:t xml:space="preserve"> </w:t>
      </w:r>
    </w:p>
    <w:p w14:paraId="26CD6EA4" w14:textId="2E7CED21" w:rsidR="00A57A2D" w:rsidRPr="00B21FAC" w:rsidRDefault="00A57A2D" w:rsidP="00BA7E3E">
      <w:pPr>
        <w:spacing w:after="0"/>
        <w:ind w:left="720"/>
        <w:jc w:val="both"/>
      </w:pPr>
      <w:r w:rsidRPr="00B21FAC">
        <w:t xml:space="preserve">Het saldo </w:t>
      </w:r>
      <w:r w:rsidR="00A65102">
        <w:t xml:space="preserve">(te weten het gedeelte van de meerwaarde dat hoger ligt dan het bedrag van de voorheen aangenomen afschrijvingen en waardeverminderingen) </w:t>
      </w:r>
      <w:r w:rsidR="003F67E9">
        <w:t>kwalificeert als een</w:t>
      </w:r>
      <w:r w:rsidR="006D2D1A" w:rsidRPr="00B21FAC">
        <w:t xml:space="preserve"> vermogensinkomen</w:t>
      </w:r>
      <w:r w:rsidRPr="00B21FAC">
        <w:t xml:space="preserve"> (zie hiervoor).</w:t>
      </w:r>
    </w:p>
    <w:p w14:paraId="137CF18F" w14:textId="77777777" w:rsidR="006D2D1A" w:rsidRPr="00B21FAC" w:rsidRDefault="006D2D1A" w:rsidP="00BA7E3E">
      <w:pPr>
        <w:spacing w:after="0"/>
        <w:ind w:left="720"/>
        <w:jc w:val="both"/>
      </w:pPr>
    </w:p>
    <w:p w14:paraId="321A5AA7" w14:textId="77777777" w:rsidR="00A57A2D" w:rsidRPr="00B21FAC" w:rsidRDefault="00A57A2D" w:rsidP="00BA7E3E">
      <w:pPr>
        <w:pStyle w:val="Lijstalinea"/>
        <w:numPr>
          <w:ilvl w:val="0"/>
          <w:numId w:val="15"/>
        </w:numPr>
        <w:spacing w:after="0"/>
        <w:jc w:val="both"/>
      </w:pPr>
      <w:r w:rsidRPr="00B21FAC">
        <w:t xml:space="preserve">Teneinde de </w:t>
      </w:r>
      <w:r w:rsidRPr="00B21FAC">
        <w:rPr>
          <w:b/>
          <w:bCs/>
        </w:rPr>
        <w:t>netto-belastbare grondslag</w:t>
      </w:r>
      <w:r w:rsidRPr="00B21FAC">
        <w:t xml:space="preserve"> vast te stellen, kunnen in principe de </w:t>
      </w:r>
      <w:r w:rsidRPr="00B21FAC">
        <w:rPr>
          <w:u w:val="single"/>
        </w:rPr>
        <w:t>reëel gemaakte of gedragen kosten</w:t>
      </w:r>
      <w:r w:rsidRPr="00B21FAC">
        <w:t xml:space="preserve"> in mindering worden gebracht. </w:t>
      </w:r>
    </w:p>
    <w:p w14:paraId="381480AD" w14:textId="2F9F07A4" w:rsidR="00A57A2D" w:rsidRDefault="00A57A2D" w:rsidP="00BA7E3E">
      <w:pPr>
        <w:pStyle w:val="Lijstalinea"/>
        <w:spacing w:after="0"/>
        <w:jc w:val="both"/>
      </w:pPr>
    </w:p>
    <w:p w14:paraId="02F4EE15" w14:textId="19F2951F" w:rsidR="00B57AB1" w:rsidRDefault="00B57AB1" w:rsidP="00BA7E3E">
      <w:pPr>
        <w:pStyle w:val="Lijstalinea"/>
        <w:spacing w:after="0"/>
        <w:jc w:val="both"/>
      </w:pPr>
      <w:r>
        <w:t xml:space="preserve">Dit </w:t>
      </w:r>
      <w:r w:rsidR="004045A2">
        <w:t xml:space="preserve">betekent ook dat alle lasten die verband houden met de toekenning van de bezoldigingen </w:t>
      </w:r>
      <w:r w:rsidR="00766D8F">
        <w:t xml:space="preserve">(waartegenover reële prestaties staan) </w:t>
      </w:r>
      <w:r w:rsidR="004045A2">
        <w:t>in hoofde van de werkgever/vennootschap aftrekbaar moeten zijn</w:t>
      </w:r>
      <w:r w:rsidR="00766D8F">
        <w:t xml:space="preserve"> (</w:t>
      </w:r>
      <w:r w:rsidR="00766D8F" w:rsidRPr="00303355">
        <w:rPr>
          <w:i/>
          <w:iCs/>
        </w:rPr>
        <w:t>cf. supra</w:t>
      </w:r>
      <w:r w:rsidR="00766D8F">
        <w:t>)</w:t>
      </w:r>
      <w:r w:rsidR="004045A2">
        <w:t>.</w:t>
      </w:r>
    </w:p>
    <w:p w14:paraId="007282FB" w14:textId="77777777" w:rsidR="00B57AB1" w:rsidRPr="00B21FAC" w:rsidRDefault="00B57AB1" w:rsidP="00BA7E3E">
      <w:pPr>
        <w:pStyle w:val="Lijstalinea"/>
        <w:spacing w:after="0"/>
        <w:jc w:val="both"/>
      </w:pPr>
    </w:p>
    <w:p w14:paraId="059935AF" w14:textId="3348BFBA" w:rsidR="00A57A2D" w:rsidRPr="00B21FAC" w:rsidRDefault="00A57A2D" w:rsidP="00BA7E3E">
      <w:pPr>
        <w:pStyle w:val="Lijstalinea"/>
        <w:spacing w:after="0"/>
        <w:jc w:val="both"/>
      </w:pPr>
      <w:r w:rsidRPr="00B21FAC">
        <w:t xml:space="preserve">Het verdient wel aanbeveling de notie ‘beroepskost’ strenger te definiëren, of deze notie minstens t.a.v. een aantal </w:t>
      </w:r>
      <w:r w:rsidRPr="00B21FAC">
        <w:rPr>
          <w:u w:val="single"/>
        </w:rPr>
        <w:t>specifieke kosten</w:t>
      </w:r>
      <w:r w:rsidRPr="00B21FAC">
        <w:t xml:space="preserve"> te verduidelijken</w:t>
      </w:r>
      <w:r w:rsidR="00141BB5" w:rsidRPr="00B21FAC">
        <w:t xml:space="preserve"> met als doel een oneigenlijk gebruik uit te sluiten</w:t>
      </w:r>
      <w:r w:rsidRPr="00B21FAC">
        <w:t xml:space="preserve">. Aldus kan het </w:t>
      </w:r>
      <w:r w:rsidR="00041984">
        <w:t xml:space="preserve">o.m. </w:t>
      </w:r>
      <w:r w:rsidRPr="00B21FAC">
        <w:t>aangewezen zijn om</w:t>
      </w:r>
      <w:r w:rsidR="00041984">
        <w:t xml:space="preserve"> specifiek</w:t>
      </w:r>
      <w:r w:rsidR="001B080B">
        <w:t>e</w:t>
      </w:r>
      <w:r w:rsidR="00041984">
        <w:t xml:space="preserve"> en gerichte maatregelen te nemen teneinde het ‘fiscaliseren’ van woningen tegen te gaan.</w:t>
      </w:r>
    </w:p>
    <w:p w14:paraId="61AD1CF7" w14:textId="77777777" w:rsidR="00A57A2D" w:rsidRPr="00B21FAC" w:rsidRDefault="00A57A2D" w:rsidP="00BA7E3E">
      <w:pPr>
        <w:pStyle w:val="Lijstalinea"/>
        <w:spacing w:after="0"/>
        <w:jc w:val="both"/>
      </w:pPr>
    </w:p>
    <w:p w14:paraId="493D17E1" w14:textId="2A86E8B6" w:rsidR="00A57A2D" w:rsidRPr="00B21FAC" w:rsidRDefault="00A57A2D" w:rsidP="00BA7E3E">
      <w:pPr>
        <w:pStyle w:val="Lijstalinea"/>
        <w:spacing w:after="0"/>
        <w:jc w:val="both"/>
      </w:pPr>
      <w:r w:rsidRPr="00B21FAC">
        <w:t xml:space="preserve">Eveneens moet overwogen worden om voor een beperkt aantal kosten nog uitsluitend forfaits </w:t>
      </w:r>
      <w:r w:rsidR="00414B2D">
        <w:t xml:space="preserve">(of bepaalde plafonds) </w:t>
      </w:r>
      <w:r w:rsidRPr="00B21FAC">
        <w:t xml:space="preserve">te aanvaarden. Hierbij kan bv. gedacht worden aan de representatiekosten en relatiegeschenken. Deze forfaits </w:t>
      </w:r>
      <w:r w:rsidR="00075D95">
        <w:t xml:space="preserve">(of plafonds) </w:t>
      </w:r>
      <w:r w:rsidRPr="00B21FAC">
        <w:t>kunnen desgevallend gedifferentieerd worden in functie van de specificiteit van de beroepsgroep.</w:t>
      </w:r>
    </w:p>
    <w:p w14:paraId="47C9FF02" w14:textId="77777777" w:rsidR="00A57A2D" w:rsidRPr="00B21FAC" w:rsidRDefault="00A57A2D" w:rsidP="00BA7E3E">
      <w:pPr>
        <w:pStyle w:val="Lijstalinea"/>
        <w:spacing w:after="0"/>
        <w:jc w:val="both"/>
      </w:pPr>
    </w:p>
    <w:p w14:paraId="2B48DBA0" w14:textId="2CE4686A" w:rsidR="00A57A2D" w:rsidRPr="00B21FAC" w:rsidRDefault="00A57A2D" w:rsidP="00BA7E3E">
      <w:pPr>
        <w:pStyle w:val="Lijstalinea"/>
        <w:spacing w:after="0"/>
        <w:jc w:val="both"/>
      </w:pPr>
      <w:r w:rsidRPr="00B21FAC">
        <w:t xml:space="preserve">Onverminderd dit stelsel van de werkelijke kosten, bestaat er op vandaag ook een stelsel van de </w:t>
      </w:r>
      <w:r w:rsidRPr="00B21FAC">
        <w:rPr>
          <w:u w:val="single"/>
        </w:rPr>
        <w:t>forfaitaire kosten</w:t>
      </w:r>
      <w:r w:rsidRPr="00B21FAC">
        <w:t xml:space="preserve">. De vraag rijst of dit stelsel behouden moet blijven. </w:t>
      </w:r>
      <w:r w:rsidR="002573A2">
        <w:t>A</w:t>
      </w:r>
      <w:r w:rsidRPr="00B21FAC">
        <w:t>llicht</w:t>
      </w:r>
      <w:r w:rsidR="002573A2">
        <w:t xml:space="preserve"> zullen</w:t>
      </w:r>
      <w:r w:rsidRPr="00B21FAC">
        <w:t xml:space="preserve"> enkel ‘ondernemers’ zonder </w:t>
      </w:r>
      <w:r w:rsidR="004C4C26">
        <w:t xml:space="preserve">(voldoende) </w:t>
      </w:r>
      <w:r w:rsidRPr="00B21FAC">
        <w:t xml:space="preserve">reële kosten dit forfait in de praktijk toepassen. </w:t>
      </w:r>
    </w:p>
    <w:p w14:paraId="251E522F" w14:textId="77777777" w:rsidR="00A57A2D" w:rsidRPr="00B21FAC" w:rsidRDefault="00A57A2D" w:rsidP="00BA7E3E">
      <w:pPr>
        <w:pStyle w:val="Lijstalinea"/>
        <w:spacing w:after="0"/>
        <w:jc w:val="both"/>
      </w:pPr>
    </w:p>
    <w:p w14:paraId="17438C60" w14:textId="77777777" w:rsidR="00A57A2D" w:rsidRPr="00B21FAC" w:rsidRDefault="00A57A2D" w:rsidP="00BA7E3E">
      <w:pPr>
        <w:pStyle w:val="Lijstalinea"/>
        <w:spacing w:after="0"/>
        <w:jc w:val="both"/>
      </w:pPr>
      <w:r w:rsidRPr="00B21FAC">
        <w:t>Bijzondere aandacht moet ook besteed worden aan enkele specifieke kostenregimes:</w:t>
      </w:r>
    </w:p>
    <w:p w14:paraId="156CF44D" w14:textId="0524DA6E" w:rsidR="00A57A2D" w:rsidRPr="00B21FAC" w:rsidRDefault="00A57A2D" w:rsidP="00BA7E3E">
      <w:pPr>
        <w:pStyle w:val="Lijstalinea"/>
        <w:numPr>
          <w:ilvl w:val="1"/>
          <w:numId w:val="15"/>
        </w:numPr>
        <w:spacing w:after="0"/>
        <w:jc w:val="both"/>
      </w:pPr>
      <w:r w:rsidRPr="00B21FAC">
        <w:t>Huidig artikel 52</w:t>
      </w:r>
      <w:r w:rsidRPr="00B21FAC">
        <w:rPr>
          <w:i/>
          <w:iCs/>
        </w:rPr>
        <w:t>bis</w:t>
      </w:r>
      <w:r w:rsidRPr="00B21FAC">
        <w:t xml:space="preserve"> </w:t>
      </w:r>
      <w:r w:rsidR="008B4BD5" w:rsidRPr="00B21FAC">
        <w:t xml:space="preserve">WIB92 </w:t>
      </w:r>
      <w:r w:rsidRPr="00B21FAC">
        <w:t>(kosten kinderopvang): Men kan zich de vraag stellen of het de taak is van de federale overheid om via fiscale maatregelen de werkgevers ertoe aan te zetten de kinderopvang te ‘financieren’. De opportuniteit van deze maatregel moet dan ook onderzocht worden, hiermee weliswaar rekening houdend met de ambitie in het Regeerakkoord op grond waarvan de regering maatregelen wenst te nemen  “</w:t>
      </w:r>
      <w:r w:rsidRPr="00B21FAC">
        <w:rPr>
          <w:i/>
          <w:iCs/>
        </w:rPr>
        <w:t>om de gezinsfiscaliteit te verlichten en beter af te stemmen op de combinatie werk en gezin en de zorg voor oudere, inwonende familieleden</w:t>
      </w:r>
      <w:r w:rsidRPr="00B21FAC">
        <w:t>”.</w:t>
      </w:r>
    </w:p>
    <w:p w14:paraId="5D9808B2" w14:textId="77777777" w:rsidR="00A57A2D" w:rsidRPr="00B21FAC" w:rsidRDefault="00A57A2D" w:rsidP="00BA7E3E">
      <w:pPr>
        <w:pStyle w:val="Lijstalinea"/>
        <w:numPr>
          <w:ilvl w:val="1"/>
          <w:numId w:val="15"/>
        </w:numPr>
        <w:spacing w:after="0"/>
        <w:jc w:val="both"/>
      </w:pPr>
      <w:r w:rsidRPr="00B21FAC">
        <w:t>Voor de regels m.b.t. autokosten moet rekening gehouden worden met de recent voorgestelde hervorming die in wezen beschouwd kan worden als een transitiemaatregel naar een meer ecologisch bedrijfswagenpark.</w:t>
      </w:r>
    </w:p>
    <w:p w14:paraId="6C342B22" w14:textId="77777777" w:rsidR="00A57A2D" w:rsidRPr="00B21FAC" w:rsidRDefault="00A57A2D" w:rsidP="00BA7E3E">
      <w:pPr>
        <w:pStyle w:val="Lijstalinea"/>
        <w:spacing w:after="0"/>
        <w:jc w:val="both"/>
      </w:pPr>
    </w:p>
    <w:p w14:paraId="085E3FC6" w14:textId="0D2F5B3F" w:rsidR="00A57A2D" w:rsidRPr="00B21FAC" w:rsidRDefault="00A57A2D" w:rsidP="00BA7E3E">
      <w:pPr>
        <w:pStyle w:val="Lijstalinea"/>
        <w:numPr>
          <w:ilvl w:val="0"/>
          <w:numId w:val="15"/>
        </w:numPr>
        <w:spacing w:after="0"/>
        <w:jc w:val="both"/>
      </w:pPr>
      <w:r w:rsidRPr="00B21FAC">
        <w:t xml:space="preserve">De thans bestaande </w:t>
      </w:r>
      <w:r w:rsidRPr="00B21FAC">
        <w:rPr>
          <w:b/>
          <w:bCs/>
        </w:rPr>
        <w:t>economische vrijstellingen</w:t>
      </w:r>
      <w:r w:rsidRPr="00B21FAC">
        <w:t>, moeten aantoonbaar effectief zijn</w:t>
      </w:r>
      <w:r w:rsidR="008B4536">
        <w:t xml:space="preserve"> (cf. bouwsteen 10)</w:t>
      </w:r>
      <w:r w:rsidRPr="00B21FAC">
        <w:t>.</w:t>
      </w:r>
    </w:p>
    <w:p w14:paraId="22C135E5" w14:textId="77777777" w:rsidR="00A57A2D" w:rsidRPr="00B21FAC" w:rsidRDefault="00A57A2D" w:rsidP="00BA7E3E">
      <w:pPr>
        <w:pStyle w:val="Lijstalinea"/>
        <w:spacing w:after="0"/>
        <w:jc w:val="both"/>
      </w:pPr>
    </w:p>
    <w:p w14:paraId="693D570C" w14:textId="77777777" w:rsidR="00A57A2D" w:rsidRPr="00B21FAC" w:rsidRDefault="00A57A2D" w:rsidP="00BA7E3E">
      <w:pPr>
        <w:pStyle w:val="Lijstalinea"/>
        <w:spacing w:after="0"/>
        <w:jc w:val="both"/>
      </w:pPr>
      <w:r w:rsidRPr="00B21FAC">
        <w:t>Zij vallen in essentie uiteen in twee grote groepen.</w:t>
      </w:r>
    </w:p>
    <w:p w14:paraId="714164C9" w14:textId="77777777" w:rsidR="00A57A2D" w:rsidRPr="00B21FAC" w:rsidRDefault="00A57A2D" w:rsidP="00BA7E3E">
      <w:pPr>
        <w:pStyle w:val="Lijstalinea"/>
        <w:spacing w:after="0"/>
        <w:jc w:val="both"/>
      </w:pPr>
    </w:p>
    <w:p w14:paraId="74C475C4" w14:textId="6E818687" w:rsidR="00A57A2D" w:rsidRPr="00B21FAC" w:rsidRDefault="00A57A2D" w:rsidP="00BA7E3E">
      <w:pPr>
        <w:pStyle w:val="Lijstalinea"/>
        <w:spacing w:after="0"/>
        <w:jc w:val="both"/>
      </w:pPr>
      <w:r w:rsidRPr="00B21FAC">
        <w:t xml:space="preserve">Enerzijds voorziet de wetgever op vandaag diverse maatregelen die erop gericht zijn de tewerkstelling aan te moedigen (zie art. 67 WIB92 – Uitvoer – Integrale kwaliteitszorg / 67bis WIB92 – Stage in de onderneming / 67ter – Bijkomend personeel). Het verdient aanbeveling deze gerichte ‘fiscale’ maatregelen te koppelen aan de SZ-wetgeving teneinde na te gaan </w:t>
      </w:r>
      <w:r w:rsidR="008E06AF">
        <w:t>of ze</w:t>
      </w:r>
      <w:r w:rsidRPr="00B21FAC">
        <w:t xml:space="preserve">, zo ze in hun opzet al worden behouden, niet moeten opgevat worden als </w:t>
      </w:r>
      <w:r w:rsidR="0079100C" w:rsidRPr="00B21FAC">
        <w:t xml:space="preserve">een </w:t>
      </w:r>
      <w:r w:rsidRPr="00B21FAC">
        <w:t>federale vermindering van de werkgeversbijdragen. De vraag rijst overigens ook of er in deze geen sprake is van een dubbel gebruik, o.m. ook met de gewestelijke doelgroepenverminderingen. Hierbij moet er rekening mee worden gehouden dat de eventuele overheveling naar de SZ zou betekenen dat deze maatregelen voortaan zouden gelden ten gunste van vennootschappen (thans uitgesloten, zie art. 198</w:t>
      </w:r>
      <w:r w:rsidRPr="00FA3844">
        <w:rPr>
          <w:i/>
          <w:iCs/>
        </w:rPr>
        <w:t>quater</w:t>
      </w:r>
      <w:r w:rsidRPr="00B21FAC">
        <w:t xml:space="preserve"> WIB92).</w:t>
      </w:r>
    </w:p>
    <w:p w14:paraId="2FE6DF0F" w14:textId="77777777" w:rsidR="00A57A2D" w:rsidRPr="00B21FAC" w:rsidRDefault="00A57A2D" w:rsidP="00BA7E3E">
      <w:pPr>
        <w:pStyle w:val="Lijstalinea"/>
        <w:spacing w:after="0"/>
        <w:jc w:val="both"/>
      </w:pPr>
    </w:p>
    <w:p w14:paraId="4F51834C" w14:textId="7A12ECC4" w:rsidR="004B4B7A" w:rsidRPr="00B21FAC" w:rsidRDefault="00A57A2D" w:rsidP="00BA7E3E">
      <w:pPr>
        <w:pStyle w:val="Lijstalinea"/>
        <w:spacing w:after="0"/>
        <w:jc w:val="both"/>
      </w:pPr>
      <w:r w:rsidRPr="00B21FAC">
        <w:t xml:space="preserve">Anderzijds </w:t>
      </w:r>
      <w:r w:rsidR="00C849FF">
        <w:t>zijn er</w:t>
      </w:r>
      <w:r w:rsidRPr="00B21FAC">
        <w:t xml:space="preserve"> een aantal maatregelen die erop gericht zijn (specifieke) investeringen aan te moedigen. Hieronder valt de investeringsaftrek. Bij uitbreiding kan in dit kader ook melding worden gemaakt van (i) specifieke afschrijvingsstelsels die erop gericht zijn bepaalde investeringen aan te moedigen (bv. het degressief afschrijvingsstelsel) en van (ii) de mogelijkheid om bepaalde kosten a rato van 120%-af te trekken. </w:t>
      </w:r>
    </w:p>
    <w:p w14:paraId="1A6EF45F" w14:textId="29446F04" w:rsidR="00A57A2D" w:rsidRPr="00B21FAC" w:rsidRDefault="00A57A2D" w:rsidP="00BA7E3E">
      <w:pPr>
        <w:pStyle w:val="Lijstalinea"/>
        <w:spacing w:after="0"/>
        <w:jc w:val="both"/>
      </w:pPr>
      <w:r w:rsidRPr="00B21FAC">
        <w:t xml:space="preserve">Het lijkt in ieder geval conceptueel eenvoudiger om het regime van de 120%-aftrek op te heffen en </w:t>
      </w:r>
      <w:r w:rsidR="004F471E">
        <w:t>het</w:t>
      </w:r>
      <w:r w:rsidR="004F471E" w:rsidRPr="00B21FAC">
        <w:t xml:space="preserve"> </w:t>
      </w:r>
      <w:r w:rsidRPr="00B21FAC">
        <w:t xml:space="preserve">te integreren in de investeringsaftrek. Voor het overige en in lijn met het Regeerakkoord, lijkt het </w:t>
      </w:r>
      <w:r w:rsidR="00B109F1" w:rsidRPr="00B21FAC">
        <w:t xml:space="preserve">wel </w:t>
      </w:r>
      <w:r w:rsidRPr="00B21FAC">
        <w:t xml:space="preserve">belangrijk om deze investeringsaftrek te behouden. Het huidige basispercentage (vastgelegd tot eind 2022) bedraagt 25%, hetgeen in ieder geval aanzienlijk is. De vraag rijst wel of het de taak is van de fiscale wetgever om bepaalde investeringen nog extra aan te moedigen. Dit kan </w:t>
      </w:r>
      <w:r w:rsidR="00D80747">
        <w:t>ook</w:t>
      </w:r>
      <w:r w:rsidR="00631113" w:rsidRPr="00B21FAC">
        <w:t xml:space="preserve"> </w:t>
      </w:r>
      <w:r w:rsidRPr="00B21FAC">
        <w:t>bewerkstelligd worden via gerichte en directe subsidies.</w:t>
      </w:r>
    </w:p>
    <w:p w14:paraId="2DA1A3E0" w14:textId="69C88EA5" w:rsidR="0054615B" w:rsidRDefault="0054615B">
      <w:r>
        <w:br w:type="page"/>
      </w:r>
    </w:p>
    <w:p w14:paraId="2D18872B" w14:textId="220B33BE" w:rsidR="00A57A2D" w:rsidRPr="00B21FAC" w:rsidRDefault="00A57A2D" w:rsidP="00BA7E3E">
      <w:pPr>
        <w:pStyle w:val="Lijstalinea"/>
        <w:numPr>
          <w:ilvl w:val="0"/>
          <w:numId w:val="15"/>
        </w:numPr>
        <w:spacing w:after="0"/>
        <w:jc w:val="both"/>
      </w:pPr>
      <w:r w:rsidRPr="00B21FAC">
        <w:t xml:space="preserve">De desgevallend vastgestelde </w:t>
      </w:r>
      <w:r w:rsidRPr="00B21FAC">
        <w:rPr>
          <w:b/>
          <w:bCs/>
        </w:rPr>
        <w:t>beroepsverliezen</w:t>
      </w:r>
      <w:r w:rsidRPr="00B21FAC">
        <w:t xml:space="preserve"> zijn thans overdraagbaar. Er wordt voorgesteld dit zo te behouden. </w:t>
      </w:r>
    </w:p>
    <w:p w14:paraId="21063857" w14:textId="77777777" w:rsidR="00A57A2D" w:rsidRPr="00B21FAC" w:rsidRDefault="00A57A2D" w:rsidP="00BA7E3E">
      <w:pPr>
        <w:pStyle w:val="Lijstalinea"/>
        <w:spacing w:after="0"/>
        <w:jc w:val="both"/>
      </w:pPr>
    </w:p>
    <w:p w14:paraId="06AC3288" w14:textId="411BDBCC" w:rsidR="00A57A2D" w:rsidRPr="00B21FAC" w:rsidRDefault="004F471E" w:rsidP="00BA7E3E">
      <w:pPr>
        <w:pStyle w:val="Lijstalinea"/>
        <w:spacing w:after="0"/>
        <w:jc w:val="both"/>
      </w:pPr>
      <w:r>
        <w:t>Er</w:t>
      </w:r>
      <w:r w:rsidR="00A57A2D" w:rsidRPr="00B21FAC">
        <w:t xml:space="preserve"> wordt </w:t>
      </w:r>
      <w:r w:rsidR="00DE5AC8">
        <w:t xml:space="preserve">wel </w:t>
      </w:r>
      <w:r w:rsidR="00A57A2D" w:rsidRPr="00B21FAC">
        <w:t>v</w:t>
      </w:r>
      <w:r w:rsidR="00F64339" w:rsidRPr="00B21FAC">
        <w:t>oorgesteld v</w:t>
      </w:r>
      <w:r w:rsidR="00A57A2D" w:rsidRPr="00B21FAC">
        <w:t xml:space="preserve">oortaan geen onvoorwaardelijke verliesaanrekening meer </w:t>
      </w:r>
      <w:r w:rsidR="00F64339" w:rsidRPr="00B21FAC">
        <w:t xml:space="preserve">toe te staan </w:t>
      </w:r>
      <w:r w:rsidR="00A57A2D" w:rsidRPr="00B21FAC">
        <w:t xml:space="preserve">op andere inkomsten (inz. bezoldigingen). Deze mogelijkheid leidt er immers toe dat verlieslatende activiteiten kunstmatig in leven worden gehouden. Het stelsel is daarenboven gevoelig voor misbruiken. Voor zover een dergelijke aanrekening </w:t>
      </w:r>
      <w:r w:rsidR="00DE5AC8">
        <w:t xml:space="preserve">van recurrente verliezen </w:t>
      </w:r>
      <w:r w:rsidR="006507CC">
        <w:t>toch</w:t>
      </w:r>
      <w:r w:rsidR="006507CC" w:rsidRPr="00B21FAC">
        <w:t xml:space="preserve"> </w:t>
      </w:r>
      <w:r w:rsidR="00A57A2D" w:rsidRPr="00B21FAC">
        <w:t xml:space="preserve">nog behouden zou blijven, kan voorgesteld worden </w:t>
      </w:r>
      <w:r w:rsidR="001F5C30">
        <w:t>ze</w:t>
      </w:r>
      <w:r w:rsidR="001F5C30" w:rsidRPr="00B21FAC">
        <w:t xml:space="preserve"> </w:t>
      </w:r>
      <w:r w:rsidR="006975CF">
        <w:t xml:space="preserve">in de regel </w:t>
      </w:r>
      <w:r w:rsidR="00A57A2D" w:rsidRPr="00B21FAC">
        <w:t>nog uitsluitend gedurende de eerste jaren van de activiteit toe te staan. Dit laatste kan mede verantwoord worden vanuit het feit dat de eerste jaren vaak verlieslatend zijn. Daarenboven verhindert deze mogelijkheid ook dat het ondernemerschap zou worden afgeremd.</w:t>
      </w:r>
    </w:p>
    <w:p w14:paraId="54782CB2" w14:textId="77777777" w:rsidR="00A57A2D" w:rsidRPr="00B21FAC" w:rsidRDefault="00A57A2D" w:rsidP="00BA7E3E">
      <w:pPr>
        <w:pStyle w:val="Lijstalinea"/>
        <w:spacing w:after="0"/>
        <w:jc w:val="both"/>
      </w:pPr>
    </w:p>
    <w:p w14:paraId="215797DC" w14:textId="66A80FAC" w:rsidR="00A57A2D" w:rsidRPr="00B21FAC" w:rsidRDefault="00A57A2D" w:rsidP="00BA7E3E">
      <w:pPr>
        <w:pStyle w:val="Lijstalinea"/>
        <w:spacing w:after="0"/>
        <w:jc w:val="both"/>
      </w:pPr>
      <w:r w:rsidRPr="00B21FAC">
        <w:t xml:space="preserve">Daarnaast wordt de overdracht van verliezen uitgesloten </w:t>
      </w:r>
      <w:r w:rsidR="004A4943">
        <w:t xml:space="preserve">binnen </w:t>
      </w:r>
      <w:r w:rsidRPr="00B21FAC">
        <w:t xml:space="preserve">de categorie </w:t>
      </w:r>
      <w:r w:rsidR="004A4943">
        <w:t>van activiteitsinkomsten verworven buiten een professionele context</w:t>
      </w:r>
      <w:r w:rsidRPr="00B21FAC">
        <w:t>.</w:t>
      </w:r>
    </w:p>
    <w:p w14:paraId="38699BAE" w14:textId="4598F5D9" w:rsidR="00301FF2" w:rsidRDefault="00301FF2">
      <w:r>
        <w:br w:type="page"/>
      </w:r>
    </w:p>
    <w:p w14:paraId="181C5D93" w14:textId="77777777" w:rsidR="00A57A2D" w:rsidRDefault="00A57A2D">
      <w:pPr>
        <w:pStyle w:val="Lijstalinea"/>
        <w:spacing w:after="0"/>
        <w:jc w:val="both"/>
      </w:pPr>
    </w:p>
    <w:p w14:paraId="532195DA" w14:textId="77777777" w:rsidR="00CF1E92" w:rsidRPr="00B21FAC" w:rsidRDefault="00CF1E92" w:rsidP="00BA7E3E">
      <w:pPr>
        <w:pStyle w:val="Lijstalinea"/>
        <w:spacing w:after="0"/>
        <w:jc w:val="both"/>
      </w:pPr>
    </w:p>
    <w:p w14:paraId="17F7852E" w14:textId="2F36074A" w:rsidR="00A57A2D" w:rsidRPr="00B21FAC" w:rsidRDefault="00A57A2D" w:rsidP="00BA7E3E">
      <w:pPr>
        <w:pStyle w:val="Kop2"/>
        <w:numPr>
          <w:ilvl w:val="0"/>
          <w:numId w:val="40"/>
        </w:numPr>
        <w:spacing w:before="0"/>
      </w:pPr>
      <w:bookmarkStart w:id="182" w:name="_Toc107210913"/>
      <w:r w:rsidRPr="00B21FAC">
        <w:t>Specifieke regels van toepassing op bezoldigingen</w:t>
      </w:r>
      <w:bookmarkEnd w:id="182"/>
    </w:p>
    <w:p w14:paraId="0DBCFEC5" w14:textId="1303B3D0" w:rsidR="00A57A2D" w:rsidRPr="00BA7E3E" w:rsidRDefault="00A57A2D" w:rsidP="00BA7E3E">
      <w:pPr>
        <w:spacing w:after="0"/>
        <w:jc w:val="both"/>
        <w:rPr>
          <w:smallCaps/>
        </w:rPr>
      </w:pPr>
    </w:p>
    <w:p w14:paraId="1015F64D" w14:textId="017F27E1" w:rsidR="009610E5" w:rsidRDefault="009610E5">
      <w:pPr>
        <w:spacing w:after="0"/>
        <w:jc w:val="both"/>
        <w:rPr>
          <w:smallCaps/>
        </w:rPr>
      </w:pPr>
    </w:p>
    <w:p w14:paraId="5D389241" w14:textId="395C20FA" w:rsidR="002A02C1" w:rsidRDefault="002A02C1" w:rsidP="002A02C1">
      <w:pPr>
        <w:spacing w:after="0"/>
        <w:jc w:val="both"/>
      </w:pPr>
      <w:r w:rsidRPr="00654837">
        <w:rPr>
          <w:b/>
          <w:bCs/>
        </w:rPr>
        <w:t>Voorstel</w:t>
      </w:r>
      <w:r>
        <w:t xml:space="preserve"> – Onverminderd de hiervoor aangehaalde algemene voorstellen, worden de regels, zoals van toepassing op </w:t>
      </w:r>
      <w:r w:rsidR="00E31F07">
        <w:t>bezoldigingen</w:t>
      </w:r>
      <w:r>
        <w:t>, grondig geherevalueerd, met als doel zoveel als mogelijk de coherentie en logica van het stelsel te herstellen. Hiertoe kan (o.m.) voorgesteld worden om:</w:t>
      </w:r>
    </w:p>
    <w:p w14:paraId="72BBE07B" w14:textId="1AA67791" w:rsidR="00AC7E49" w:rsidRDefault="00122F55" w:rsidP="005236DE">
      <w:pPr>
        <w:pStyle w:val="Lijstalinea"/>
        <w:numPr>
          <w:ilvl w:val="0"/>
          <w:numId w:val="93"/>
        </w:numPr>
        <w:spacing w:after="0"/>
        <w:jc w:val="both"/>
      </w:pPr>
      <w:r>
        <w:t>h</w:t>
      </w:r>
      <w:r w:rsidR="00AC7E49">
        <w:t>et fiscaal en sociaal loonbegrip beter op elkaar af te stemmen;</w:t>
      </w:r>
    </w:p>
    <w:p w14:paraId="666FBF01" w14:textId="7114F500" w:rsidR="00122F55" w:rsidRDefault="00122F55" w:rsidP="005236DE">
      <w:pPr>
        <w:pStyle w:val="Lijstalinea"/>
        <w:numPr>
          <w:ilvl w:val="0"/>
          <w:numId w:val="93"/>
        </w:numPr>
        <w:spacing w:after="0"/>
        <w:jc w:val="both"/>
      </w:pPr>
      <w:r>
        <w:t xml:space="preserve">voor de toekenning van </w:t>
      </w:r>
      <w:r w:rsidR="00E92831">
        <w:t xml:space="preserve">terugbetalingen van kosten eigen aan de werkgever/vennootschap </w:t>
      </w:r>
      <w:r w:rsidR="004B4329">
        <w:t>af te stappen van al te ruime forfaitaire regelingen;</w:t>
      </w:r>
    </w:p>
    <w:p w14:paraId="1A21EB38" w14:textId="302DB5FC" w:rsidR="004F3F49" w:rsidRPr="004F3F49" w:rsidRDefault="004F3F49" w:rsidP="00303355">
      <w:pPr>
        <w:pStyle w:val="Lijstalinea"/>
        <w:numPr>
          <w:ilvl w:val="0"/>
          <w:numId w:val="93"/>
        </w:numPr>
        <w:jc w:val="both"/>
      </w:pPr>
      <w:r w:rsidRPr="004F3F49">
        <w:t>generieke of specifieke maatregelen te nemen teneinde een oneigenlijk gebruik van de kostenaftrek zoveel als mogelijk te beperken</w:t>
      </w:r>
      <w:r>
        <w:t>, o.m. voor wat betreft afschrijvingskosten op activa die professioneel geaffecteerd zouden worden</w:t>
      </w:r>
      <w:r w:rsidRPr="004F3F49">
        <w:t>;</w:t>
      </w:r>
    </w:p>
    <w:p w14:paraId="4152B9A0" w14:textId="69067B82" w:rsidR="00140C1D" w:rsidRPr="00140C1D" w:rsidRDefault="00140C1D" w:rsidP="005236DE">
      <w:pPr>
        <w:pStyle w:val="Lijstalinea"/>
        <w:numPr>
          <w:ilvl w:val="0"/>
          <w:numId w:val="93"/>
        </w:numPr>
        <w:spacing w:after="0"/>
        <w:jc w:val="both"/>
      </w:pPr>
      <w:r>
        <w:t xml:space="preserve">de </w:t>
      </w:r>
      <w:r w:rsidR="00347DFC">
        <w:t xml:space="preserve">forfaitaire </w:t>
      </w:r>
      <w:r>
        <w:t>aftrek van kosten</w:t>
      </w:r>
      <w:r w:rsidR="00347DFC">
        <w:t xml:space="preserve"> meer in lijn te brengen met de </w:t>
      </w:r>
      <w:r w:rsidR="004F3F49">
        <w:t>realiteit, waarbij eveneens rekening kan worden gehouden met de al dan niet deeltijdse tewerkstelling</w:t>
      </w:r>
      <w:r w:rsidRPr="00140C1D">
        <w:t>;</w:t>
      </w:r>
    </w:p>
    <w:p w14:paraId="062981B0" w14:textId="24EA7879" w:rsidR="002A02C1" w:rsidRPr="00D453D8" w:rsidRDefault="00D453D8" w:rsidP="005236DE">
      <w:pPr>
        <w:pStyle w:val="Lijstalinea"/>
        <w:numPr>
          <w:ilvl w:val="0"/>
          <w:numId w:val="93"/>
        </w:numPr>
        <w:spacing w:after="0"/>
        <w:jc w:val="both"/>
      </w:pPr>
      <w:r>
        <w:t>een meer uniforme regeling te voorzien m.b.t. de fiscaliteit gerelateerd aan de mobiliteit.</w:t>
      </w:r>
    </w:p>
    <w:p w14:paraId="1DDFB8E1" w14:textId="77777777" w:rsidR="001664D7" w:rsidRPr="00BA7E3E" w:rsidRDefault="001664D7" w:rsidP="001664D7">
      <w:pPr>
        <w:spacing w:after="0"/>
        <w:jc w:val="both"/>
        <w:rPr>
          <w:smallCaps/>
        </w:rPr>
      </w:pPr>
    </w:p>
    <w:p w14:paraId="631ABFE5" w14:textId="5E156C02" w:rsidR="002A02C1" w:rsidRPr="00BA7E3E" w:rsidRDefault="002A02C1">
      <w:pPr>
        <w:spacing w:after="0"/>
        <w:jc w:val="both"/>
        <w:rPr>
          <w:u w:val="single"/>
        </w:rPr>
      </w:pPr>
      <w:r w:rsidRPr="00BA7E3E">
        <w:rPr>
          <w:u w:val="single"/>
        </w:rPr>
        <w:t>Toelichting:</w:t>
      </w:r>
    </w:p>
    <w:p w14:paraId="76DD7991" w14:textId="77777777" w:rsidR="002A02C1" w:rsidRPr="00BA7E3E" w:rsidRDefault="002A02C1" w:rsidP="00BA7E3E">
      <w:pPr>
        <w:spacing w:after="0"/>
        <w:jc w:val="both"/>
      </w:pPr>
    </w:p>
    <w:p w14:paraId="268682DE" w14:textId="586E2023" w:rsidR="00A57A2D" w:rsidRPr="00B21FAC" w:rsidRDefault="00A57A2D" w:rsidP="00BA7E3E">
      <w:pPr>
        <w:pStyle w:val="Lijstalinea"/>
        <w:numPr>
          <w:ilvl w:val="0"/>
          <w:numId w:val="15"/>
        </w:numPr>
        <w:spacing w:after="0"/>
        <w:jc w:val="both"/>
      </w:pPr>
      <w:r w:rsidRPr="00B21FAC">
        <w:t xml:space="preserve">De als bezoldigingen </w:t>
      </w:r>
      <w:r w:rsidRPr="00B21FAC">
        <w:rPr>
          <w:b/>
          <w:bCs/>
        </w:rPr>
        <w:t>belastbare inkomsten</w:t>
      </w:r>
      <w:r w:rsidRPr="00B21FAC">
        <w:t xml:space="preserve"> </w:t>
      </w:r>
      <w:r w:rsidR="001614C4">
        <w:t>zijn</w:t>
      </w:r>
      <w:r w:rsidRPr="00B21FAC">
        <w:t xml:space="preserve"> opgelijst in de artikelen 30 e.v. van het WIB92. De definitie en beschrijving van wat als bezoldigingen wordt aangemerkt is alomvattend en kan grotendeels behouden blijven, met dien verstande dat de definitie op bepaalde punten moet worden bijgesteld en verruimd.</w:t>
      </w:r>
    </w:p>
    <w:p w14:paraId="11573413" w14:textId="77777777" w:rsidR="00A57A2D" w:rsidRPr="00B21FAC" w:rsidRDefault="00A57A2D" w:rsidP="00275FEB">
      <w:pPr>
        <w:pStyle w:val="Lijstalinea"/>
        <w:jc w:val="both"/>
      </w:pPr>
    </w:p>
    <w:p w14:paraId="597583EF" w14:textId="77777777" w:rsidR="00A57A2D" w:rsidRPr="00B21FAC" w:rsidRDefault="00A57A2D" w:rsidP="00275FEB">
      <w:pPr>
        <w:pStyle w:val="Lijstalinea"/>
        <w:jc w:val="both"/>
      </w:pPr>
      <w:r w:rsidRPr="00B21FAC">
        <w:t>Het is wel van belang de bestaande verschilpunten tussen het sociaal en het fiscaal loonbegrip te ontleden en deze verschilpunten zoveel als mogelijk ongedaan te maken. De meest evidente benadering hierbij is een nivellering naar boven toe.</w:t>
      </w:r>
    </w:p>
    <w:p w14:paraId="0C534929" w14:textId="77777777" w:rsidR="00A57A2D" w:rsidRPr="00B21FAC" w:rsidRDefault="00A57A2D" w:rsidP="00275FEB">
      <w:pPr>
        <w:pStyle w:val="Lijstalinea"/>
        <w:jc w:val="both"/>
      </w:pPr>
    </w:p>
    <w:p w14:paraId="722A5B7F" w14:textId="658F958D" w:rsidR="00A57A2D" w:rsidRPr="00B21FAC" w:rsidRDefault="00A57A2D" w:rsidP="00275FEB">
      <w:pPr>
        <w:pStyle w:val="Lijstalinea"/>
        <w:jc w:val="both"/>
      </w:pPr>
      <w:r w:rsidRPr="00B21FAC">
        <w:t>Het huidige onderscheid tussen bezoldigingen en zogenaamde kosten eigen aan de werkgever of de vennootschap moet nader omlijnd worden. Ook hier dringt zich een afstemming op met het sociaal recht. Voorts lijkt het gerechtvaardigd om op dit vlak zoveel als mogelijk de terugbetaling van kosten eigen aan de werkgever/vennootschap toe te kennen op basis van werkelijke bewijsstukken. Het gebruik van forfaitaire vergoedingen moet dus eerder voorbehouden worden voor kleinere kosten</w:t>
      </w:r>
      <w:r w:rsidR="00141482">
        <w:t>. Dergelijke forfaitaire vergoedingen worden</w:t>
      </w:r>
      <w:r w:rsidRPr="00B21FAC">
        <w:t xml:space="preserve"> best ook geplafonneerd.</w:t>
      </w:r>
    </w:p>
    <w:p w14:paraId="5E04FA6A" w14:textId="77777777" w:rsidR="00A57A2D" w:rsidRPr="00B21FAC" w:rsidRDefault="00A57A2D" w:rsidP="00275FEB">
      <w:pPr>
        <w:pStyle w:val="Lijstalinea"/>
        <w:jc w:val="both"/>
      </w:pPr>
    </w:p>
    <w:p w14:paraId="0007A847" w14:textId="325B8845" w:rsidR="00A57A2D" w:rsidRPr="00B21FAC" w:rsidRDefault="00A57A2D" w:rsidP="00275FEB">
      <w:pPr>
        <w:pStyle w:val="Lijstalinea"/>
        <w:numPr>
          <w:ilvl w:val="0"/>
          <w:numId w:val="15"/>
        </w:numPr>
        <w:jc w:val="both"/>
      </w:pPr>
      <w:r w:rsidRPr="00B21FAC">
        <w:t xml:space="preserve">Teneinde de </w:t>
      </w:r>
      <w:r w:rsidRPr="00B21FAC">
        <w:rPr>
          <w:b/>
          <w:bCs/>
        </w:rPr>
        <w:t>netto-belastbare grondslag</w:t>
      </w:r>
      <w:r w:rsidRPr="00B21FAC">
        <w:t xml:space="preserve"> vast te stellen, kunnen de genieters van bezoldigingen kosten in mindering brengen van hun belastbare inkomsten.</w:t>
      </w:r>
    </w:p>
    <w:p w14:paraId="40CF5142" w14:textId="77777777" w:rsidR="00A57A2D" w:rsidRPr="00B21FAC" w:rsidRDefault="00A57A2D" w:rsidP="00275FEB">
      <w:pPr>
        <w:pStyle w:val="Lijstalinea"/>
        <w:jc w:val="both"/>
      </w:pPr>
    </w:p>
    <w:p w14:paraId="6C6D23EC" w14:textId="77777777" w:rsidR="00A57A2D" w:rsidRPr="00B21FAC" w:rsidRDefault="00A57A2D" w:rsidP="00275FEB">
      <w:pPr>
        <w:pStyle w:val="Lijstalinea"/>
        <w:jc w:val="both"/>
      </w:pPr>
      <w:r w:rsidRPr="00B21FAC">
        <w:t xml:space="preserve">Daarbij kan in grote lijnen verwezen worden naar hetgeen </w:t>
      </w:r>
      <w:r w:rsidRPr="00B21FAC">
        <w:rPr>
          <w:i/>
          <w:iCs/>
        </w:rPr>
        <w:t>supra</w:t>
      </w:r>
      <w:r w:rsidRPr="00B21FAC">
        <w:t xml:space="preserve"> bij de ‘winsten’ werd beschreven.</w:t>
      </w:r>
    </w:p>
    <w:p w14:paraId="3207FF22" w14:textId="77777777" w:rsidR="00A57A2D" w:rsidRPr="00B21FAC" w:rsidRDefault="00A57A2D" w:rsidP="00275FEB">
      <w:pPr>
        <w:pStyle w:val="Lijstalinea"/>
        <w:jc w:val="both"/>
      </w:pPr>
    </w:p>
    <w:p w14:paraId="77D3927D" w14:textId="50692B1F" w:rsidR="00A57A2D" w:rsidRPr="00B21FAC" w:rsidRDefault="00A57A2D" w:rsidP="00275FEB">
      <w:pPr>
        <w:pStyle w:val="Lijstalinea"/>
        <w:jc w:val="both"/>
      </w:pPr>
      <w:r w:rsidRPr="00B21FAC">
        <w:t xml:space="preserve">Er wordt wel voorgesteld om in de wet </w:t>
      </w:r>
      <w:r w:rsidR="00000848">
        <w:t>uit te gaan van het principe</w:t>
      </w:r>
      <w:r w:rsidRPr="00B21FAC">
        <w:t xml:space="preserve"> dat genieters van bezoldigingen geen afschrijvingskosten in aftrek kunnen brengen m.b.t. activa die zij zouden affecteren aan hun beroepswerkzaamheden</w:t>
      </w:r>
      <w:r w:rsidR="00000848">
        <w:t>, tenzij hiervoor een bijzondere verantwoording zou bestaan</w:t>
      </w:r>
      <w:r w:rsidRPr="00B21FAC">
        <w:t>. Hiertegenover staat uiteraard dat de latere gerealiseerde meerwaarde niet als een activiteitsinkomen belastbaar kan worden gesteld.</w:t>
      </w:r>
    </w:p>
    <w:p w14:paraId="0AA7CF22" w14:textId="77777777" w:rsidR="00A57A2D" w:rsidRPr="00B21FAC" w:rsidRDefault="00A57A2D" w:rsidP="00275FEB">
      <w:pPr>
        <w:pStyle w:val="Lijstalinea"/>
        <w:jc w:val="both"/>
      </w:pPr>
    </w:p>
    <w:p w14:paraId="62C1F96E" w14:textId="77777777" w:rsidR="00A57A2D" w:rsidRPr="00B21FAC" w:rsidRDefault="00A57A2D" w:rsidP="00275FEB">
      <w:pPr>
        <w:pStyle w:val="Lijstalinea"/>
        <w:jc w:val="both"/>
      </w:pPr>
      <w:r w:rsidRPr="00B21FAC">
        <w:t xml:space="preserve">Wat de forfaitaire kosten betreft, maakt de wet thans wel een onderscheid in functie van de aard van de bezoldiging (werknemer / bedrijfsleider / meewerkende echtgenoot). </w:t>
      </w:r>
    </w:p>
    <w:p w14:paraId="468AE600" w14:textId="2B7FB25E" w:rsidR="00A57A2D" w:rsidRPr="00B21FAC" w:rsidRDefault="00A57A2D" w:rsidP="00275FEB">
      <w:pPr>
        <w:pStyle w:val="Lijstalinea"/>
        <w:jc w:val="both"/>
      </w:pPr>
      <w:r w:rsidRPr="00B21FAC">
        <w:t>Het valt op dat de forfaitaire aftrek m.b.t. de bezoldigingen voor werknemers hoog</w:t>
      </w:r>
      <w:r w:rsidR="00504924">
        <w:t xml:space="preserve"> is</w:t>
      </w:r>
      <w:r w:rsidRPr="00B21FAC">
        <w:t>. De aftrek bedraagt 30%. Het plafond van deze forfaitaire kostenaftrek (2.950 EUR, te indexeren; bedrag voor AJ 202</w:t>
      </w:r>
      <w:r w:rsidR="00701E35">
        <w:t>2</w:t>
      </w:r>
      <w:r w:rsidRPr="00B21FAC">
        <w:t>: 4.</w:t>
      </w:r>
      <w:r w:rsidR="0076411E">
        <w:t>92</w:t>
      </w:r>
      <w:r w:rsidRPr="00B21FAC">
        <w:t xml:space="preserve">0 EUR) wordt </w:t>
      </w:r>
      <w:r w:rsidR="00B54B6F">
        <w:t xml:space="preserve">wel </w:t>
      </w:r>
      <w:r w:rsidRPr="00B21FAC">
        <w:t xml:space="preserve">reeds bij een laag loon bereikt. </w:t>
      </w:r>
    </w:p>
    <w:p w14:paraId="59A65D33" w14:textId="2341B5C4" w:rsidR="00A57A2D" w:rsidRPr="00B21FAC" w:rsidRDefault="00A57A2D" w:rsidP="00275FEB">
      <w:pPr>
        <w:pStyle w:val="Lijstalinea"/>
        <w:jc w:val="both"/>
      </w:pPr>
      <w:r w:rsidRPr="00B21FAC">
        <w:t xml:space="preserve">Deze maatregel werd nochtans wel doelbewust ingevoerd in het kader van de taxshift met als doel het netto-loon te verhogen. </w:t>
      </w:r>
    </w:p>
    <w:p w14:paraId="5E524724" w14:textId="77777777" w:rsidR="00A57A2D" w:rsidRPr="00B21FAC" w:rsidRDefault="00A57A2D" w:rsidP="00275FEB">
      <w:pPr>
        <w:pStyle w:val="Lijstalinea"/>
        <w:jc w:val="both"/>
      </w:pPr>
    </w:p>
    <w:p w14:paraId="15801336" w14:textId="767B730D" w:rsidR="00A57A2D" w:rsidRPr="00B21FAC" w:rsidRDefault="00A57A2D" w:rsidP="00275FEB">
      <w:pPr>
        <w:pStyle w:val="Lijstalinea"/>
        <w:jc w:val="both"/>
      </w:pPr>
      <w:r w:rsidRPr="00B21FAC">
        <w:t xml:space="preserve">In het kader van de globale hervorming verdient het aanbeveling </w:t>
      </w:r>
      <w:r w:rsidR="00D17BB5" w:rsidRPr="00B21FAC">
        <w:t>d</w:t>
      </w:r>
      <w:r w:rsidR="00D17BB5">
        <w:t>it</w:t>
      </w:r>
      <w:r w:rsidR="00D17BB5" w:rsidRPr="00B21FAC">
        <w:t xml:space="preserve"> </w:t>
      </w:r>
      <w:r w:rsidRPr="00B21FAC">
        <w:t xml:space="preserve">stelsel te herevalueren. De aftrek kan in voorkomend geval </w:t>
      </w:r>
      <w:r w:rsidR="00171175">
        <w:t xml:space="preserve">en voor zover administratief beheersbaar, </w:t>
      </w:r>
      <w:r w:rsidRPr="00B21FAC">
        <w:t xml:space="preserve">geprorateerd worden in functie van de al dan niet deeltijdse tewerkstelling/ tewerkstelling gedurende het volledige of een deel van het belastbaar tijdperk / …). </w:t>
      </w:r>
    </w:p>
    <w:p w14:paraId="6D6DBE01" w14:textId="77777777" w:rsidR="00A57A2D" w:rsidRPr="00B21FAC" w:rsidRDefault="00A57A2D" w:rsidP="00275FEB">
      <w:pPr>
        <w:pStyle w:val="Lijstalinea"/>
        <w:jc w:val="both"/>
      </w:pPr>
    </w:p>
    <w:p w14:paraId="261F1FD4" w14:textId="3545A1CB" w:rsidR="00A57A2D" w:rsidRPr="00B21FAC" w:rsidRDefault="00A57A2D" w:rsidP="00275FEB">
      <w:pPr>
        <w:pStyle w:val="Lijstalinea"/>
        <w:jc w:val="both"/>
      </w:pPr>
      <w:r w:rsidRPr="00B21FAC">
        <w:rPr>
          <w:u w:val="single"/>
        </w:rPr>
        <w:t>PM:</w:t>
      </w:r>
      <w:r w:rsidRPr="00B21FAC">
        <w:t xml:space="preserve"> Voorts moet overwogen worden om de kostenaftrek te linken aan de terugbetalingen van kosten eigen aan de werkgever/vennootschap. Vele werknemers/bedrijfsleiders genieten effectief allerhande (vaak forfaitaire) onkostenvergoedingen die ertoe strekken bepaalde uitgaven te dekken die niet noodzakelijkerwijze door de werkgever/vennootschap moeten gedekt worden. Men kan hier bv. denken aan de kosten ‘thuiskantoor’. In die mate lijkt het gerechtvaardigd om de verkregen vergoedingen aan te rekenen op het bedrag van de forfaitaire kostenaftrek. Hetzelfde principe geldt overigens voor zover de werknemer/bedrijfsleider bepaalde voordelen in natura geniet die vervolgens voor professionele doeleinden worden aangewend (bv. de bedrijfswagen), althans in de mate deze voordelen niet gewaardeerd worden aan de “werkelijke waarde”. Dergelijke distorsies zouden natuurlijk in het kader van de globale hervorming moeten verdwijnen.</w:t>
      </w:r>
    </w:p>
    <w:p w14:paraId="1314DE69" w14:textId="77777777" w:rsidR="00A57A2D" w:rsidRPr="00B21FAC" w:rsidRDefault="00A57A2D" w:rsidP="00275FEB">
      <w:pPr>
        <w:pStyle w:val="Lijstalinea"/>
      </w:pPr>
    </w:p>
    <w:p w14:paraId="22A5262E" w14:textId="77777777" w:rsidR="00A57A2D" w:rsidRPr="00B21FAC" w:rsidRDefault="00A57A2D" w:rsidP="00275FEB">
      <w:pPr>
        <w:pStyle w:val="Lijstalinea"/>
        <w:numPr>
          <w:ilvl w:val="0"/>
          <w:numId w:val="16"/>
        </w:numPr>
        <w:jc w:val="both"/>
      </w:pPr>
      <w:r w:rsidRPr="00B21FAC">
        <w:t>Er bestaan heel wat bijzondere bepalingen die verband houden met de ‘</w:t>
      </w:r>
      <w:r w:rsidRPr="00303355">
        <w:rPr>
          <w:b/>
          <w:bCs/>
        </w:rPr>
        <w:t>mobiliteit</w:t>
      </w:r>
      <w:r w:rsidRPr="00B21FAC">
        <w:t xml:space="preserve">’ van de werknemer. </w:t>
      </w:r>
    </w:p>
    <w:p w14:paraId="34B689DB" w14:textId="77777777" w:rsidR="00A57A2D" w:rsidRPr="00B21FAC" w:rsidRDefault="00A57A2D" w:rsidP="00275FEB">
      <w:pPr>
        <w:pStyle w:val="Lijstalinea"/>
        <w:jc w:val="both"/>
      </w:pPr>
    </w:p>
    <w:p w14:paraId="59D3538D" w14:textId="78F9A17F" w:rsidR="00A57A2D" w:rsidRPr="00B21FAC" w:rsidRDefault="00AA1141" w:rsidP="00275FEB">
      <w:pPr>
        <w:pStyle w:val="Lijstalinea"/>
        <w:jc w:val="both"/>
      </w:pPr>
      <w:r>
        <w:t>Het nut en de opportuniteit hiervan moet grondig geëvalueerd worden</w:t>
      </w:r>
      <w:r w:rsidR="00A57A2D" w:rsidRPr="00B21FAC">
        <w:t>.</w:t>
      </w:r>
    </w:p>
    <w:p w14:paraId="1B391C85" w14:textId="77777777" w:rsidR="00A57A2D" w:rsidRPr="00B21FAC" w:rsidRDefault="00A57A2D" w:rsidP="00275FEB">
      <w:pPr>
        <w:pStyle w:val="Lijstalinea"/>
        <w:jc w:val="both"/>
      </w:pPr>
    </w:p>
    <w:p w14:paraId="7907DB0D" w14:textId="4D01263F" w:rsidR="00A57A2D" w:rsidRPr="00B21FAC" w:rsidRDefault="00A57A2D" w:rsidP="00275FEB">
      <w:pPr>
        <w:pStyle w:val="Lijstalinea"/>
        <w:jc w:val="both"/>
      </w:pPr>
      <w:r w:rsidRPr="00B21FAC">
        <w:t xml:space="preserve">Voor zover een afzonderlijke regeling wenselijk wordt geacht, lijkt het toch belangrijk om veeleer te opteren voor een </w:t>
      </w:r>
      <w:r w:rsidRPr="00B21FAC">
        <w:rPr>
          <w:b/>
          <w:bCs/>
        </w:rPr>
        <w:t>mobiliteitsvrijstelling</w:t>
      </w:r>
      <w:r w:rsidRPr="00B21FAC">
        <w:t xml:space="preserve"> die kan toelaten om de ‘mobiliteitskeuzes’ van een belastingplichtige neutraal te behandelen. Het spreekt voor zich dat de huidige </w:t>
      </w:r>
      <w:r w:rsidR="00101C57" w:rsidRPr="00B21FAC">
        <w:t xml:space="preserve">(en recent hervormde) </w:t>
      </w:r>
      <w:r w:rsidRPr="00B21FAC">
        <w:t>regeling rond het mobiliteitsbudget hieraan kan worden gekoppeld. Meer verregaand verdient het aanbeveling om alle fiscale stelsels die momenteel verband houden met het woon-werkverkeer, hieraan te koppelen, zoals</w:t>
      </w:r>
    </w:p>
    <w:p w14:paraId="3D6B7F87" w14:textId="1B56888C" w:rsidR="00A57A2D" w:rsidRPr="00B21FAC" w:rsidRDefault="00714526" w:rsidP="00275FEB">
      <w:pPr>
        <w:pStyle w:val="Lijstalinea"/>
        <w:numPr>
          <w:ilvl w:val="1"/>
          <w:numId w:val="16"/>
        </w:numPr>
        <w:jc w:val="both"/>
      </w:pPr>
      <w:r>
        <w:t>h</w:t>
      </w:r>
      <w:r w:rsidR="00A57A2D" w:rsidRPr="00B21FAC">
        <w:t xml:space="preserve">et </w:t>
      </w:r>
      <w:r>
        <w:t>voordeel van alle aard</w:t>
      </w:r>
      <w:r w:rsidR="00A57A2D" w:rsidRPr="00B21FAC">
        <w:t xml:space="preserve"> voor de terbeschikkingstelling van een voertuig (art. 36, § 2 WIB92);</w:t>
      </w:r>
    </w:p>
    <w:p w14:paraId="600836FB" w14:textId="61C12CE3" w:rsidR="00A57A2D" w:rsidRPr="00B21FAC" w:rsidRDefault="00714526" w:rsidP="00275FEB">
      <w:pPr>
        <w:pStyle w:val="Lijstalinea"/>
        <w:numPr>
          <w:ilvl w:val="1"/>
          <w:numId w:val="16"/>
        </w:numPr>
        <w:jc w:val="both"/>
      </w:pPr>
      <w:r>
        <w:t>d</w:t>
      </w:r>
      <w:r w:rsidR="00A57A2D" w:rsidRPr="00B21FAC">
        <w:t>e door de werkgever toegekende vergoedingen voor de reiskosten woon-werkverkeer (art. 38, §1, lid 1, 9° en 14° WIB92);</w:t>
      </w:r>
    </w:p>
    <w:p w14:paraId="36322C54" w14:textId="4AE3EBFD" w:rsidR="00A57A2D" w:rsidRPr="00B21FAC" w:rsidRDefault="00714526" w:rsidP="00275FEB">
      <w:pPr>
        <w:pStyle w:val="Lijstalinea"/>
        <w:numPr>
          <w:ilvl w:val="1"/>
          <w:numId w:val="16"/>
        </w:numPr>
        <w:jc w:val="both"/>
      </w:pPr>
      <w:r>
        <w:t xml:space="preserve">het </w:t>
      </w:r>
      <w:r w:rsidR="00814F23">
        <w:t>kilometer-forfait gerelateerd aan het woon-werkverkeer;</w:t>
      </w:r>
    </w:p>
    <w:p w14:paraId="3DDB50A2" w14:textId="6A02284F" w:rsidR="00A57A2D" w:rsidRPr="00B21FAC" w:rsidRDefault="00814F23" w:rsidP="00275FEB">
      <w:pPr>
        <w:pStyle w:val="Lijstalinea"/>
        <w:numPr>
          <w:ilvl w:val="1"/>
          <w:numId w:val="16"/>
        </w:numPr>
        <w:jc w:val="both"/>
      </w:pPr>
      <w:r>
        <w:t>h</w:t>
      </w:r>
      <w:r w:rsidR="00A57A2D" w:rsidRPr="00B21FAC">
        <w:t>et verhoogd forfait voor verre verplaatsingen (art. 51, lid 4 WIB92)</w:t>
      </w:r>
      <w:r>
        <w:t>.</w:t>
      </w:r>
    </w:p>
    <w:p w14:paraId="69CB4BC3" w14:textId="77777777" w:rsidR="00301FF2" w:rsidRDefault="00301FF2">
      <w:r>
        <w:br w:type="page"/>
      </w:r>
    </w:p>
    <w:p w14:paraId="15791B77" w14:textId="77777777" w:rsidR="00A57A2D" w:rsidRPr="00B21FAC" w:rsidRDefault="00A57A2D" w:rsidP="00BA7E3E">
      <w:pPr>
        <w:spacing w:after="0"/>
      </w:pPr>
    </w:p>
    <w:p w14:paraId="621F65DE" w14:textId="77777777" w:rsidR="00A57A2D" w:rsidRPr="00B21FAC" w:rsidRDefault="00A57A2D" w:rsidP="00BA7E3E">
      <w:pPr>
        <w:spacing w:after="0"/>
      </w:pPr>
    </w:p>
    <w:p w14:paraId="6993D3FB" w14:textId="0CE01D3C" w:rsidR="00A57A2D" w:rsidRPr="00B21FAC" w:rsidRDefault="00A57A2D" w:rsidP="00275FEB">
      <w:pPr>
        <w:pStyle w:val="Kop2"/>
        <w:numPr>
          <w:ilvl w:val="0"/>
          <w:numId w:val="40"/>
        </w:numPr>
      </w:pPr>
      <w:bookmarkStart w:id="183" w:name="_Toc107210914"/>
      <w:r w:rsidRPr="00B21FAC">
        <w:t>Vrijstelling doorstorting bedrijfsvoorheffing</w:t>
      </w:r>
      <w:bookmarkEnd w:id="183"/>
    </w:p>
    <w:p w14:paraId="67383852" w14:textId="23FB6FA6" w:rsidR="00A57A2D" w:rsidRPr="00B21FAC" w:rsidRDefault="00A57A2D" w:rsidP="00BA7E3E">
      <w:pPr>
        <w:spacing w:after="0"/>
        <w:jc w:val="both"/>
      </w:pPr>
    </w:p>
    <w:p w14:paraId="7FF6F683" w14:textId="6D526D9D" w:rsidR="00056FA0" w:rsidRDefault="00056FA0">
      <w:pPr>
        <w:spacing w:after="0"/>
        <w:jc w:val="both"/>
      </w:pPr>
    </w:p>
    <w:p w14:paraId="0E441F31" w14:textId="6EAD0645" w:rsidR="00CF40A0" w:rsidRDefault="00CF40A0">
      <w:pPr>
        <w:spacing w:after="0"/>
        <w:jc w:val="both"/>
      </w:pPr>
      <w:r w:rsidRPr="00BA7E3E">
        <w:rPr>
          <w:b/>
          <w:bCs/>
        </w:rPr>
        <w:t>Voorstel</w:t>
      </w:r>
      <w:r>
        <w:t xml:space="preserve"> </w:t>
      </w:r>
      <w:r w:rsidR="00F76F93">
        <w:t>–</w:t>
      </w:r>
      <w:r>
        <w:t xml:space="preserve"> </w:t>
      </w:r>
      <w:r w:rsidR="00933CF0">
        <w:t>Zowel de structurele opbouw, als h</w:t>
      </w:r>
      <w:r w:rsidR="00F76F93">
        <w:t xml:space="preserve">et nut en de opportuniteit van </w:t>
      </w:r>
      <w:r w:rsidR="00933CF0">
        <w:t xml:space="preserve">de diverse </w:t>
      </w:r>
      <w:r w:rsidR="0018004F">
        <w:t>stelsels ‘vrijstelling doorstorting bedrijfsvoorheffing’ moet</w:t>
      </w:r>
      <w:r w:rsidR="00905495">
        <w:t>en grondig geherevalueerd worden.</w:t>
      </w:r>
    </w:p>
    <w:p w14:paraId="6EDCEDCE" w14:textId="04C32098" w:rsidR="00CF40A0" w:rsidRDefault="00CF40A0">
      <w:pPr>
        <w:spacing w:after="0"/>
        <w:jc w:val="both"/>
      </w:pPr>
    </w:p>
    <w:p w14:paraId="4CC61F7D" w14:textId="0FD795CF" w:rsidR="00905495" w:rsidRPr="00BA7E3E" w:rsidRDefault="00905495">
      <w:pPr>
        <w:spacing w:after="0"/>
        <w:jc w:val="both"/>
        <w:rPr>
          <w:u w:val="single"/>
        </w:rPr>
      </w:pPr>
      <w:r w:rsidRPr="00BA7E3E">
        <w:rPr>
          <w:u w:val="single"/>
        </w:rPr>
        <w:t>Toelichting:</w:t>
      </w:r>
    </w:p>
    <w:p w14:paraId="1C864D84" w14:textId="77777777" w:rsidR="00905495" w:rsidRPr="00B21FAC" w:rsidRDefault="00905495" w:rsidP="00BA7E3E">
      <w:pPr>
        <w:spacing w:after="0"/>
        <w:jc w:val="both"/>
      </w:pPr>
    </w:p>
    <w:p w14:paraId="596835EE" w14:textId="1D7AD139" w:rsidR="00CF518B" w:rsidRDefault="00F07033" w:rsidP="00BA7E3E">
      <w:pPr>
        <w:spacing w:after="0"/>
        <w:jc w:val="both"/>
      </w:pPr>
      <w:r w:rsidRPr="00B21FAC">
        <w:t xml:space="preserve">De betreffende maatregelen zijn in wezen gunststelsels, </w:t>
      </w:r>
      <w:r w:rsidR="009A5642">
        <w:t xml:space="preserve">in oorsprong </w:t>
      </w:r>
      <w:r w:rsidRPr="00B21FAC">
        <w:t xml:space="preserve">toegespitst op specifieke sectoren en werknemers. </w:t>
      </w:r>
    </w:p>
    <w:p w14:paraId="3828C280" w14:textId="77777777" w:rsidR="00CF518B" w:rsidRDefault="00CF518B" w:rsidP="00BA7E3E">
      <w:pPr>
        <w:spacing w:after="0"/>
        <w:jc w:val="both"/>
      </w:pPr>
    </w:p>
    <w:p w14:paraId="532C88AC" w14:textId="1A45B894" w:rsidR="00690BA5" w:rsidRDefault="00513475" w:rsidP="00BA7E3E">
      <w:pPr>
        <w:spacing w:after="0"/>
        <w:jc w:val="both"/>
      </w:pPr>
      <w:r w:rsidRPr="00B21FAC">
        <w:t xml:space="preserve">De omvang van deze stelsels breidt almaar uit, zodat ook de budgettaire kostprijs ervan zeer aanzienlijk is geworden. </w:t>
      </w:r>
      <w:r w:rsidR="009909EB" w:rsidRPr="00B21FAC">
        <w:t xml:space="preserve">Enigszins bevreemdend werden deze stelsels ook niet herzien in het kader van de </w:t>
      </w:r>
      <w:r w:rsidR="00A024F4">
        <w:t>T</w:t>
      </w:r>
      <w:r w:rsidR="009909EB" w:rsidRPr="00B21FAC">
        <w:t>ax</w:t>
      </w:r>
      <w:r w:rsidR="00A024F4">
        <w:t xml:space="preserve"> </w:t>
      </w:r>
      <w:r w:rsidR="009909EB" w:rsidRPr="00B21FAC">
        <w:t>shift</w:t>
      </w:r>
      <w:r w:rsidR="00CC7888" w:rsidRPr="00B21FAC">
        <w:t xml:space="preserve"> </w:t>
      </w:r>
      <w:r w:rsidR="00A024F4">
        <w:t xml:space="preserve">Michel </w:t>
      </w:r>
      <w:r w:rsidR="00CC7888" w:rsidRPr="00B21FAC">
        <w:t>(waar de werkgeversbijdragen werden verlaagd tot 25%)</w:t>
      </w:r>
      <w:r w:rsidR="006B4C21">
        <w:t xml:space="preserve"> </w:t>
      </w:r>
      <w:r w:rsidR="00EE5ECD">
        <w:t>of in het kader van de verlaging van de vennootschapsbelasting</w:t>
      </w:r>
      <w:r w:rsidR="00CC7888" w:rsidRPr="00B21FAC">
        <w:t xml:space="preserve">. </w:t>
      </w:r>
    </w:p>
    <w:p w14:paraId="05575C9A" w14:textId="77777777" w:rsidR="00690BA5" w:rsidRDefault="00690BA5" w:rsidP="00BA7E3E">
      <w:pPr>
        <w:spacing w:after="0"/>
        <w:jc w:val="both"/>
      </w:pPr>
    </w:p>
    <w:p w14:paraId="51812C06" w14:textId="24285C06" w:rsidR="005E22C5" w:rsidRDefault="00012594" w:rsidP="00BA7E3E">
      <w:pPr>
        <w:spacing w:after="0"/>
        <w:jc w:val="both"/>
      </w:pPr>
      <w:r w:rsidRPr="00B21FAC">
        <w:t xml:space="preserve">De fiscale hervorming vormt dus in ieder geval een duidelijke reden om de omvang van deze gunststelsels te herbekijken. </w:t>
      </w:r>
    </w:p>
    <w:p w14:paraId="3B5F219B" w14:textId="66BC93B6" w:rsidR="001A6C1B" w:rsidRDefault="001A6C1B" w:rsidP="00BA7E3E">
      <w:pPr>
        <w:spacing w:after="0"/>
        <w:jc w:val="both"/>
      </w:pPr>
    </w:p>
    <w:p w14:paraId="55E831A2" w14:textId="49878082" w:rsidR="00BE2478" w:rsidRDefault="001A6C1B" w:rsidP="00BA7E3E">
      <w:pPr>
        <w:spacing w:after="0"/>
        <w:jc w:val="both"/>
      </w:pPr>
      <w:r w:rsidRPr="00180658">
        <w:t xml:space="preserve">Daarbij kan ook overwogen </w:t>
      </w:r>
      <w:r w:rsidR="000B50FB">
        <w:t xml:space="preserve">worden </w:t>
      </w:r>
      <w:r w:rsidRPr="00180658">
        <w:t xml:space="preserve">om de </w:t>
      </w:r>
      <w:r w:rsidR="00C1685C" w:rsidRPr="00180658">
        <w:t>vrijstelling voortaan te definiëren als een percentage van de brutobezoldiging (voor aftrek van de sociale bijdragen)</w:t>
      </w:r>
      <w:r w:rsidR="008E667D" w:rsidRPr="00BA7E3E">
        <w:t xml:space="preserve"> en eventueel geplafonneerd tot een bepaald bedrag van deze brutobezoldiging</w:t>
      </w:r>
      <w:r w:rsidR="00C1685C" w:rsidRPr="00180658">
        <w:t xml:space="preserve">. </w:t>
      </w:r>
      <w:r w:rsidR="00ED270B" w:rsidRPr="00180658">
        <w:t xml:space="preserve">Op die manier wordt een meer gelijke </w:t>
      </w:r>
      <w:r w:rsidR="000026F5" w:rsidRPr="00180658">
        <w:t>toekenning gegarandeerd. Door de bedrijfsvoorheffing zelf als berekeningsgrondslag te hanteren</w:t>
      </w:r>
      <w:r w:rsidR="00102E92" w:rsidRPr="00180658">
        <w:t xml:space="preserve"> wordt het voordeel voor de werkgever immers afhankelijk gemaakt van de persoonlijke situatie van de werknemer (bv. </w:t>
      </w:r>
      <w:r w:rsidR="000026F5" w:rsidRPr="00180658">
        <w:t>de gezinssamenstelling</w:t>
      </w:r>
      <w:r w:rsidR="00102E92" w:rsidRPr="00180658">
        <w:t>). Dit kan niet de bedoeling zijn.</w:t>
      </w:r>
      <w:r w:rsidR="00166652">
        <w:t xml:space="preserve"> Meer verregaand rijst ook de vraag of dergelijke maatregelen niet</w:t>
      </w:r>
      <w:r w:rsidR="000B3E49">
        <w:t xml:space="preserve"> beter </w:t>
      </w:r>
      <w:r w:rsidR="00BE2478">
        <w:t>opgebouwd worden als structurele bijdrageverminderingen in de sociale zekerheid.</w:t>
      </w:r>
    </w:p>
    <w:p w14:paraId="06951A81" w14:textId="77777777" w:rsidR="005E22C5" w:rsidRDefault="005E22C5" w:rsidP="00BA7E3E">
      <w:pPr>
        <w:spacing w:after="0"/>
        <w:jc w:val="both"/>
      </w:pPr>
    </w:p>
    <w:p w14:paraId="0613BD36" w14:textId="3570A9FB" w:rsidR="00A57A2D" w:rsidRPr="00B21FAC" w:rsidRDefault="00012594" w:rsidP="00BA7E3E">
      <w:pPr>
        <w:spacing w:after="0"/>
        <w:jc w:val="both"/>
      </w:pPr>
      <w:r w:rsidRPr="00B21FAC">
        <w:t xml:space="preserve">Naast deze </w:t>
      </w:r>
      <w:r w:rsidR="001A6C1B">
        <w:t>structurele</w:t>
      </w:r>
      <w:r w:rsidR="001A6C1B" w:rsidRPr="00B21FAC">
        <w:t xml:space="preserve"> </w:t>
      </w:r>
      <w:r w:rsidR="008B497C" w:rsidRPr="00B21FAC">
        <w:t>oefening, verdient het ook aanbeveling om de specifieke stelsels (en de toepassingsvoorwaarden) aan een grondige analyse te onderwerpen</w:t>
      </w:r>
      <w:r w:rsidR="005574D4" w:rsidRPr="00B21FAC">
        <w:t xml:space="preserve"> teneinde na te gaan of deze stelsels desgevallend afgebouwd of zelfs opgeheven moeten worden</w:t>
      </w:r>
      <w:r w:rsidR="00A3111F">
        <w:t xml:space="preserve"> (zie reeds het rapport van het Rekenhof in die zin</w:t>
      </w:r>
      <w:r w:rsidR="003F048C">
        <w:t xml:space="preserve"> (</w:t>
      </w:r>
      <w:hyperlink r:id="rId27" w:history="1">
        <w:r w:rsidR="003F048C" w:rsidRPr="003F048C">
          <w:rPr>
            <w:rStyle w:val="Hyperlink"/>
          </w:rPr>
          <w:t>2019_08_VrijstellingenStortingBedrijfsvoorheffing.pdf</w:t>
        </w:r>
      </w:hyperlink>
      <w:r w:rsidR="003F048C">
        <w:t>)</w:t>
      </w:r>
      <w:r w:rsidR="005574D4" w:rsidRPr="00B21FAC">
        <w:t>.</w:t>
      </w:r>
      <w:r w:rsidR="001D1640">
        <w:t xml:space="preserve"> </w:t>
      </w:r>
    </w:p>
    <w:p w14:paraId="757295E2" w14:textId="46646C78" w:rsidR="005E22C5" w:rsidRDefault="005E22C5" w:rsidP="00BA7E3E">
      <w:pPr>
        <w:spacing w:after="0"/>
        <w:jc w:val="both"/>
      </w:pPr>
      <w:r>
        <w:t xml:space="preserve">In ieder geval moet ook hier het principe gehonoreerd worden dat </w:t>
      </w:r>
      <w:r w:rsidR="000C33B7">
        <w:t>dergelijke stelsels (i) op bijzondere wijze verantwoord moeten worden, (ii) doelgericht, rechtlijnig en specifiek moeten zijn en (iii) vatbaar moeten zijn voor een recurrente herevaluatie</w:t>
      </w:r>
      <w:r w:rsidR="000B50FB">
        <w:t xml:space="preserve"> (cf. bouwsteen 10)</w:t>
      </w:r>
      <w:r w:rsidR="000C33B7">
        <w:t>.</w:t>
      </w:r>
    </w:p>
    <w:p w14:paraId="3E35C52C" w14:textId="77777777" w:rsidR="001D1640" w:rsidRPr="00B21FAC" w:rsidRDefault="001D1640" w:rsidP="001D1640">
      <w:pPr>
        <w:spacing w:after="0"/>
        <w:jc w:val="both"/>
      </w:pPr>
      <w:r>
        <w:t>De Regering heeft alvast beslist om de efficiënte en rechtszekerheid van deze stelsels te verhogen.</w:t>
      </w:r>
    </w:p>
    <w:p w14:paraId="1E876F05" w14:textId="19DD9492" w:rsidR="0049589E" w:rsidRDefault="0049589E" w:rsidP="00BA7E3E">
      <w:pPr>
        <w:spacing w:after="0"/>
        <w:jc w:val="both"/>
      </w:pPr>
    </w:p>
    <w:p w14:paraId="5302474E" w14:textId="193121DF" w:rsidR="0049589E" w:rsidRDefault="0049589E" w:rsidP="0049589E">
      <w:pPr>
        <w:spacing w:after="0"/>
        <w:jc w:val="both"/>
      </w:pPr>
    </w:p>
    <w:p w14:paraId="0CED309F" w14:textId="1DF6D1BB" w:rsidR="0049589E" w:rsidRDefault="0049589E">
      <w:r>
        <w:br w:type="page"/>
      </w:r>
    </w:p>
    <w:p w14:paraId="77A4B5D3" w14:textId="25960083" w:rsidR="0049589E" w:rsidRDefault="0049589E" w:rsidP="00BA7E3E">
      <w:pPr>
        <w:spacing w:after="0"/>
        <w:jc w:val="both"/>
      </w:pPr>
    </w:p>
    <w:p w14:paraId="069E5AB0" w14:textId="77777777" w:rsidR="0049589E" w:rsidRDefault="0049589E" w:rsidP="00BA7E3E">
      <w:pPr>
        <w:spacing w:after="0"/>
        <w:jc w:val="both"/>
      </w:pPr>
    </w:p>
    <w:p w14:paraId="6ECADF3E" w14:textId="6E298999" w:rsidR="004E44F9" w:rsidRPr="00B21FAC" w:rsidRDefault="003371CD" w:rsidP="002D349C">
      <w:pPr>
        <w:pStyle w:val="Kop1"/>
        <w:numPr>
          <w:ilvl w:val="0"/>
          <w:numId w:val="32"/>
        </w:numPr>
        <w:rPr>
          <w:smallCaps/>
        </w:rPr>
      </w:pPr>
      <w:bookmarkStart w:id="184" w:name="_Toc107210915"/>
      <w:r w:rsidRPr="00B21FAC">
        <w:rPr>
          <w:smallCaps/>
        </w:rPr>
        <w:t>Lasten op pensioen</w:t>
      </w:r>
      <w:r w:rsidR="00C408E5">
        <w:rPr>
          <w:smallCaps/>
        </w:rPr>
        <w:t>-</w:t>
      </w:r>
      <w:r w:rsidRPr="00B21FAC">
        <w:rPr>
          <w:smallCaps/>
        </w:rPr>
        <w:t xml:space="preserve"> en vervangingsinkomsten</w:t>
      </w:r>
      <w:bookmarkEnd w:id="184"/>
    </w:p>
    <w:p w14:paraId="31C809F3" w14:textId="623289DD" w:rsidR="004E44F9" w:rsidRPr="00B21FAC" w:rsidRDefault="004E44F9" w:rsidP="00275FEB">
      <w:pPr>
        <w:spacing w:after="0"/>
      </w:pPr>
    </w:p>
    <w:p w14:paraId="47DFD447" w14:textId="7DA4A7D3" w:rsidR="004E44F9" w:rsidRPr="00B21FAC" w:rsidRDefault="004E44F9" w:rsidP="00275FEB">
      <w:pPr>
        <w:spacing w:after="0"/>
      </w:pPr>
    </w:p>
    <w:p w14:paraId="26ADB9B1" w14:textId="3DD144E2" w:rsidR="001B2BD4" w:rsidRDefault="009174E3" w:rsidP="00BA7E3E">
      <w:pPr>
        <w:spacing w:after="0"/>
        <w:jc w:val="both"/>
        <w:rPr>
          <w:rFonts w:cstheme="minorHAnsi"/>
        </w:rPr>
      </w:pPr>
      <w:r>
        <w:rPr>
          <w:rFonts w:cstheme="minorHAnsi"/>
        </w:rPr>
        <w:t>Ofschoon de</w:t>
      </w:r>
      <w:r w:rsidR="001B2BD4" w:rsidRPr="00DF14EA">
        <w:rPr>
          <w:rFonts w:cstheme="minorHAnsi"/>
        </w:rPr>
        <w:t xml:space="preserve"> fiscaliteit </w:t>
      </w:r>
      <w:r w:rsidR="001B2BD4">
        <w:rPr>
          <w:rFonts w:cstheme="minorHAnsi"/>
        </w:rPr>
        <w:t>verband houdend met</w:t>
      </w:r>
      <w:r w:rsidR="001B2BD4" w:rsidRPr="00DF14EA">
        <w:rPr>
          <w:rFonts w:cstheme="minorHAnsi"/>
        </w:rPr>
        <w:t xml:space="preserve"> </w:t>
      </w:r>
      <w:r w:rsidR="001B2BD4">
        <w:rPr>
          <w:rFonts w:cstheme="minorHAnsi"/>
        </w:rPr>
        <w:t xml:space="preserve">pensioenen en </w:t>
      </w:r>
      <w:r w:rsidR="001B2BD4" w:rsidRPr="00DF14EA">
        <w:rPr>
          <w:rFonts w:cstheme="minorHAnsi"/>
        </w:rPr>
        <w:t>vervangingsinkomsten (werkloosheid, ziekte en invaliditeit)</w:t>
      </w:r>
      <w:r>
        <w:rPr>
          <w:rFonts w:cstheme="minorHAnsi"/>
        </w:rPr>
        <w:t>, conceptueel nauw aansluit bij de fiscaliteit gerelateerd aan de activiteitsinkomsten,</w:t>
      </w:r>
      <w:r w:rsidR="001B2BD4" w:rsidRPr="00DF14EA">
        <w:rPr>
          <w:rFonts w:cstheme="minorHAnsi"/>
        </w:rPr>
        <w:t xml:space="preserve"> </w:t>
      </w:r>
      <w:r w:rsidR="001B2BD4">
        <w:rPr>
          <w:rFonts w:cstheme="minorHAnsi"/>
        </w:rPr>
        <w:t xml:space="preserve">verdient </w:t>
      </w:r>
      <w:r>
        <w:rPr>
          <w:rFonts w:cstheme="minorHAnsi"/>
        </w:rPr>
        <w:t xml:space="preserve">deze niettemin </w:t>
      </w:r>
      <w:r w:rsidR="001B2BD4">
        <w:rPr>
          <w:rFonts w:cstheme="minorHAnsi"/>
        </w:rPr>
        <w:t xml:space="preserve">bijzondere aandacht, zowel wat de opbouwfase als wat de uitkeringsfase betreft. </w:t>
      </w:r>
    </w:p>
    <w:p w14:paraId="71B974EB" w14:textId="77777777" w:rsidR="001B2BD4" w:rsidRDefault="001B2BD4" w:rsidP="00BA7E3E">
      <w:pPr>
        <w:spacing w:after="0"/>
        <w:jc w:val="both"/>
        <w:rPr>
          <w:rFonts w:cstheme="minorHAnsi"/>
        </w:rPr>
      </w:pPr>
    </w:p>
    <w:p w14:paraId="72C74F5B" w14:textId="77777777" w:rsidR="001B2BD4" w:rsidRDefault="001B2BD4" w:rsidP="00BA7E3E">
      <w:pPr>
        <w:spacing w:after="0"/>
        <w:jc w:val="both"/>
        <w:rPr>
          <w:rFonts w:cstheme="minorHAnsi"/>
        </w:rPr>
      </w:pPr>
      <w:r>
        <w:rPr>
          <w:rFonts w:cstheme="minorHAnsi"/>
        </w:rPr>
        <w:t>Een diepgaande en beleidsgestuurde hervorming (inzonderheid wat de eerste en tweede pijler betreft) vereist dat de Ministers van Financiën, Sociale Zaken en Pensioenen daarover een gezamenlijk voorstel uitwerken.</w:t>
      </w:r>
    </w:p>
    <w:p w14:paraId="633C5D27" w14:textId="77777777" w:rsidR="001B2BD4" w:rsidRDefault="001B2BD4" w:rsidP="00BA7E3E">
      <w:pPr>
        <w:spacing w:after="0"/>
        <w:jc w:val="both"/>
        <w:rPr>
          <w:rFonts w:cstheme="minorHAnsi"/>
        </w:rPr>
      </w:pPr>
    </w:p>
    <w:p w14:paraId="1DCE8E31" w14:textId="77777777" w:rsidR="001B2BD4" w:rsidRDefault="001B2BD4" w:rsidP="00BA7E3E">
      <w:pPr>
        <w:spacing w:after="0"/>
        <w:jc w:val="both"/>
        <w:rPr>
          <w:rFonts w:cstheme="minorHAnsi"/>
        </w:rPr>
      </w:pPr>
      <w:r>
        <w:rPr>
          <w:rFonts w:cstheme="minorHAnsi"/>
        </w:rPr>
        <w:t>Het voorgaande neemt niet weg dat een aantal ingrepen op kortere termijn nuttig kunnen zijn, met als doel:</w:t>
      </w:r>
    </w:p>
    <w:p w14:paraId="1831AC4B" w14:textId="77777777" w:rsidR="001B2BD4" w:rsidRDefault="001B2BD4" w:rsidP="00BA7E3E">
      <w:pPr>
        <w:pStyle w:val="Lijstalinea"/>
        <w:numPr>
          <w:ilvl w:val="0"/>
          <w:numId w:val="83"/>
        </w:numPr>
        <w:spacing w:after="0"/>
        <w:jc w:val="both"/>
        <w:rPr>
          <w:rFonts w:cstheme="minorHAnsi"/>
        </w:rPr>
      </w:pPr>
      <w:r w:rsidRPr="00754D65">
        <w:rPr>
          <w:rFonts w:cstheme="minorHAnsi"/>
        </w:rPr>
        <w:t xml:space="preserve">de thans bestaande maatregelen te laten </w:t>
      </w:r>
      <w:r>
        <w:rPr>
          <w:rFonts w:cstheme="minorHAnsi"/>
        </w:rPr>
        <w:t>aansluiten op de elders in de Algemene Visienota voorgestelde wijzigingen;</w:t>
      </w:r>
    </w:p>
    <w:p w14:paraId="44AB7F74" w14:textId="77777777" w:rsidR="001B2BD4" w:rsidRDefault="001B2BD4" w:rsidP="00BA7E3E">
      <w:pPr>
        <w:pStyle w:val="Lijstalinea"/>
        <w:numPr>
          <w:ilvl w:val="0"/>
          <w:numId w:val="83"/>
        </w:numPr>
        <w:spacing w:after="0"/>
        <w:jc w:val="both"/>
        <w:rPr>
          <w:rFonts w:cstheme="minorHAnsi"/>
        </w:rPr>
      </w:pPr>
      <w:r w:rsidRPr="00754D65">
        <w:rPr>
          <w:rFonts w:cstheme="minorHAnsi"/>
        </w:rPr>
        <w:t>te vereenvoudigen</w:t>
      </w:r>
      <w:r>
        <w:rPr>
          <w:rFonts w:cstheme="minorHAnsi"/>
        </w:rPr>
        <w:t>;</w:t>
      </w:r>
      <w:r w:rsidRPr="00754D65">
        <w:rPr>
          <w:rFonts w:cstheme="minorHAnsi"/>
        </w:rPr>
        <w:t xml:space="preserve"> </w:t>
      </w:r>
    </w:p>
    <w:p w14:paraId="0245668D" w14:textId="77777777" w:rsidR="001B2BD4" w:rsidRPr="00754D65" w:rsidRDefault="001B2BD4" w:rsidP="00BA7E3E">
      <w:pPr>
        <w:pStyle w:val="Lijstalinea"/>
        <w:numPr>
          <w:ilvl w:val="0"/>
          <w:numId w:val="83"/>
        </w:numPr>
        <w:spacing w:after="0"/>
        <w:jc w:val="both"/>
        <w:rPr>
          <w:rFonts w:cstheme="minorHAnsi"/>
        </w:rPr>
      </w:pPr>
      <w:r w:rsidRPr="00754D65">
        <w:rPr>
          <w:rFonts w:cstheme="minorHAnsi"/>
        </w:rPr>
        <w:t>bepaalde scheeftrekkingen ongedaan te maken.</w:t>
      </w:r>
    </w:p>
    <w:p w14:paraId="3B7BE7CB" w14:textId="17207689" w:rsidR="001B2BD4" w:rsidRDefault="001B2BD4" w:rsidP="00BA7E3E">
      <w:pPr>
        <w:spacing w:after="0"/>
        <w:jc w:val="both"/>
        <w:rPr>
          <w:rFonts w:cstheme="minorHAnsi"/>
        </w:rPr>
      </w:pPr>
    </w:p>
    <w:p w14:paraId="5370192B" w14:textId="74FA6B5B" w:rsidR="0096356C" w:rsidRDefault="0096356C" w:rsidP="00BA7E3E">
      <w:pPr>
        <w:spacing w:after="0"/>
        <w:jc w:val="both"/>
        <w:rPr>
          <w:rFonts w:cstheme="minorHAnsi"/>
        </w:rPr>
      </w:pPr>
    </w:p>
    <w:p w14:paraId="45F57765" w14:textId="4743C9AA" w:rsidR="0096356C" w:rsidRDefault="000D5DE9" w:rsidP="00303355">
      <w:pPr>
        <w:pStyle w:val="Kop2"/>
        <w:numPr>
          <w:ilvl w:val="0"/>
          <w:numId w:val="118"/>
        </w:numPr>
      </w:pPr>
      <w:bookmarkStart w:id="185" w:name="_Toc107210916"/>
      <w:r>
        <w:t>Eerste pijler</w:t>
      </w:r>
      <w:bookmarkEnd w:id="185"/>
    </w:p>
    <w:p w14:paraId="72BBBA35" w14:textId="77777777" w:rsidR="0096356C" w:rsidRDefault="0096356C" w:rsidP="00BA7E3E">
      <w:pPr>
        <w:spacing w:after="0"/>
        <w:jc w:val="both"/>
        <w:rPr>
          <w:rFonts w:cstheme="minorHAnsi"/>
        </w:rPr>
      </w:pPr>
    </w:p>
    <w:p w14:paraId="1B7835E9" w14:textId="77777777" w:rsidR="001B2BD4" w:rsidRDefault="001B2BD4" w:rsidP="00BA7E3E">
      <w:pPr>
        <w:spacing w:after="0"/>
        <w:jc w:val="both"/>
        <w:rPr>
          <w:rFonts w:cstheme="minorHAnsi"/>
        </w:rPr>
      </w:pPr>
    </w:p>
    <w:p w14:paraId="6DB8E9FB" w14:textId="77777777" w:rsidR="001B2BD4" w:rsidRDefault="001B2BD4" w:rsidP="00BA7E3E">
      <w:pPr>
        <w:spacing w:after="0"/>
        <w:jc w:val="both"/>
        <w:rPr>
          <w:rFonts w:cstheme="minorHAnsi"/>
          <w:lang w:val="nl-NL"/>
        </w:rPr>
      </w:pPr>
      <w:r>
        <w:rPr>
          <w:rFonts w:cstheme="minorHAnsi"/>
        </w:rPr>
        <w:t xml:space="preserve">Wat de zogenaamde </w:t>
      </w:r>
      <w:r w:rsidRPr="00232AFC">
        <w:rPr>
          <w:rFonts w:cstheme="minorHAnsi"/>
          <w:b/>
          <w:bCs/>
        </w:rPr>
        <w:t>eerste pijler</w:t>
      </w:r>
      <w:r>
        <w:rPr>
          <w:rFonts w:cstheme="minorHAnsi"/>
        </w:rPr>
        <w:t xml:space="preserve"> betreft (dit zijn de wettelijke pensioenen en vervangingsinkomsten), kan gesteld worden dat de fiscale behandeling </w:t>
      </w:r>
      <w:r w:rsidRPr="00AA647B">
        <w:rPr>
          <w:rFonts w:cstheme="minorHAnsi"/>
          <w:lang w:val="nl-NL"/>
        </w:rPr>
        <w:t>(zowel opbouw als uitkering</w:t>
      </w:r>
      <w:r>
        <w:rPr>
          <w:rFonts w:cstheme="minorHAnsi"/>
          <w:lang w:val="nl-NL"/>
        </w:rPr>
        <w:t xml:space="preserve">) </w:t>
      </w:r>
      <w:r w:rsidRPr="00AA647B">
        <w:rPr>
          <w:rFonts w:cstheme="minorHAnsi"/>
          <w:lang w:val="nl-NL"/>
        </w:rPr>
        <w:t>conceptueel logisch</w:t>
      </w:r>
      <w:r>
        <w:rPr>
          <w:rFonts w:cstheme="minorHAnsi"/>
          <w:lang w:val="nl-NL"/>
        </w:rPr>
        <w:t xml:space="preserve"> is</w:t>
      </w:r>
      <w:r w:rsidRPr="00AA647B">
        <w:rPr>
          <w:rFonts w:cstheme="minorHAnsi"/>
          <w:lang w:val="nl-NL"/>
        </w:rPr>
        <w:t xml:space="preserve">. </w:t>
      </w:r>
      <w:r>
        <w:rPr>
          <w:rFonts w:cstheme="minorHAnsi"/>
          <w:lang w:val="nl-NL"/>
        </w:rPr>
        <w:t>De betaalde sociale bijdragen zijn aftrekbaar als beroepskost (desgevallend in hoofde van de werkgever). De verkregen inkomsten worden belast als beroepsinkomsten.</w:t>
      </w:r>
    </w:p>
    <w:p w14:paraId="69F5472E" w14:textId="77777777" w:rsidR="001B2BD4" w:rsidRDefault="001B2BD4" w:rsidP="00BA7E3E">
      <w:pPr>
        <w:spacing w:after="0"/>
        <w:jc w:val="both"/>
        <w:rPr>
          <w:rFonts w:cstheme="minorHAnsi"/>
          <w:lang w:val="nl-NL"/>
        </w:rPr>
      </w:pPr>
    </w:p>
    <w:p w14:paraId="01B89970" w14:textId="5056000E" w:rsidR="001B2BD4" w:rsidRDefault="001B2BD4" w:rsidP="00BA7E3E">
      <w:pPr>
        <w:spacing w:after="0"/>
        <w:jc w:val="both"/>
        <w:rPr>
          <w:rFonts w:cstheme="minorHAnsi"/>
          <w:lang w:val="nl-NL"/>
        </w:rPr>
      </w:pPr>
      <w:r w:rsidRPr="00AA647B">
        <w:rPr>
          <w:rFonts w:cstheme="minorHAnsi"/>
          <w:lang w:val="nl-NL"/>
        </w:rPr>
        <w:t xml:space="preserve">Dit neemt niet weg dat er </w:t>
      </w:r>
      <w:r>
        <w:rPr>
          <w:rFonts w:cstheme="minorHAnsi"/>
          <w:lang w:val="nl-NL"/>
        </w:rPr>
        <w:t xml:space="preserve">(wat de uitkeringen betreft) </w:t>
      </w:r>
      <w:r w:rsidR="00FB6616">
        <w:rPr>
          <w:rFonts w:cstheme="minorHAnsi"/>
          <w:lang w:val="nl-NL"/>
        </w:rPr>
        <w:t xml:space="preserve">een </w:t>
      </w:r>
      <w:r w:rsidRPr="00AA647B">
        <w:rPr>
          <w:rFonts w:cstheme="minorHAnsi"/>
          <w:lang w:val="nl-NL"/>
        </w:rPr>
        <w:t>complexiteit wordt gecreëerd door het stelsel van de belastingvermindering</w:t>
      </w:r>
      <w:r>
        <w:rPr>
          <w:rFonts w:cstheme="minorHAnsi"/>
          <w:lang w:val="nl-NL"/>
        </w:rPr>
        <w:t>en</w:t>
      </w:r>
      <w:r w:rsidRPr="00AA647B">
        <w:rPr>
          <w:rFonts w:cstheme="minorHAnsi"/>
          <w:lang w:val="nl-NL"/>
        </w:rPr>
        <w:t xml:space="preserve"> voor pensioenen</w:t>
      </w:r>
      <w:r>
        <w:rPr>
          <w:rFonts w:cstheme="minorHAnsi"/>
          <w:lang w:val="nl-NL"/>
        </w:rPr>
        <w:t xml:space="preserve"> en vervangingsinkomsten</w:t>
      </w:r>
      <w:r w:rsidRPr="00AA647B">
        <w:rPr>
          <w:rFonts w:cstheme="minorHAnsi"/>
          <w:lang w:val="nl-NL"/>
        </w:rPr>
        <w:t>.</w:t>
      </w:r>
      <w:r>
        <w:rPr>
          <w:rFonts w:cstheme="minorHAnsi"/>
          <w:lang w:val="nl-NL"/>
        </w:rPr>
        <w:t xml:space="preserve"> De uitwerking van deze belastingvermindering</w:t>
      </w:r>
      <w:r w:rsidR="006E142B">
        <w:rPr>
          <w:rFonts w:cstheme="minorHAnsi"/>
          <w:lang w:val="nl-NL"/>
        </w:rPr>
        <w:t>en</w:t>
      </w:r>
      <w:r>
        <w:rPr>
          <w:rFonts w:cstheme="minorHAnsi"/>
          <w:lang w:val="nl-NL"/>
        </w:rPr>
        <w:t xml:space="preserve"> hangt rechtstreeks samen met de wens om een vooropgesteld netto uitkeringsniveau te garanderen en wordt dus (in het kader van de ‘geïsoleerde’ fiscale hervorming) niet </w:t>
      </w:r>
      <w:r w:rsidR="00724AE0">
        <w:rPr>
          <w:rFonts w:cstheme="minorHAnsi"/>
          <w:lang w:val="nl-NL"/>
        </w:rPr>
        <w:t>in vraag gesteld</w:t>
      </w:r>
      <w:r>
        <w:rPr>
          <w:rFonts w:cstheme="minorHAnsi"/>
          <w:lang w:val="nl-NL"/>
        </w:rPr>
        <w:t xml:space="preserve">. </w:t>
      </w:r>
      <w:r w:rsidR="00726A19">
        <w:rPr>
          <w:rFonts w:cstheme="minorHAnsi"/>
          <w:lang w:val="nl-NL"/>
        </w:rPr>
        <w:t xml:space="preserve">Het in stand houden van een dergelijk </w:t>
      </w:r>
      <w:r w:rsidR="009A3709">
        <w:rPr>
          <w:rFonts w:cstheme="minorHAnsi"/>
          <w:lang w:val="nl-NL"/>
        </w:rPr>
        <w:t xml:space="preserve">complex </w:t>
      </w:r>
      <w:r w:rsidR="00726A19">
        <w:rPr>
          <w:rFonts w:cstheme="minorHAnsi"/>
          <w:lang w:val="nl-NL"/>
        </w:rPr>
        <w:t>stelsel is evenwel suboptimaal</w:t>
      </w:r>
      <w:r w:rsidR="009A3709">
        <w:rPr>
          <w:rFonts w:cstheme="minorHAnsi"/>
          <w:lang w:val="nl-NL"/>
        </w:rPr>
        <w:t xml:space="preserve">, temeer dit ertoe leidt dat </w:t>
      </w:r>
      <w:r w:rsidR="000E21F4">
        <w:rPr>
          <w:rFonts w:cstheme="minorHAnsi"/>
          <w:lang w:val="nl-NL"/>
        </w:rPr>
        <w:t xml:space="preserve">de vergelijkbaarheid tussen het </w:t>
      </w:r>
      <w:r w:rsidR="00B46C75">
        <w:rPr>
          <w:rFonts w:cstheme="minorHAnsi"/>
          <w:lang w:val="nl-NL"/>
        </w:rPr>
        <w:t>heffings</w:t>
      </w:r>
      <w:r w:rsidR="000E21F4">
        <w:rPr>
          <w:rFonts w:cstheme="minorHAnsi"/>
          <w:lang w:val="nl-NL"/>
        </w:rPr>
        <w:t xml:space="preserve">niveau van </w:t>
      </w:r>
      <w:r w:rsidR="006B2A85">
        <w:rPr>
          <w:rFonts w:cstheme="minorHAnsi"/>
          <w:lang w:val="nl-NL"/>
        </w:rPr>
        <w:t xml:space="preserve">activiteits- en vervangingsinkomsten </w:t>
      </w:r>
      <w:r w:rsidR="009A3709">
        <w:rPr>
          <w:rFonts w:cstheme="minorHAnsi"/>
          <w:lang w:val="nl-NL"/>
        </w:rPr>
        <w:t xml:space="preserve">hierdoor </w:t>
      </w:r>
      <w:r w:rsidR="00795AAB">
        <w:rPr>
          <w:rFonts w:cstheme="minorHAnsi"/>
          <w:lang w:val="nl-NL"/>
        </w:rPr>
        <w:t>vervaagt</w:t>
      </w:r>
      <w:r w:rsidR="00644200">
        <w:rPr>
          <w:rFonts w:cstheme="minorHAnsi"/>
          <w:lang w:val="nl-NL"/>
        </w:rPr>
        <w:t>.</w:t>
      </w:r>
    </w:p>
    <w:p w14:paraId="21E31C7B" w14:textId="77777777" w:rsidR="001B2BD4" w:rsidRDefault="001B2BD4" w:rsidP="00BA7E3E">
      <w:pPr>
        <w:spacing w:after="0"/>
        <w:jc w:val="both"/>
        <w:rPr>
          <w:rFonts w:cstheme="minorHAnsi"/>
          <w:lang w:val="nl-NL"/>
        </w:rPr>
      </w:pPr>
    </w:p>
    <w:p w14:paraId="20C85668" w14:textId="77777777" w:rsidR="001B2BD4" w:rsidRDefault="001B2BD4" w:rsidP="00BA7E3E">
      <w:pPr>
        <w:spacing w:after="0"/>
        <w:jc w:val="both"/>
        <w:rPr>
          <w:rFonts w:cstheme="minorHAnsi"/>
          <w:lang w:val="nl-NL"/>
        </w:rPr>
      </w:pPr>
      <w:r>
        <w:rPr>
          <w:rFonts w:cstheme="minorHAnsi"/>
          <w:lang w:val="nl-NL"/>
        </w:rPr>
        <w:t>Rekening houdend met de elders voorgestelde hervormingen, moet deze belastingvermindering wel op een aantal vlakken technisch worden bijgestuurd en mogelijks aangevuld:</w:t>
      </w:r>
    </w:p>
    <w:p w14:paraId="40A79558" w14:textId="2FD3F694" w:rsidR="001B2BD4" w:rsidRDefault="008B4EF1" w:rsidP="00BA7E3E">
      <w:pPr>
        <w:pStyle w:val="Lijstalinea"/>
        <w:numPr>
          <w:ilvl w:val="0"/>
          <w:numId w:val="84"/>
        </w:numPr>
        <w:spacing w:after="0"/>
        <w:jc w:val="both"/>
        <w:rPr>
          <w:rFonts w:cstheme="minorHAnsi"/>
          <w:lang w:val="nl-NL"/>
        </w:rPr>
      </w:pPr>
      <w:r>
        <w:rPr>
          <w:rFonts w:cstheme="minorHAnsi"/>
          <w:lang w:val="nl-NL"/>
        </w:rPr>
        <w:t>h</w:t>
      </w:r>
      <w:r w:rsidR="001B2BD4">
        <w:rPr>
          <w:rFonts w:cstheme="minorHAnsi"/>
          <w:lang w:val="nl-NL"/>
        </w:rPr>
        <w:t>et bedrag van</w:t>
      </w:r>
      <w:r w:rsidR="001B2BD4" w:rsidRPr="00C35817">
        <w:rPr>
          <w:rFonts w:cstheme="minorHAnsi"/>
          <w:lang w:val="nl-NL"/>
        </w:rPr>
        <w:t xml:space="preserve"> deze belastingverminderingen </w:t>
      </w:r>
      <w:r w:rsidR="001B2BD4">
        <w:rPr>
          <w:rFonts w:cstheme="minorHAnsi"/>
          <w:lang w:val="nl-NL"/>
        </w:rPr>
        <w:t>moet</w:t>
      </w:r>
      <w:r w:rsidR="001B2BD4" w:rsidRPr="00C35817">
        <w:rPr>
          <w:rFonts w:cstheme="minorHAnsi"/>
          <w:lang w:val="nl-NL"/>
        </w:rPr>
        <w:t xml:space="preserve"> ‘herijkt’ worden </w:t>
      </w:r>
      <w:r w:rsidR="001B2BD4">
        <w:rPr>
          <w:rFonts w:cstheme="minorHAnsi"/>
          <w:lang w:val="nl-NL"/>
        </w:rPr>
        <w:t>om ze na doorvoering van een gewijzigde tariefstructuur</w:t>
      </w:r>
      <w:r w:rsidR="00A822E5">
        <w:rPr>
          <w:rFonts w:cstheme="minorHAnsi"/>
          <w:lang w:val="nl-NL"/>
        </w:rPr>
        <w:t xml:space="preserve"> </w:t>
      </w:r>
      <w:r w:rsidR="00A52BA3">
        <w:rPr>
          <w:rFonts w:cstheme="minorHAnsi"/>
          <w:lang w:val="nl-NL"/>
        </w:rPr>
        <w:t>en belastingvrije som,</w:t>
      </w:r>
      <w:r w:rsidR="001B2BD4">
        <w:rPr>
          <w:rFonts w:cstheme="minorHAnsi"/>
          <w:lang w:val="nl-NL"/>
        </w:rPr>
        <w:t xml:space="preserve"> </w:t>
      </w:r>
      <w:r w:rsidR="00A52BA3">
        <w:rPr>
          <w:rFonts w:cstheme="minorHAnsi"/>
          <w:lang w:val="nl-NL"/>
        </w:rPr>
        <w:t>te laten aansluiten bij</w:t>
      </w:r>
      <w:r w:rsidR="001B2BD4">
        <w:rPr>
          <w:rFonts w:cstheme="minorHAnsi"/>
          <w:lang w:val="nl-NL"/>
        </w:rPr>
        <w:t xml:space="preserve"> wat nodig is om de vandaag beoogde netto uitkeringsniveaus te blijven waarborgen;</w:t>
      </w:r>
      <w:r w:rsidR="001B2BD4" w:rsidRPr="00C35817">
        <w:rPr>
          <w:rFonts w:cstheme="minorHAnsi"/>
          <w:lang w:val="nl-NL"/>
        </w:rPr>
        <w:t xml:space="preserve"> </w:t>
      </w:r>
    </w:p>
    <w:p w14:paraId="78192855" w14:textId="6246CFEE" w:rsidR="001B2BD4" w:rsidRDefault="008B4EF1" w:rsidP="00BA7E3E">
      <w:pPr>
        <w:pStyle w:val="Lijstalinea"/>
        <w:numPr>
          <w:ilvl w:val="0"/>
          <w:numId w:val="84"/>
        </w:numPr>
        <w:spacing w:after="0"/>
        <w:jc w:val="both"/>
        <w:rPr>
          <w:rFonts w:cstheme="minorHAnsi"/>
          <w:lang w:val="nl-NL"/>
        </w:rPr>
      </w:pPr>
      <w:r>
        <w:rPr>
          <w:rFonts w:cstheme="minorHAnsi"/>
          <w:lang w:val="nl-NL"/>
        </w:rPr>
        <w:t>v</w:t>
      </w:r>
      <w:r w:rsidR="001B2BD4" w:rsidRPr="00C35817">
        <w:rPr>
          <w:rFonts w:cstheme="minorHAnsi"/>
          <w:lang w:val="nl-NL"/>
        </w:rPr>
        <w:t xml:space="preserve">oor wat de proratering van de belastingvermindering betreft, moeten de vermogensinkomsten </w:t>
      </w:r>
      <w:r w:rsidR="003E0406">
        <w:rPr>
          <w:rFonts w:cstheme="minorHAnsi"/>
          <w:lang w:val="nl-NL"/>
        </w:rPr>
        <w:t xml:space="preserve">(in aansluiting op </w:t>
      </w:r>
      <w:r w:rsidR="006E142B">
        <w:rPr>
          <w:rFonts w:cstheme="minorHAnsi"/>
          <w:lang w:val="nl-NL"/>
        </w:rPr>
        <w:t xml:space="preserve">het </w:t>
      </w:r>
      <w:r w:rsidR="003E0406">
        <w:rPr>
          <w:rFonts w:cstheme="minorHAnsi"/>
          <w:lang w:val="nl-NL"/>
        </w:rPr>
        <w:t xml:space="preserve">thans bestaande wettelijk kader) </w:t>
      </w:r>
      <w:r w:rsidR="001B2BD4" w:rsidRPr="00C35817">
        <w:rPr>
          <w:rFonts w:cstheme="minorHAnsi"/>
          <w:lang w:val="nl-NL"/>
        </w:rPr>
        <w:t>mee in aanmerking worden genomen</w:t>
      </w:r>
      <w:r w:rsidR="001B2BD4">
        <w:rPr>
          <w:rFonts w:cstheme="minorHAnsi"/>
          <w:lang w:val="nl-NL"/>
        </w:rPr>
        <w:t xml:space="preserve"> (onverminderd de uitsluiting van éénmalige inkomsten, zoals een meerwaarde)</w:t>
      </w:r>
      <w:r w:rsidR="001B2BD4" w:rsidRPr="00C35817">
        <w:rPr>
          <w:rFonts w:cstheme="minorHAnsi"/>
          <w:lang w:val="nl-NL"/>
        </w:rPr>
        <w:t xml:space="preserve">. </w:t>
      </w:r>
    </w:p>
    <w:p w14:paraId="782D3D23" w14:textId="4649EAD5" w:rsidR="001B2BD4" w:rsidRDefault="001B2BD4" w:rsidP="00BA7E3E">
      <w:pPr>
        <w:pStyle w:val="Lijstalinea"/>
        <w:spacing w:after="0"/>
        <w:jc w:val="both"/>
        <w:rPr>
          <w:rFonts w:cstheme="minorHAnsi"/>
          <w:lang w:val="nl-NL"/>
        </w:rPr>
      </w:pPr>
      <w:r w:rsidRPr="00BA7E3E">
        <w:rPr>
          <w:rFonts w:cstheme="minorHAnsi"/>
          <w:u w:val="single"/>
          <w:lang w:val="nl-NL"/>
        </w:rPr>
        <w:t>PM:</w:t>
      </w:r>
      <w:r w:rsidRPr="00C35817">
        <w:rPr>
          <w:rFonts w:cstheme="minorHAnsi"/>
          <w:lang w:val="nl-NL"/>
        </w:rPr>
        <w:t xml:space="preserve"> </w:t>
      </w:r>
      <w:r w:rsidR="006E142B">
        <w:rPr>
          <w:rFonts w:cstheme="minorHAnsi"/>
          <w:lang w:val="nl-NL"/>
        </w:rPr>
        <w:t>D</w:t>
      </w:r>
      <w:r w:rsidRPr="00C35817">
        <w:rPr>
          <w:rFonts w:cstheme="minorHAnsi"/>
          <w:lang w:val="nl-NL"/>
        </w:rPr>
        <w:t xml:space="preserve">e </w:t>
      </w:r>
      <w:r>
        <w:rPr>
          <w:rFonts w:cstheme="minorHAnsi"/>
          <w:lang w:val="nl-NL"/>
        </w:rPr>
        <w:t>vandaag daarvoor uitgesloten</w:t>
      </w:r>
      <w:r w:rsidRPr="00C35817">
        <w:rPr>
          <w:rFonts w:cstheme="minorHAnsi"/>
          <w:lang w:val="nl-NL"/>
        </w:rPr>
        <w:t xml:space="preserve"> afzonderlijk belaste inkomsten</w:t>
      </w:r>
      <w:r>
        <w:rPr>
          <w:rFonts w:cstheme="minorHAnsi"/>
          <w:lang w:val="nl-NL"/>
        </w:rPr>
        <w:t xml:space="preserve"> en</w:t>
      </w:r>
      <w:r w:rsidRPr="00C35817">
        <w:rPr>
          <w:rFonts w:cstheme="minorHAnsi"/>
          <w:lang w:val="nl-NL"/>
        </w:rPr>
        <w:t xml:space="preserve"> inkomsten onderworpen aan de bevrijdende RV (die </w:t>
      </w:r>
      <w:r w:rsidR="00E845CF">
        <w:rPr>
          <w:rFonts w:cstheme="minorHAnsi"/>
          <w:lang w:val="nl-NL"/>
        </w:rPr>
        <w:t>conform het navolgend voorstel wel</w:t>
      </w:r>
      <w:r w:rsidRPr="00C35817">
        <w:rPr>
          <w:rFonts w:cstheme="minorHAnsi"/>
          <w:lang w:val="nl-NL"/>
        </w:rPr>
        <w:t xml:space="preserve"> aangegeven </w:t>
      </w:r>
      <w:r w:rsidR="00E845CF">
        <w:rPr>
          <w:rFonts w:cstheme="minorHAnsi"/>
          <w:lang w:val="nl-NL"/>
        </w:rPr>
        <w:t xml:space="preserve">zouden moeten </w:t>
      </w:r>
      <w:r w:rsidRPr="00C35817">
        <w:rPr>
          <w:rFonts w:cstheme="minorHAnsi"/>
          <w:lang w:val="nl-NL"/>
        </w:rPr>
        <w:t xml:space="preserve">worden), </w:t>
      </w:r>
      <w:r w:rsidR="00BA27B5">
        <w:rPr>
          <w:rFonts w:cstheme="minorHAnsi"/>
          <w:lang w:val="nl-NL"/>
        </w:rPr>
        <w:t>zouden</w:t>
      </w:r>
      <w:r w:rsidR="00BA27B5" w:rsidRPr="00C35817">
        <w:rPr>
          <w:rFonts w:cstheme="minorHAnsi"/>
          <w:lang w:val="nl-NL"/>
        </w:rPr>
        <w:t xml:space="preserve"> </w:t>
      </w:r>
      <w:r w:rsidRPr="00C35817">
        <w:rPr>
          <w:rFonts w:cstheme="minorHAnsi"/>
          <w:lang w:val="nl-NL"/>
        </w:rPr>
        <w:t xml:space="preserve">voortaan dus </w:t>
      </w:r>
      <w:r>
        <w:rPr>
          <w:rFonts w:cstheme="minorHAnsi"/>
          <w:lang w:val="nl-NL"/>
        </w:rPr>
        <w:t xml:space="preserve">wel </w:t>
      </w:r>
      <w:r w:rsidRPr="00C35817">
        <w:rPr>
          <w:rFonts w:cstheme="minorHAnsi"/>
          <w:lang w:val="nl-NL"/>
        </w:rPr>
        <w:t xml:space="preserve">mee in aanmerking </w:t>
      </w:r>
      <w:r w:rsidR="006856F1">
        <w:rPr>
          <w:rFonts w:cstheme="minorHAnsi"/>
          <w:lang w:val="nl-NL"/>
        </w:rPr>
        <w:t xml:space="preserve">worden </w:t>
      </w:r>
      <w:r w:rsidRPr="00C35817">
        <w:rPr>
          <w:rFonts w:cstheme="minorHAnsi"/>
          <w:lang w:val="nl-NL"/>
        </w:rPr>
        <w:t>genomen voor de proratering</w:t>
      </w:r>
      <w:r w:rsidR="005F6408">
        <w:rPr>
          <w:rFonts w:cstheme="minorHAnsi"/>
          <w:lang w:val="nl-NL"/>
        </w:rPr>
        <w:t>.</w:t>
      </w:r>
    </w:p>
    <w:p w14:paraId="7A8F5615" w14:textId="783BF72F" w:rsidR="001B2BD4" w:rsidRDefault="001B2BD4" w:rsidP="00BA7E3E">
      <w:pPr>
        <w:pStyle w:val="Lijstalinea"/>
        <w:spacing w:after="0"/>
        <w:jc w:val="both"/>
        <w:rPr>
          <w:rFonts w:cstheme="minorHAnsi"/>
          <w:lang w:val="nl-NL"/>
        </w:rPr>
      </w:pPr>
      <w:r w:rsidRPr="00BA7E3E">
        <w:rPr>
          <w:rFonts w:cstheme="minorHAnsi"/>
          <w:u w:val="single"/>
          <w:lang w:val="nl-NL"/>
        </w:rPr>
        <w:t>PM:</w:t>
      </w:r>
      <w:r>
        <w:rPr>
          <w:rFonts w:cstheme="minorHAnsi"/>
          <w:lang w:val="nl-NL"/>
        </w:rPr>
        <w:t xml:space="preserve"> </w:t>
      </w:r>
      <w:r w:rsidR="005F6408">
        <w:rPr>
          <w:rFonts w:cstheme="minorHAnsi"/>
          <w:lang w:val="nl-NL"/>
        </w:rPr>
        <w:t>G</w:t>
      </w:r>
      <w:r>
        <w:rPr>
          <w:rFonts w:cstheme="minorHAnsi"/>
          <w:lang w:val="nl-NL"/>
        </w:rPr>
        <w:t>elet op de doelstelling van de belastingvermindering, lijkt het logisch om b</w:t>
      </w:r>
      <w:r w:rsidRPr="00AA647B">
        <w:rPr>
          <w:rFonts w:cstheme="minorHAnsi"/>
          <w:lang w:val="nl-NL"/>
        </w:rPr>
        <w:t xml:space="preserve">ij de berekening van de belastingvermindering </w:t>
      </w:r>
      <w:r>
        <w:rPr>
          <w:rFonts w:cstheme="minorHAnsi"/>
          <w:lang w:val="nl-NL"/>
        </w:rPr>
        <w:t>rekening te houden</w:t>
      </w:r>
      <w:r w:rsidRPr="00AA647B">
        <w:rPr>
          <w:rFonts w:cstheme="minorHAnsi"/>
          <w:lang w:val="nl-NL"/>
        </w:rPr>
        <w:t xml:space="preserve"> met </w:t>
      </w:r>
      <w:r>
        <w:rPr>
          <w:rFonts w:cstheme="minorHAnsi"/>
          <w:lang w:val="nl-NL"/>
        </w:rPr>
        <w:t xml:space="preserve">in een fictieve rente om te zetten kapitalen </w:t>
      </w:r>
      <w:r w:rsidRPr="00AA647B">
        <w:rPr>
          <w:rFonts w:cstheme="minorHAnsi"/>
          <w:lang w:val="nl-NL"/>
        </w:rPr>
        <w:t xml:space="preserve">uit de tweede </w:t>
      </w:r>
      <w:r>
        <w:rPr>
          <w:rFonts w:cstheme="minorHAnsi"/>
          <w:lang w:val="nl-NL"/>
        </w:rPr>
        <w:t xml:space="preserve">en derde </w:t>
      </w:r>
      <w:r w:rsidRPr="00AA647B">
        <w:rPr>
          <w:rFonts w:cstheme="minorHAnsi"/>
          <w:lang w:val="nl-NL"/>
        </w:rPr>
        <w:t>pensioenpijler</w:t>
      </w:r>
      <w:r w:rsidR="005F6408">
        <w:rPr>
          <w:rFonts w:cstheme="minorHAnsi"/>
          <w:lang w:val="nl-NL"/>
        </w:rPr>
        <w:t>.</w:t>
      </w:r>
    </w:p>
    <w:p w14:paraId="67E652E5" w14:textId="11349137" w:rsidR="001B2BD4" w:rsidRDefault="008B4EF1" w:rsidP="00BA7E3E">
      <w:pPr>
        <w:pStyle w:val="Lijstalinea"/>
        <w:numPr>
          <w:ilvl w:val="0"/>
          <w:numId w:val="84"/>
        </w:numPr>
        <w:spacing w:after="0"/>
        <w:jc w:val="both"/>
        <w:rPr>
          <w:rFonts w:cstheme="minorHAnsi"/>
          <w:lang w:val="nl-NL"/>
        </w:rPr>
      </w:pPr>
      <w:r>
        <w:rPr>
          <w:rFonts w:cstheme="minorHAnsi"/>
          <w:lang w:val="nl-NL"/>
        </w:rPr>
        <w:t>s</w:t>
      </w:r>
      <w:r w:rsidR="001B2BD4">
        <w:rPr>
          <w:rFonts w:cstheme="minorHAnsi"/>
          <w:lang w:val="nl-NL"/>
        </w:rPr>
        <w:t>pecifiek t.a.v. vervangingsinkomsten wordt best voorzien dat de toekenning van vervangingsinkomsten niet kan leiden tot een hoger netto-inkomen. Dit laatste leidt uiteraard wel tot een bijkomende administratieve complexiteit.</w:t>
      </w:r>
    </w:p>
    <w:p w14:paraId="0A07115B" w14:textId="0DB1535D" w:rsidR="00301FF2" w:rsidRDefault="00301FF2">
      <w:pPr>
        <w:rPr>
          <w:rFonts w:cstheme="minorHAnsi"/>
        </w:rPr>
      </w:pPr>
      <w:r>
        <w:rPr>
          <w:rFonts w:cstheme="minorHAnsi"/>
        </w:rPr>
        <w:br w:type="page"/>
      </w:r>
    </w:p>
    <w:p w14:paraId="66D7C2C4" w14:textId="77777777" w:rsidR="001B2BD4" w:rsidRDefault="001B2BD4" w:rsidP="00BA7E3E">
      <w:pPr>
        <w:spacing w:after="0"/>
        <w:jc w:val="both"/>
        <w:rPr>
          <w:rFonts w:cstheme="minorHAnsi"/>
        </w:rPr>
      </w:pPr>
    </w:p>
    <w:p w14:paraId="4C3194B1" w14:textId="18410099" w:rsidR="001B2BD4" w:rsidRDefault="001B2BD4" w:rsidP="00BA7E3E">
      <w:pPr>
        <w:spacing w:after="0"/>
        <w:jc w:val="both"/>
        <w:rPr>
          <w:rFonts w:cstheme="minorHAnsi"/>
        </w:rPr>
      </w:pPr>
    </w:p>
    <w:p w14:paraId="10C0A302" w14:textId="4D0CFFFA" w:rsidR="000D5DE9" w:rsidRDefault="000D5DE9" w:rsidP="00303355">
      <w:pPr>
        <w:pStyle w:val="Kop2"/>
        <w:numPr>
          <w:ilvl w:val="0"/>
          <w:numId w:val="118"/>
        </w:numPr>
      </w:pPr>
      <w:bookmarkStart w:id="186" w:name="_Toc107210917"/>
      <w:r>
        <w:t>Tweede pijler</w:t>
      </w:r>
      <w:bookmarkEnd w:id="186"/>
    </w:p>
    <w:p w14:paraId="59FD7CD7" w14:textId="064589A4" w:rsidR="000D5DE9" w:rsidRDefault="000D5DE9" w:rsidP="00BA7E3E">
      <w:pPr>
        <w:spacing w:after="0"/>
        <w:jc w:val="both"/>
        <w:rPr>
          <w:rFonts w:cstheme="minorHAnsi"/>
        </w:rPr>
      </w:pPr>
    </w:p>
    <w:p w14:paraId="34BE07B6" w14:textId="77777777" w:rsidR="000D5DE9" w:rsidRDefault="000D5DE9" w:rsidP="00BA7E3E">
      <w:pPr>
        <w:spacing w:after="0"/>
        <w:jc w:val="both"/>
        <w:rPr>
          <w:rFonts w:cstheme="minorHAnsi"/>
        </w:rPr>
      </w:pPr>
    </w:p>
    <w:p w14:paraId="252232D4" w14:textId="77777777" w:rsidR="001B2BD4" w:rsidRDefault="001B2BD4" w:rsidP="00BA7E3E">
      <w:pPr>
        <w:spacing w:after="0"/>
        <w:jc w:val="both"/>
        <w:rPr>
          <w:rFonts w:cstheme="minorHAnsi"/>
        </w:rPr>
      </w:pPr>
      <w:r>
        <w:rPr>
          <w:rFonts w:cstheme="minorHAnsi"/>
        </w:rPr>
        <w:t xml:space="preserve">Binnen de </w:t>
      </w:r>
      <w:r w:rsidRPr="00232AFC">
        <w:rPr>
          <w:rFonts w:cstheme="minorHAnsi"/>
          <w:b/>
          <w:bCs/>
        </w:rPr>
        <w:t>tweede pijler</w:t>
      </w:r>
      <w:r>
        <w:rPr>
          <w:rFonts w:cstheme="minorHAnsi"/>
        </w:rPr>
        <w:t xml:space="preserve"> bestaan er heel veel diverse mechanismen, die fiscaaltechnisch ook gedifferentieerd werden uitgewerkt, zowel voor wat betreft de opbouwfase als wat betreft de uitkeringsfase.</w:t>
      </w:r>
    </w:p>
    <w:p w14:paraId="2C04B167" w14:textId="77777777" w:rsidR="001B2BD4" w:rsidRDefault="001B2BD4" w:rsidP="00BA7E3E">
      <w:pPr>
        <w:spacing w:after="0"/>
        <w:jc w:val="both"/>
        <w:rPr>
          <w:rFonts w:cstheme="minorHAnsi"/>
        </w:rPr>
      </w:pPr>
    </w:p>
    <w:p w14:paraId="4B1693B6" w14:textId="3A5102D7" w:rsidR="001B2BD4" w:rsidRDefault="001B2BD4" w:rsidP="00BA7E3E">
      <w:pPr>
        <w:spacing w:after="0"/>
        <w:jc w:val="both"/>
        <w:rPr>
          <w:rFonts w:cstheme="minorHAnsi"/>
          <w:lang w:val="nl-NL"/>
        </w:rPr>
      </w:pPr>
      <w:bookmarkStart w:id="187" w:name="_Hlk84490392"/>
      <w:r w:rsidRPr="007C05CA">
        <w:rPr>
          <w:rFonts w:cstheme="minorHAnsi"/>
          <w:lang w:val="nl-NL"/>
        </w:rPr>
        <w:t>De huidige regels worden</w:t>
      </w:r>
      <w:r>
        <w:rPr>
          <w:rFonts w:cstheme="minorHAnsi"/>
          <w:lang w:val="nl-NL"/>
        </w:rPr>
        <w:t xml:space="preserve"> </w:t>
      </w:r>
      <w:r w:rsidRPr="007C05CA">
        <w:rPr>
          <w:rFonts w:cstheme="minorHAnsi"/>
          <w:lang w:val="nl-NL"/>
        </w:rPr>
        <w:t xml:space="preserve">conceptueel verantwoord vanuit de nauwe band met de eerste pijler, maar </w:t>
      </w:r>
      <w:r>
        <w:rPr>
          <w:rFonts w:cstheme="minorHAnsi"/>
          <w:lang w:val="nl-NL"/>
        </w:rPr>
        <w:t>sluiten ook enigszins aan</w:t>
      </w:r>
      <w:r w:rsidRPr="007C05CA">
        <w:rPr>
          <w:rFonts w:cstheme="minorHAnsi"/>
          <w:lang w:val="nl-NL"/>
        </w:rPr>
        <w:t xml:space="preserve"> bij het langetermijnsparen (inz. het verlenen van een belastingvermindering en de gunstige </w:t>
      </w:r>
      <w:r w:rsidR="00B46C75">
        <w:rPr>
          <w:rFonts w:cstheme="minorHAnsi"/>
          <w:lang w:val="nl-NL"/>
        </w:rPr>
        <w:t>belastingheffing</w:t>
      </w:r>
      <w:r w:rsidRPr="007C05CA">
        <w:rPr>
          <w:rFonts w:cstheme="minorHAnsi"/>
          <w:lang w:val="nl-NL"/>
        </w:rPr>
        <w:t xml:space="preserve"> bij uitkering, alsook de specifieke behandeling van de winstdeelneming)</w:t>
      </w:r>
      <w:r>
        <w:rPr>
          <w:rFonts w:cstheme="minorHAnsi"/>
          <w:lang w:val="nl-NL"/>
        </w:rPr>
        <w:t>.</w:t>
      </w:r>
    </w:p>
    <w:p w14:paraId="3C2D780C" w14:textId="77777777" w:rsidR="001B2BD4" w:rsidRPr="007C05CA" w:rsidRDefault="001B2BD4" w:rsidP="00BA7E3E">
      <w:pPr>
        <w:spacing w:after="0"/>
        <w:jc w:val="both"/>
        <w:rPr>
          <w:rFonts w:cstheme="minorHAnsi"/>
          <w:lang w:val="nl-NL"/>
        </w:rPr>
      </w:pPr>
    </w:p>
    <w:p w14:paraId="3763306A" w14:textId="56654873" w:rsidR="001B2BD4" w:rsidRPr="007C05CA" w:rsidRDefault="001B2BD4" w:rsidP="00BA7E3E">
      <w:pPr>
        <w:spacing w:after="0"/>
        <w:jc w:val="both"/>
        <w:rPr>
          <w:rFonts w:cstheme="minorHAnsi"/>
          <w:lang w:val="nl-NL"/>
        </w:rPr>
      </w:pPr>
      <w:r>
        <w:rPr>
          <w:rFonts w:cstheme="minorHAnsi"/>
          <w:lang w:val="nl-NL"/>
        </w:rPr>
        <w:t xml:space="preserve">Voorts is er ook wel wat kritiek op het beginsel en de </w:t>
      </w:r>
      <w:r w:rsidRPr="007C05CA">
        <w:rPr>
          <w:rFonts w:cstheme="minorHAnsi"/>
          <w:lang w:val="nl-NL"/>
        </w:rPr>
        <w:t xml:space="preserve">toepassing </w:t>
      </w:r>
      <w:r w:rsidR="008B21E6">
        <w:rPr>
          <w:rFonts w:cstheme="minorHAnsi"/>
          <w:lang w:val="nl-NL"/>
        </w:rPr>
        <w:t xml:space="preserve">van </w:t>
      </w:r>
      <w:r w:rsidRPr="007C05CA">
        <w:rPr>
          <w:rFonts w:cstheme="minorHAnsi"/>
          <w:lang w:val="nl-NL"/>
        </w:rPr>
        <w:t xml:space="preserve">de </w:t>
      </w:r>
      <w:r>
        <w:rPr>
          <w:rFonts w:cstheme="minorHAnsi"/>
          <w:lang w:val="nl-NL"/>
        </w:rPr>
        <w:t xml:space="preserve">zogenaamde </w:t>
      </w:r>
      <w:r w:rsidRPr="007C05CA">
        <w:rPr>
          <w:rFonts w:cstheme="minorHAnsi"/>
          <w:lang w:val="nl-NL"/>
        </w:rPr>
        <w:t>80%-regel.</w:t>
      </w:r>
    </w:p>
    <w:bookmarkEnd w:id="187"/>
    <w:p w14:paraId="734513FE" w14:textId="77777777" w:rsidR="001B2BD4" w:rsidRDefault="001B2BD4" w:rsidP="00BA7E3E">
      <w:pPr>
        <w:spacing w:after="0"/>
        <w:rPr>
          <w:rFonts w:cstheme="minorHAnsi"/>
          <w:lang w:val="nl-NL"/>
        </w:rPr>
      </w:pPr>
    </w:p>
    <w:p w14:paraId="3C1CEE09" w14:textId="44A321D2" w:rsidR="001B2BD4" w:rsidRDefault="001B2BD4" w:rsidP="00BA7E3E">
      <w:pPr>
        <w:spacing w:after="0"/>
        <w:jc w:val="both"/>
        <w:rPr>
          <w:rFonts w:cstheme="minorHAnsi"/>
        </w:rPr>
      </w:pPr>
      <w:r>
        <w:rPr>
          <w:rFonts w:cstheme="minorHAnsi"/>
        </w:rPr>
        <w:t xml:space="preserve">Teneinde meer coherentie in de diverse stelsels te bewerkstelligen en daarbij ook de band met de eerste pijler sterker te benadrukken, kan alvast overwogen </w:t>
      </w:r>
      <w:r w:rsidR="00966CFF">
        <w:rPr>
          <w:rFonts w:cstheme="minorHAnsi"/>
        </w:rPr>
        <w:t xml:space="preserve">worden </w:t>
      </w:r>
      <w:r>
        <w:rPr>
          <w:rFonts w:cstheme="minorHAnsi"/>
        </w:rPr>
        <w:t xml:space="preserve">om de stortingen tijdens de </w:t>
      </w:r>
      <w:r w:rsidRPr="00232AFC">
        <w:rPr>
          <w:rFonts w:cstheme="minorHAnsi"/>
          <w:u w:val="single"/>
        </w:rPr>
        <w:t>opbouw</w:t>
      </w:r>
      <w:r>
        <w:rPr>
          <w:rFonts w:cstheme="minorHAnsi"/>
        </w:rPr>
        <w:t xml:space="preserve"> (voor wat de fiscale behandeling ervan betreft) gelijk te stellen met sociale bijdragen (betaald door de werknemer/werkgever of door de zelfstandige (desgevallend bedrijfsleider)/vennootschap). </w:t>
      </w:r>
    </w:p>
    <w:p w14:paraId="3CE4A55D" w14:textId="77777777" w:rsidR="001B2BD4" w:rsidRDefault="001B2BD4" w:rsidP="00BA7E3E">
      <w:pPr>
        <w:spacing w:after="0"/>
        <w:jc w:val="both"/>
        <w:rPr>
          <w:rFonts w:cstheme="minorHAnsi"/>
        </w:rPr>
      </w:pPr>
    </w:p>
    <w:p w14:paraId="2AA8AF50" w14:textId="77777777" w:rsidR="001B2BD4" w:rsidRDefault="001B2BD4" w:rsidP="00BA7E3E">
      <w:pPr>
        <w:spacing w:after="0"/>
        <w:jc w:val="both"/>
        <w:rPr>
          <w:rFonts w:cstheme="minorHAnsi"/>
        </w:rPr>
      </w:pPr>
      <w:r>
        <w:rPr>
          <w:rFonts w:cstheme="minorHAnsi"/>
        </w:rPr>
        <w:t>Deze gelijkstelling heeft uiteraard een aantal verstrekkende gevolgen (o.m. op het vlak van de bijdragebasis voor zelfstandigen, het verdwijnen van de bijzondere werkgeversbijdrage van 8,86%, …), waarvan de impact nader moet onderzocht worden.</w:t>
      </w:r>
    </w:p>
    <w:p w14:paraId="245A5154" w14:textId="77777777" w:rsidR="001B2BD4" w:rsidRDefault="001B2BD4" w:rsidP="00BA7E3E">
      <w:pPr>
        <w:spacing w:after="0"/>
        <w:jc w:val="both"/>
        <w:rPr>
          <w:rFonts w:cstheme="minorHAnsi"/>
        </w:rPr>
      </w:pPr>
    </w:p>
    <w:p w14:paraId="37EEBF02" w14:textId="77777777" w:rsidR="001B2BD4" w:rsidRDefault="001B2BD4" w:rsidP="00BA7E3E">
      <w:pPr>
        <w:spacing w:after="0"/>
        <w:jc w:val="both"/>
        <w:rPr>
          <w:rFonts w:cstheme="minorHAnsi"/>
        </w:rPr>
      </w:pPr>
      <w:r>
        <w:rPr>
          <w:rFonts w:cstheme="minorHAnsi"/>
        </w:rPr>
        <w:t xml:space="preserve">Voor zover de </w:t>
      </w:r>
      <w:r w:rsidRPr="00977CB4">
        <w:rPr>
          <w:rFonts w:cstheme="minorHAnsi"/>
        </w:rPr>
        <w:t>80%-begrenzing</w:t>
      </w:r>
      <w:r w:rsidRPr="00976673">
        <w:rPr>
          <w:rFonts w:cstheme="minorHAnsi"/>
        </w:rPr>
        <w:t>,</w:t>
      </w:r>
      <w:r>
        <w:rPr>
          <w:rFonts w:cstheme="minorHAnsi"/>
        </w:rPr>
        <w:t xml:space="preserve"> in zijn bestaande opzet, zou behouden blijven, verdient het aanbeveling om een aantal scheeftrekkingen uit te zuiveren.</w:t>
      </w:r>
    </w:p>
    <w:p w14:paraId="5D22921B" w14:textId="77777777" w:rsidR="001B2BD4" w:rsidRDefault="001B2BD4" w:rsidP="00BA7E3E">
      <w:pPr>
        <w:spacing w:after="0"/>
        <w:jc w:val="both"/>
        <w:rPr>
          <w:rFonts w:cstheme="minorHAnsi"/>
        </w:rPr>
      </w:pPr>
    </w:p>
    <w:p w14:paraId="124C029C" w14:textId="77777777" w:rsidR="001B2BD4" w:rsidRDefault="001B2BD4" w:rsidP="00BA7E3E">
      <w:pPr>
        <w:spacing w:after="0"/>
        <w:jc w:val="both"/>
        <w:rPr>
          <w:rFonts w:cstheme="minorHAnsi"/>
        </w:rPr>
      </w:pPr>
      <w:r>
        <w:rPr>
          <w:rFonts w:cstheme="minorHAnsi"/>
        </w:rPr>
        <w:t>Zonder op dit vlak exhaustief te kunnen zijn, kunnen alvast volgende suggesties gemaakt worden:</w:t>
      </w:r>
    </w:p>
    <w:p w14:paraId="090CC443" w14:textId="00271839" w:rsidR="001B2BD4" w:rsidRDefault="00F3462F" w:rsidP="00275FEB">
      <w:pPr>
        <w:pStyle w:val="Lijstalinea"/>
        <w:numPr>
          <w:ilvl w:val="0"/>
          <w:numId w:val="85"/>
        </w:numPr>
        <w:jc w:val="both"/>
        <w:rPr>
          <w:rFonts w:cstheme="minorHAnsi"/>
        </w:rPr>
      </w:pPr>
      <w:r>
        <w:rPr>
          <w:rFonts w:cstheme="minorHAnsi"/>
        </w:rPr>
        <w:t>d</w:t>
      </w:r>
      <w:r w:rsidR="001B2BD4">
        <w:rPr>
          <w:rFonts w:cstheme="minorHAnsi"/>
        </w:rPr>
        <w:t xml:space="preserve">e derde pijler (zo deze behouden blijft) </w:t>
      </w:r>
      <w:r w:rsidR="002F495C">
        <w:rPr>
          <w:rFonts w:cstheme="minorHAnsi"/>
        </w:rPr>
        <w:t xml:space="preserve">kan </w:t>
      </w:r>
      <w:r w:rsidR="001B2BD4">
        <w:rPr>
          <w:rFonts w:cstheme="minorHAnsi"/>
        </w:rPr>
        <w:t xml:space="preserve">mee in aanmerking worden genomen voor de berekening van de grens. </w:t>
      </w:r>
      <w:r w:rsidR="002812D5">
        <w:rPr>
          <w:rFonts w:cstheme="minorHAnsi"/>
        </w:rPr>
        <w:t xml:space="preserve">Dit versterkt de coherentie tussen de </w:t>
      </w:r>
      <w:r w:rsidR="009734AA">
        <w:rPr>
          <w:rFonts w:cstheme="minorHAnsi"/>
        </w:rPr>
        <w:t xml:space="preserve">tweede en derde pijler. </w:t>
      </w:r>
      <w:r w:rsidR="001B2BD4">
        <w:rPr>
          <w:rFonts w:cstheme="minorHAnsi"/>
        </w:rPr>
        <w:t xml:space="preserve">Daartoe moet </w:t>
      </w:r>
      <w:r w:rsidR="009734AA">
        <w:rPr>
          <w:rFonts w:cstheme="minorHAnsi"/>
        </w:rPr>
        <w:t xml:space="preserve">in voorkomend geval </w:t>
      </w:r>
      <w:r w:rsidR="001B2BD4">
        <w:rPr>
          <w:rFonts w:cstheme="minorHAnsi"/>
        </w:rPr>
        <w:t>de desbetreffende informatie in de SIGEDIS-databank worden geïntegreerd;</w:t>
      </w:r>
    </w:p>
    <w:p w14:paraId="49D1EA8C" w14:textId="0A940B4A" w:rsidR="001B2BD4" w:rsidRPr="005C0CC9" w:rsidRDefault="00AE577A" w:rsidP="00275FEB">
      <w:pPr>
        <w:pStyle w:val="Lijstalinea"/>
        <w:numPr>
          <w:ilvl w:val="0"/>
          <w:numId w:val="85"/>
        </w:numPr>
        <w:jc w:val="both"/>
        <w:rPr>
          <w:rFonts w:cstheme="minorHAnsi"/>
        </w:rPr>
      </w:pPr>
      <w:r>
        <w:rPr>
          <w:rFonts w:cstheme="minorHAnsi"/>
        </w:rPr>
        <w:t>e</w:t>
      </w:r>
      <w:r w:rsidR="001B2BD4">
        <w:rPr>
          <w:rFonts w:cstheme="minorHAnsi"/>
        </w:rPr>
        <w:t xml:space="preserve">r wordt niet langer gewerkt </w:t>
      </w:r>
      <w:r w:rsidR="001B2BD4" w:rsidRPr="005C0CC9">
        <w:rPr>
          <w:rFonts w:cstheme="minorHAnsi"/>
          <w:lang w:val="nl-NL"/>
        </w:rPr>
        <w:t xml:space="preserve">met geprojecteerde pensioenprestaties, maar </w:t>
      </w:r>
      <w:r w:rsidR="001B2BD4">
        <w:rPr>
          <w:rFonts w:cstheme="minorHAnsi"/>
          <w:lang w:val="nl-NL"/>
        </w:rPr>
        <w:t xml:space="preserve">er </w:t>
      </w:r>
      <w:r w:rsidR="001B2BD4" w:rsidRPr="005C0CC9">
        <w:rPr>
          <w:rFonts w:cstheme="minorHAnsi"/>
          <w:lang w:val="nl-NL"/>
        </w:rPr>
        <w:t>wordt enkel gebruikt gemaakt van elementen gekend op het ogenblik van de berekening. De betrachting is een uniforme berekeningswijze te verkrijgen, waarbij arbitragemogelijkheden afnemen</w:t>
      </w:r>
      <w:r w:rsidR="001B2BD4">
        <w:rPr>
          <w:rFonts w:cstheme="minorHAnsi"/>
          <w:lang w:val="nl-NL"/>
        </w:rPr>
        <w:t>;</w:t>
      </w:r>
    </w:p>
    <w:p w14:paraId="151FDD25" w14:textId="4CD120AB" w:rsidR="001B2BD4" w:rsidRPr="00DE0597" w:rsidRDefault="00AE577A" w:rsidP="00BA7E3E">
      <w:pPr>
        <w:pStyle w:val="Lijstalinea"/>
        <w:numPr>
          <w:ilvl w:val="0"/>
          <w:numId w:val="85"/>
        </w:numPr>
        <w:spacing w:after="0"/>
        <w:jc w:val="both"/>
        <w:rPr>
          <w:rFonts w:cstheme="minorHAnsi"/>
          <w:lang w:val="nl-NL"/>
        </w:rPr>
      </w:pPr>
      <w:r>
        <w:rPr>
          <w:rFonts w:cstheme="minorHAnsi"/>
          <w:lang w:val="nl-NL"/>
        </w:rPr>
        <w:t>d</w:t>
      </w:r>
      <w:r w:rsidR="001B2BD4">
        <w:rPr>
          <w:rFonts w:cstheme="minorHAnsi"/>
          <w:lang w:val="nl-NL"/>
        </w:rPr>
        <w:t>e begrenzing wordt voorts niet langer gekoppeld aan de laatste normale brutojaarbezoldiging, maar wel aan het gemiddelde van de brutojaarbezoldigingen over de laatste (bv. 10</w:t>
      </w:r>
      <w:r w:rsidR="005F6408">
        <w:rPr>
          <w:rFonts w:cstheme="minorHAnsi"/>
          <w:lang w:val="nl-NL"/>
        </w:rPr>
        <w:t>)</w:t>
      </w:r>
      <w:r w:rsidR="001B2BD4">
        <w:rPr>
          <w:rFonts w:cstheme="minorHAnsi"/>
          <w:lang w:val="nl-NL"/>
        </w:rPr>
        <w:t xml:space="preserve"> jaren. Hierdoor worden de fiscale optimalisatiemogelijkheden op het einde van de carrière sterk gereduceerd. Bovendien verhindert dit ook ten dele negatieve effecten voor zij die op het einde van hun carrière deeltijds zouden gaan werken of zouden werken in een functie met een lager loon. Bij aanvang van de carrière wordt uiteraard een instapmechanisme voorzien;</w:t>
      </w:r>
    </w:p>
    <w:p w14:paraId="02739795" w14:textId="424D0B8A" w:rsidR="001B2BD4" w:rsidRDefault="00AE577A" w:rsidP="00275FEB">
      <w:pPr>
        <w:pStyle w:val="Lijstalinea"/>
        <w:numPr>
          <w:ilvl w:val="0"/>
          <w:numId w:val="85"/>
        </w:numPr>
        <w:jc w:val="both"/>
        <w:rPr>
          <w:lang w:val="nl-NL"/>
        </w:rPr>
      </w:pPr>
      <w:r>
        <w:rPr>
          <w:lang w:val="nl-NL"/>
        </w:rPr>
        <w:t>n</w:t>
      </w:r>
      <w:r w:rsidR="001B2BD4">
        <w:rPr>
          <w:lang w:val="nl-NL"/>
        </w:rPr>
        <w:t>aast de procentuele opbouwbegrenzing (vandaag 80%) kan overwogen worden om ook een absolute opbouwbegrenzing in te voeren (bv. ten belope van het maximale ambtenarenpensioen);</w:t>
      </w:r>
    </w:p>
    <w:p w14:paraId="278AD904" w14:textId="1648C1A6" w:rsidR="001B2BD4" w:rsidRDefault="00AE577A" w:rsidP="00275FEB">
      <w:pPr>
        <w:pStyle w:val="Lijstalinea"/>
        <w:numPr>
          <w:ilvl w:val="0"/>
          <w:numId w:val="85"/>
        </w:numPr>
        <w:jc w:val="both"/>
        <w:rPr>
          <w:lang w:val="nl-NL"/>
        </w:rPr>
      </w:pPr>
      <w:r>
        <w:rPr>
          <w:lang w:val="nl-NL"/>
        </w:rPr>
        <w:t>d</w:t>
      </w:r>
      <w:r w:rsidR="001B2BD4">
        <w:rPr>
          <w:lang w:val="nl-NL"/>
        </w:rPr>
        <w:t>e valorisatie van perioden van tewerkstelling uit het verleden (de zogenaamde backservice) moet op zijn minst nader worden gereglementeerd, teneinde bepaalde misbruiken tegen te gaan. Het inbouwen van meer specifieke voorwaarden kan hiertoe bijdragen</w:t>
      </w:r>
      <w:r w:rsidR="00E44B20">
        <w:rPr>
          <w:lang w:val="nl-NL"/>
        </w:rPr>
        <w:t>;</w:t>
      </w:r>
    </w:p>
    <w:p w14:paraId="14B4368A" w14:textId="40007D2C" w:rsidR="001B2BD4" w:rsidRPr="00496855" w:rsidRDefault="00AE577A" w:rsidP="00275FEB">
      <w:pPr>
        <w:pStyle w:val="Lijstalinea"/>
        <w:numPr>
          <w:ilvl w:val="0"/>
          <w:numId w:val="85"/>
        </w:numPr>
        <w:spacing w:after="0"/>
        <w:ind w:left="1077" w:hanging="357"/>
        <w:jc w:val="both"/>
        <w:rPr>
          <w:lang w:val="nl-NL"/>
        </w:rPr>
      </w:pPr>
      <w:r>
        <w:rPr>
          <w:rFonts w:cstheme="minorHAnsi"/>
          <w:lang w:val="nl-NL"/>
        </w:rPr>
        <w:t>h</w:t>
      </w:r>
      <w:r w:rsidR="001B2BD4" w:rsidRPr="00496855">
        <w:rPr>
          <w:rFonts w:cstheme="minorHAnsi"/>
          <w:lang w:val="nl-NL"/>
        </w:rPr>
        <w:t xml:space="preserve">et gedeelte van de storting dat de aftrekdrempel overschrijdt, </w:t>
      </w:r>
      <w:r w:rsidR="001B2BD4">
        <w:rPr>
          <w:rFonts w:cstheme="minorHAnsi"/>
          <w:lang w:val="nl-NL"/>
        </w:rPr>
        <w:t>zou moeten aangemerkt worden</w:t>
      </w:r>
      <w:r w:rsidR="001B2BD4" w:rsidRPr="00496855">
        <w:rPr>
          <w:rFonts w:cstheme="minorHAnsi"/>
          <w:lang w:val="nl-NL"/>
        </w:rPr>
        <w:t xml:space="preserve"> als een</w:t>
      </w:r>
      <w:r w:rsidR="001B2BD4">
        <w:rPr>
          <w:rFonts w:cstheme="minorHAnsi"/>
          <w:lang w:val="nl-NL"/>
        </w:rPr>
        <w:t xml:space="preserve"> voordeel van alle aard </w:t>
      </w:r>
      <w:r w:rsidR="001B2BD4" w:rsidRPr="00496855">
        <w:rPr>
          <w:rFonts w:cstheme="minorHAnsi"/>
          <w:lang w:val="nl-NL"/>
        </w:rPr>
        <w:t>in hoofde van de begunstigde.</w:t>
      </w:r>
      <w:r w:rsidR="001B2BD4">
        <w:rPr>
          <w:rFonts w:cstheme="minorHAnsi"/>
          <w:lang w:val="nl-NL"/>
        </w:rPr>
        <w:t xml:space="preserve"> Op die manier moet een praktijk bestreden worden waarbij de begrenzing doelbewust wordt geschonden.</w:t>
      </w:r>
    </w:p>
    <w:p w14:paraId="609D0C92" w14:textId="77777777" w:rsidR="001B2BD4" w:rsidRPr="00276006" w:rsidRDefault="001B2BD4" w:rsidP="00BA7E3E">
      <w:pPr>
        <w:spacing w:after="0"/>
        <w:jc w:val="both"/>
        <w:rPr>
          <w:rFonts w:cstheme="minorHAnsi"/>
        </w:rPr>
      </w:pPr>
    </w:p>
    <w:p w14:paraId="03F81EF9" w14:textId="718E35BD" w:rsidR="001B2BD4" w:rsidRDefault="001B2BD4" w:rsidP="00BA7E3E">
      <w:pPr>
        <w:spacing w:after="0"/>
        <w:jc w:val="both"/>
        <w:rPr>
          <w:rFonts w:cstheme="minorHAnsi"/>
          <w:lang w:val="nl-NL"/>
        </w:rPr>
      </w:pPr>
      <w:r>
        <w:rPr>
          <w:rFonts w:cstheme="minorHAnsi"/>
          <w:lang w:val="nl-NL"/>
        </w:rPr>
        <w:t xml:space="preserve">Wat de </w:t>
      </w:r>
      <w:r w:rsidRPr="00232AFC">
        <w:rPr>
          <w:rFonts w:cstheme="minorHAnsi"/>
          <w:u w:val="single"/>
          <w:lang w:val="nl-NL"/>
        </w:rPr>
        <w:t>uitkeringen</w:t>
      </w:r>
      <w:r>
        <w:rPr>
          <w:rFonts w:cstheme="minorHAnsi"/>
          <w:lang w:val="nl-NL"/>
        </w:rPr>
        <w:t xml:space="preserve"> van de tweede pijler pensioenen betreft, wordt er een conceptueel onderscheid gemaakt tussen de uitkeringen in kapitaal (die in de regel aan afzonderlijke, gunstige en proportionele tarieven worden onderworpen, vaak 10%) en uitkeringen in rente (die aan de progressieve tarieven worden onderworpen). </w:t>
      </w:r>
    </w:p>
    <w:p w14:paraId="60C8F971" w14:textId="77777777" w:rsidR="001B2BD4" w:rsidRDefault="001B2BD4" w:rsidP="00BA7E3E">
      <w:pPr>
        <w:spacing w:after="0"/>
        <w:jc w:val="both"/>
        <w:rPr>
          <w:rFonts w:cstheme="minorHAnsi"/>
          <w:lang w:val="nl-NL"/>
        </w:rPr>
      </w:pPr>
    </w:p>
    <w:p w14:paraId="19164CBA" w14:textId="0E89F94A" w:rsidR="001B2BD4" w:rsidRDefault="001B2BD4" w:rsidP="00BA7E3E">
      <w:pPr>
        <w:spacing w:after="0"/>
        <w:jc w:val="both"/>
        <w:rPr>
          <w:rFonts w:cstheme="minorHAnsi"/>
          <w:lang w:val="nl-NL"/>
        </w:rPr>
      </w:pPr>
      <w:r>
        <w:rPr>
          <w:rFonts w:cstheme="minorHAnsi"/>
          <w:lang w:val="nl-NL"/>
        </w:rPr>
        <w:t xml:space="preserve">Dat uitkeringen in kapitaal </w:t>
      </w:r>
      <w:r w:rsidR="00A30315">
        <w:rPr>
          <w:rFonts w:cstheme="minorHAnsi"/>
          <w:lang w:val="nl-NL"/>
        </w:rPr>
        <w:t xml:space="preserve">fiscaal </w:t>
      </w:r>
      <w:r>
        <w:rPr>
          <w:rFonts w:cstheme="minorHAnsi"/>
          <w:lang w:val="nl-NL"/>
        </w:rPr>
        <w:t xml:space="preserve">worden aangemoedigd, </w:t>
      </w:r>
      <w:r w:rsidR="004A0C9A">
        <w:rPr>
          <w:rFonts w:cstheme="minorHAnsi"/>
          <w:lang w:val="nl-NL"/>
        </w:rPr>
        <w:t xml:space="preserve">lijkt </w:t>
      </w:r>
      <w:r w:rsidR="00734A8A">
        <w:rPr>
          <w:rFonts w:cstheme="minorHAnsi"/>
          <w:lang w:val="nl-NL"/>
        </w:rPr>
        <w:t>moeilijk</w:t>
      </w:r>
      <w:r>
        <w:rPr>
          <w:rFonts w:cstheme="minorHAnsi"/>
          <w:lang w:val="nl-NL"/>
        </w:rPr>
        <w:t xml:space="preserve"> verantwoordbaar</w:t>
      </w:r>
      <w:r w:rsidR="00734A8A">
        <w:rPr>
          <w:rFonts w:cstheme="minorHAnsi"/>
          <w:lang w:val="nl-NL"/>
        </w:rPr>
        <w:t xml:space="preserve">, temeer daar dit de neutraliteit doorbreekt t.o.v. uitkeringen in rente. </w:t>
      </w:r>
      <w:r>
        <w:rPr>
          <w:rFonts w:cstheme="minorHAnsi"/>
          <w:lang w:val="nl-NL"/>
        </w:rPr>
        <w:t xml:space="preserve">Het lijkt dan ook aangewezen het </w:t>
      </w:r>
      <w:r w:rsidR="00F65E33">
        <w:rPr>
          <w:rFonts w:cstheme="minorHAnsi"/>
          <w:lang w:val="nl-NL"/>
        </w:rPr>
        <w:t xml:space="preserve">belastingregime </w:t>
      </w:r>
      <w:r>
        <w:rPr>
          <w:rFonts w:cstheme="minorHAnsi"/>
          <w:lang w:val="nl-NL"/>
        </w:rPr>
        <w:t>van toepassing op met toekomstige bijdragen gefinancierde kapitalen te herevalueren.</w:t>
      </w:r>
    </w:p>
    <w:p w14:paraId="078A4BE6" w14:textId="77777777" w:rsidR="001B2BD4" w:rsidRDefault="001B2BD4" w:rsidP="00BA7E3E">
      <w:pPr>
        <w:spacing w:after="0"/>
        <w:jc w:val="both"/>
        <w:rPr>
          <w:rFonts w:cstheme="minorHAnsi"/>
          <w:lang w:val="nl-NL"/>
        </w:rPr>
      </w:pPr>
    </w:p>
    <w:p w14:paraId="5F8E5F3D" w14:textId="77777777" w:rsidR="001B2BD4" w:rsidRPr="00AF5711" w:rsidRDefault="001B2BD4" w:rsidP="00BA7E3E">
      <w:pPr>
        <w:spacing w:after="0"/>
        <w:jc w:val="both"/>
        <w:rPr>
          <w:rFonts w:cstheme="minorHAnsi"/>
          <w:lang w:val="nl-NL"/>
        </w:rPr>
      </w:pPr>
      <w:r>
        <w:rPr>
          <w:rFonts w:cstheme="minorHAnsi"/>
          <w:lang w:val="nl-NL"/>
        </w:rPr>
        <w:t xml:space="preserve">Onverminderd het voorgaande kan ook nog worden opgemerkt dat de conceptuele gelijkstelling tussen </w:t>
      </w:r>
      <w:r w:rsidRPr="00AF5711">
        <w:rPr>
          <w:rFonts w:cstheme="minorHAnsi"/>
          <w:lang w:val="nl-NL"/>
        </w:rPr>
        <w:t>uitkeringen van renten of kapitaal met een uitkering van een eerste</w:t>
      </w:r>
      <w:r>
        <w:rPr>
          <w:rFonts w:cstheme="minorHAnsi"/>
          <w:lang w:val="nl-NL"/>
        </w:rPr>
        <w:t xml:space="preserve"> </w:t>
      </w:r>
      <w:r w:rsidRPr="00AF5711">
        <w:rPr>
          <w:rFonts w:cstheme="minorHAnsi"/>
          <w:lang w:val="nl-NL"/>
        </w:rPr>
        <w:t>pijler</w:t>
      </w:r>
      <w:r>
        <w:rPr>
          <w:rFonts w:cstheme="minorHAnsi"/>
          <w:lang w:val="nl-NL"/>
        </w:rPr>
        <w:t xml:space="preserve"> </w:t>
      </w:r>
      <w:r w:rsidRPr="00AF5711">
        <w:rPr>
          <w:rFonts w:cstheme="minorHAnsi"/>
          <w:lang w:val="nl-NL"/>
        </w:rPr>
        <w:t>pensioen</w:t>
      </w:r>
      <w:r>
        <w:rPr>
          <w:rFonts w:cstheme="minorHAnsi"/>
          <w:lang w:val="nl-NL"/>
        </w:rPr>
        <w:t xml:space="preserve">, ook zou impliceren dat de renten en kapitalen gefinancierd uit </w:t>
      </w:r>
      <w:r w:rsidRPr="00AF5711">
        <w:rPr>
          <w:rFonts w:cstheme="minorHAnsi"/>
          <w:lang w:val="nl-NL"/>
        </w:rPr>
        <w:t>winstdeelname</w:t>
      </w:r>
      <w:r>
        <w:rPr>
          <w:rFonts w:cstheme="minorHAnsi"/>
          <w:lang w:val="nl-NL"/>
        </w:rPr>
        <w:t xml:space="preserve"> niet langer worden vrijgesteld </w:t>
      </w:r>
      <w:r w:rsidRPr="00AF5711">
        <w:rPr>
          <w:rFonts w:cstheme="minorHAnsi"/>
          <w:lang w:val="nl-NL"/>
        </w:rPr>
        <w:t xml:space="preserve">van belasting. De taks op de winstdeelname </w:t>
      </w:r>
      <w:r>
        <w:rPr>
          <w:rFonts w:cstheme="minorHAnsi"/>
          <w:lang w:val="nl-NL"/>
        </w:rPr>
        <w:t>zou in voorkomend geval uiteraard wel moeten vervallen</w:t>
      </w:r>
      <w:r w:rsidRPr="00AF5711">
        <w:rPr>
          <w:rFonts w:cstheme="minorHAnsi"/>
          <w:lang w:val="nl-NL"/>
        </w:rPr>
        <w:t>.</w:t>
      </w:r>
    </w:p>
    <w:p w14:paraId="73E89933" w14:textId="276278D9" w:rsidR="00301FF2" w:rsidRDefault="00301FF2">
      <w:pPr>
        <w:rPr>
          <w:rFonts w:cstheme="minorHAnsi"/>
          <w:lang w:val="nl-NL"/>
        </w:rPr>
      </w:pPr>
      <w:r>
        <w:rPr>
          <w:rFonts w:cstheme="minorHAnsi"/>
          <w:lang w:val="nl-NL"/>
        </w:rPr>
        <w:br w:type="page"/>
      </w:r>
    </w:p>
    <w:p w14:paraId="07C2EC56" w14:textId="77777777" w:rsidR="001B2BD4" w:rsidRDefault="001B2BD4" w:rsidP="00BA7E3E">
      <w:pPr>
        <w:spacing w:after="0"/>
        <w:jc w:val="both"/>
        <w:rPr>
          <w:rFonts w:cstheme="minorHAnsi"/>
          <w:lang w:val="nl-NL"/>
        </w:rPr>
      </w:pPr>
    </w:p>
    <w:p w14:paraId="40E18DD1" w14:textId="3D7458C3" w:rsidR="000D5DE9" w:rsidRDefault="000D5DE9" w:rsidP="00BA7E3E">
      <w:pPr>
        <w:spacing w:after="0"/>
        <w:jc w:val="both"/>
        <w:rPr>
          <w:rFonts w:cstheme="minorHAnsi"/>
          <w:lang w:val="nl-NL"/>
        </w:rPr>
      </w:pPr>
    </w:p>
    <w:p w14:paraId="337E02E3" w14:textId="7F035EB9" w:rsidR="000D5DE9" w:rsidRDefault="000D5DE9" w:rsidP="00303355">
      <w:pPr>
        <w:pStyle w:val="Kop2"/>
        <w:numPr>
          <w:ilvl w:val="0"/>
          <w:numId w:val="118"/>
        </w:numPr>
        <w:rPr>
          <w:lang w:val="nl-NL"/>
        </w:rPr>
      </w:pPr>
      <w:bookmarkStart w:id="188" w:name="_Toc107210918"/>
      <w:r>
        <w:rPr>
          <w:lang w:val="nl-NL"/>
        </w:rPr>
        <w:t>Derde pijler</w:t>
      </w:r>
      <w:bookmarkEnd w:id="188"/>
    </w:p>
    <w:p w14:paraId="4A299291" w14:textId="77777777" w:rsidR="000D5DE9" w:rsidRPr="00AF5711" w:rsidRDefault="000D5DE9" w:rsidP="00BA7E3E">
      <w:pPr>
        <w:spacing w:after="0"/>
        <w:jc w:val="both"/>
        <w:rPr>
          <w:rFonts w:cstheme="minorHAnsi"/>
          <w:lang w:val="nl-NL"/>
        </w:rPr>
      </w:pPr>
    </w:p>
    <w:p w14:paraId="3D4A24E6" w14:textId="77777777" w:rsidR="001B2BD4" w:rsidRDefault="001B2BD4" w:rsidP="00BA7E3E">
      <w:pPr>
        <w:spacing w:after="0"/>
        <w:jc w:val="both"/>
        <w:rPr>
          <w:rFonts w:cstheme="minorHAnsi"/>
          <w:lang w:val="nl-NL"/>
        </w:rPr>
      </w:pPr>
    </w:p>
    <w:p w14:paraId="607670A2" w14:textId="556427A9" w:rsidR="001B2BD4" w:rsidRDefault="001B2BD4" w:rsidP="00BA7E3E">
      <w:pPr>
        <w:spacing w:after="0"/>
        <w:jc w:val="both"/>
        <w:rPr>
          <w:rFonts w:cstheme="minorHAnsi"/>
          <w:lang w:val="nl-NL"/>
        </w:rPr>
      </w:pPr>
      <w:r>
        <w:rPr>
          <w:rFonts w:cstheme="minorHAnsi"/>
          <w:lang w:val="nl-NL"/>
        </w:rPr>
        <w:t>Naast de eerst</w:t>
      </w:r>
      <w:r w:rsidR="00181FC1">
        <w:rPr>
          <w:rFonts w:cstheme="minorHAnsi"/>
          <w:lang w:val="nl-NL"/>
        </w:rPr>
        <w:t>e</w:t>
      </w:r>
      <w:r>
        <w:rPr>
          <w:rFonts w:cstheme="minorHAnsi"/>
          <w:lang w:val="nl-NL"/>
        </w:rPr>
        <w:t xml:space="preserve"> en tweede pijler, bestaat er ook nog een aparte fiscaliteit m.b.t. de </w:t>
      </w:r>
      <w:r w:rsidRPr="00232AFC">
        <w:rPr>
          <w:rFonts w:cstheme="minorHAnsi"/>
          <w:b/>
          <w:bCs/>
          <w:lang w:val="nl-NL"/>
        </w:rPr>
        <w:t>derde pijler</w:t>
      </w:r>
      <w:r>
        <w:rPr>
          <w:rFonts w:cstheme="minorHAnsi"/>
          <w:lang w:val="nl-NL"/>
        </w:rPr>
        <w:t xml:space="preserve"> (inzonderheid het pensioensparen en het langetermijnsparen). </w:t>
      </w:r>
    </w:p>
    <w:p w14:paraId="3ACBD1F7" w14:textId="77777777" w:rsidR="001B2BD4" w:rsidRDefault="001B2BD4" w:rsidP="00BA7E3E">
      <w:pPr>
        <w:spacing w:after="0"/>
        <w:jc w:val="both"/>
        <w:rPr>
          <w:rFonts w:cstheme="minorHAnsi"/>
          <w:lang w:val="nl-NL"/>
        </w:rPr>
      </w:pPr>
    </w:p>
    <w:p w14:paraId="3842C5C6" w14:textId="77ECAC2D" w:rsidR="001B2BD4" w:rsidRDefault="001B2BD4" w:rsidP="00BA7E3E">
      <w:pPr>
        <w:spacing w:after="0"/>
        <w:jc w:val="both"/>
        <w:rPr>
          <w:rFonts w:cstheme="minorHAnsi"/>
          <w:lang w:val="nl-NL"/>
        </w:rPr>
      </w:pPr>
      <w:r w:rsidRPr="0027345F">
        <w:rPr>
          <w:rFonts w:cstheme="minorHAnsi"/>
          <w:lang w:val="nl-NL"/>
        </w:rPr>
        <w:t>Het nut en de opportuniteit van een derde pijler wordt door economen ernstig in vraag gesteld</w:t>
      </w:r>
      <w:r>
        <w:rPr>
          <w:rFonts w:cstheme="minorHAnsi"/>
          <w:lang w:val="nl-NL"/>
        </w:rPr>
        <w:t xml:space="preserve">. Om die reden verdient het dan toch aanbeveling om het behoud en de toepasbaarheid van dit stelsel te herevalueren. </w:t>
      </w:r>
    </w:p>
    <w:p w14:paraId="74AA1CFC" w14:textId="77777777" w:rsidR="001B2BD4" w:rsidRDefault="001B2BD4" w:rsidP="00BA7E3E">
      <w:pPr>
        <w:spacing w:after="0"/>
        <w:jc w:val="both"/>
        <w:rPr>
          <w:rFonts w:cstheme="minorHAnsi"/>
          <w:lang w:val="nl-NL"/>
        </w:rPr>
      </w:pPr>
    </w:p>
    <w:p w14:paraId="3D26EA81" w14:textId="5E2D52D7" w:rsidR="001B2BD4" w:rsidRDefault="001B2BD4" w:rsidP="00BA7E3E">
      <w:pPr>
        <w:spacing w:after="0"/>
        <w:jc w:val="both"/>
        <w:rPr>
          <w:rFonts w:cstheme="minorHAnsi"/>
          <w:lang w:val="nl-NL"/>
        </w:rPr>
      </w:pPr>
      <w:r>
        <w:rPr>
          <w:rFonts w:cstheme="minorHAnsi"/>
          <w:lang w:val="nl-NL"/>
        </w:rPr>
        <w:t>In ieder geval wordt aanbevolen om het stelsel uit te sluiten voor zij die redelijkerwijze geen aanvullend pensioen meer moeten opbouwen (zoals de gepensioneerden). Voorts lijkt de derde pijler vooral verantwoordbaar t.a.v. zij die de grenzen gesteld aan de tweede pijler niet uitputten. Het hoger aangehaalde voorstel om de derde pijler alvast op te nemen voor de toepassing van de (huidige 80%-)begrenzing kan hiertoe bijdragen.</w:t>
      </w:r>
    </w:p>
    <w:p w14:paraId="48FE7B37" w14:textId="77777777" w:rsidR="004E44F9" w:rsidRPr="001B2BD4" w:rsidRDefault="004E44F9" w:rsidP="00275FEB">
      <w:pPr>
        <w:spacing w:after="0"/>
        <w:rPr>
          <w:lang w:val="nl-NL"/>
        </w:rPr>
      </w:pPr>
    </w:p>
    <w:p w14:paraId="3E4E78E4" w14:textId="520D999C" w:rsidR="004E44F9" w:rsidRPr="00B21FAC" w:rsidRDefault="004E44F9" w:rsidP="00275FEB">
      <w:r w:rsidRPr="00B21FAC">
        <w:br w:type="page"/>
      </w:r>
    </w:p>
    <w:p w14:paraId="595DEF95" w14:textId="67905912" w:rsidR="00DD5CE6" w:rsidRDefault="00DD5CE6">
      <w:r>
        <w:br w:type="page"/>
      </w:r>
    </w:p>
    <w:p w14:paraId="27B5F769" w14:textId="77777777" w:rsidR="00CE39B2" w:rsidRDefault="00CE39B2">
      <w:pPr>
        <w:spacing w:after="0"/>
      </w:pPr>
    </w:p>
    <w:p w14:paraId="665053C2" w14:textId="77777777" w:rsidR="00967A84" w:rsidRPr="00B21FAC" w:rsidRDefault="00967A84" w:rsidP="00BA7E3E">
      <w:pPr>
        <w:spacing w:after="0"/>
      </w:pPr>
    </w:p>
    <w:p w14:paraId="51139778" w14:textId="287A9B24" w:rsidR="000318F7" w:rsidRPr="005550ED" w:rsidRDefault="005550ED" w:rsidP="005550ED">
      <w:pPr>
        <w:pStyle w:val="Kop1"/>
        <w:numPr>
          <w:ilvl w:val="0"/>
          <w:numId w:val="32"/>
        </w:numPr>
        <w:spacing w:before="0"/>
        <w:ind w:left="1077"/>
        <w:rPr>
          <w:smallCaps/>
        </w:rPr>
      </w:pPr>
      <w:bookmarkStart w:id="189" w:name="_Toc107210919"/>
      <w:r w:rsidRPr="005550ED">
        <w:rPr>
          <w:smallCaps/>
        </w:rPr>
        <w:t>Lasten op vermogensinkomsten</w:t>
      </w:r>
      <w:bookmarkEnd w:id="189"/>
    </w:p>
    <w:p w14:paraId="7DA24FA8" w14:textId="276AB11B" w:rsidR="00A727DC" w:rsidRDefault="00A727DC">
      <w:pPr>
        <w:spacing w:after="0"/>
        <w:jc w:val="both"/>
      </w:pPr>
    </w:p>
    <w:p w14:paraId="4319229D" w14:textId="77777777" w:rsidR="005550ED" w:rsidRDefault="005550ED">
      <w:pPr>
        <w:spacing w:after="0"/>
        <w:jc w:val="both"/>
      </w:pPr>
    </w:p>
    <w:p w14:paraId="2D181E23" w14:textId="76698E90" w:rsidR="00A27F19" w:rsidRPr="00A27F19" w:rsidRDefault="00A727DC" w:rsidP="00BA7E3E">
      <w:pPr>
        <w:spacing w:after="0"/>
        <w:jc w:val="both"/>
      </w:pPr>
      <w:r>
        <w:t xml:space="preserve">Onder deze hoofding wordt nader ingegaan op de </w:t>
      </w:r>
      <w:r w:rsidR="008E4E64">
        <w:t>v</w:t>
      </w:r>
      <w:r w:rsidR="00A27F19" w:rsidRPr="00A27F19">
        <w:t>ermogensfiscaliteit</w:t>
      </w:r>
      <w:r w:rsidR="008E4E64">
        <w:t>, te weten</w:t>
      </w:r>
      <w:r w:rsidR="00A27F19" w:rsidRPr="00A27F19">
        <w:t xml:space="preserve"> het geheel aan heffingen op het vermogen en op de vermogenstransacties, alsook op inkomsten die verband houden met de aanwending of de realisatie van een (desgevallend professioneel geaffecteerd) vermogen. </w:t>
      </w:r>
    </w:p>
    <w:p w14:paraId="2B065BA9" w14:textId="77777777" w:rsidR="00A727DC" w:rsidRDefault="00A727DC" w:rsidP="008E4E64">
      <w:pPr>
        <w:spacing w:after="0"/>
        <w:jc w:val="both"/>
      </w:pPr>
    </w:p>
    <w:p w14:paraId="2DF727B4" w14:textId="77777777" w:rsidR="00A727DC" w:rsidRDefault="00A727DC" w:rsidP="00A727DC">
      <w:pPr>
        <w:spacing w:after="0"/>
        <w:jc w:val="both"/>
      </w:pPr>
      <w:r>
        <w:t>Het onderliggend voorstel vormt een verdere concretisering van de hiervoor aangehaalde bouwstenen, die op hun beurt geworteld zitten in de algemene uitgangspunten van de hervorming (</w:t>
      </w:r>
      <w:r w:rsidRPr="00A421CB">
        <w:rPr>
          <w:i/>
          <w:iCs/>
        </w:rPr>
        <w:t>cf. supra</w:t>
      </w:r>
      <w:r>
        <w:t xml:space="preserve">). </w:t>
      </w:r>
    </w:p>
    <w:p w14:paraId="7DBAFEE7" w14:textId="77777777" w:rsidR="00A727DC" w:rsidRDefault="00A727DC" w:rsidP="00A727DC">
      <w:pPr>
        <w:spacing w:after="0"/>
        <w:jc w:val="both"/>
      </w:pPr>
    </w:p>
    <w:p w14:paraId="09D1CDF2" w14:textId="78BB0A9D" w:rsidR="00A727DC" w:rsidRDefault="00A727DC" w:rsidP="00A727DC">
      <w:pPr>
        <w:spacing w:after="0"/>
        <w:jc w:val="both"/>
      </w:pPr>
      <w:r>
        <w:t xml:space="preserve">Naast de algemeen geformuleerde bouwstenen, werden zowel wat de ‘belaste elementen’ betreft, als wat de ‘tariefstructuur’ betreft, ook een aantal meer specifieke bouwstenen geformuleerd, die gerelateerd werden aan de </w:t>
      </w:r>
      <w:r w:rsidR="00057627">
        <w:t>vermogen</w:t>
      </w:r>
      <w:r>
        <w:t>sinkomsten. Deze meer specifieke bouwstenen luiden als volgt:</w:t>
      </w:r>
    </w:p>
    <w:p w14:paraId="50D6714A" w14:textId="77777777" w:rsidR="00A727DC" w:rsidRDefault="00A727DC" w:rsidP="00A727DC">
      <w:pPr>
        <w:spacing w:after="0"/>
        <w:jc w:val="both"/>
      </w:pPr>
    </w:p>
    <w:p w14:paraId="4DC4FC73" w14:textId="77777777" w:rsidR="00A727DC" w:rsidRPr="00A421CB" w:rsidRDefault="00A727DC" w:rsidP="00A727DC">
      <w:pPr>
        <w:spacing w:after="0"/>
        <w:ind w:left="284"/>
        <w:jc w:val="both"/>
        <w:rPr>
          <w:u w:val="single"/>
        </w:rPr>
      </w:pPr>
      <w:r>
        <w:rPr>
          <w:u w:val="single"/>
        </w:rPr>
        <w:t>Belaste elementen</w:t>
      </w:r>
      <w:r w:rsidRPr="00A421CB">
        <w:rPr>
          <w:u w:val="single"/>
        </w:rPr>
        <w:t>:</w:t>
      </w:r>
    </w:p>
    <w:p w14:paraId="37189F14" w14:textId="77777777" w:rsidR="00C8750D" w:rsidRPr="00B21FAC" w:rsidRDefault="00C8750D" w:rsidP="00BA7E3E">
      <w:pPr>
        <w:pStyle w:val="Lijstalinea"/>
        <w:numPr>
          <w:ilvl w:val="0"/>
          <w:numId w:val="111"/>
        </w:numPr>
        <w:spacing w:after="0" w:line="22" w:lineRule="atLeast"/>
        <w:ind w:left="709" w:hanging="425"/>
        <w:jc w:val="both"/>
      </w:pPr>
      <w:r>
        <w:t>E</w:t>
      </w:r>
      <w:r w:rsidRPr="00B21FAC">
        <w:t xml:space="preserve">lke vorm van vergoeding voor een aangewend of gerealiseerd vermogen </w:t>
      </w:r>
      <w:r>
        <w:t xml:space="preserve">wordt </w:t>
      </w:r>
      <w:r w:rsidRPr="00B21FAC">
        <w:t>op dezelfde wijze belast. Dit omhelst o.m. dat:</w:t>
      </w:r>
    </w:p>
    <w:p w14:paraId="469BA2A0" w14:textId="77777777" w:rsidR="00C8750D" w:rsidRPr="00B21FAC" w:rsidRDefault="00C8750D" w:rsidP="00C8750D">
      <w:pPr>
        <w:pStyle w:val="Lijstalinea"/>
        <w:numPr>
          <w:ilvl w:val="1"/>
          <w:numId w:val="110"/>
        </w:numPr>
        <w:spacing w:after="0" w:line="22" w:lineRule="atLeast"/>
        <w:ind w:left="1560"/>
        <w:jc w:val="both"/>
      </w:pPr>
      <w:r w:rsidRPr="00B21FAC">
        <w:t xml:space="preserve">de neutraliteit t.a.v. inkomens uit diverse activa wordt nagestreefd. Hierbij moet rekening gehouden worden met verschillende belastingen op een bepaald activum. Ook met het bestaan van de diverse heffingen op regionaal niveau wordt er rekening gehouden, met dien verstande dat </w:t>
      </w:r>
      <w:r>
        <w:t xml:space="preserve">uitgegaan wordt van </w:t>
      </w:r>
      <w:r w:rsidRPr="00B21FAC">
        <w:t>de bestaande bevoegdheidsverdeling (zie hoger);</w:t>
      </w:r>
    </w:p>
    <w:p w14:paraId="5BBA9E3A" w14:textId="0BCFDC79" w:rsidR="00C8750D" w:rsidRPr="00B21FAC" w:rsidRDefault="00C8750D" w:rsidP="00C8750D">
      <w:pPr>
        <w:pStyle w:val="Lijstalinea"/>
        <w:numPr>
          <w:ilvl w:val="1"/>
          <w:numId w:val="110"/>
        </w:numPr>
        <w:spacing w:after="0" w:line="22" w:lineRule="atLeast"/>
        <w:ind w:left="1560"/>
        <w:jc w:val="both"/>
      </w:pPr>
      <w:r w:rsidRPr="00B21FAC">
        <w:t>de vergoedingen die verband houden met vermogensgerelateerde investeringen ook als</w:t>
      </w:r>
      <w:r>
        <w:t xml:space="preserve"> </w:t>
      </w:r>
      <w:r w:rsidRPr="00B21FAC">
        <w:t xml:space="preserve">dusdanig moeten worden belast, zelfs indien dit vermogen professioneel geaffecteerd is, hetgeen zich inzonderheid vertaalt in (i) de erkenning van een vermogensrendement t.a.v. éénmanszaken en (ii) het minimaliseren van het risico op conversie van arbeidsvergoedingen in </w:t>
      </w:r>
      <w:r w:rsidR="00052222">
        <w:t>vermogens</w:t>
      </w:r>
      <w:r w:rsidR="00052222" w:rsidRPr="00B21FAC">
        <w:t>inkomsten</w:t>
      </w:r>
      <w:r w:rsidRPr="00B21FAC">
        <w:t>.</w:t>
      </w:r>
    </w:p>
    <w:p w14:paraId="0A26E918" w14:textId="77777777" w:rsidR="00A727DC" w:rsidRDefault="00A727DC" w:rsidP="00A727DC">
      <w:pPr>
        <w:spacing w:after="0"/>
        <w:jc w:val="both"/>
      </w:pPr>
    </w:p>
    <w:p w14:paraId="11C90295" w14:textId="77777777" w:rsidR="00A727DC" w:rsidRPr="00A421CB" w:rsidRDefault="00A727DC" w:rsidP="00A727DC">
      <w:pPr>
        <w:spacing w:after="0"/>
        <w:ind w:left="284"/>
        <w:jc w:val="both"/>
        <w:rPr>
          <w:u w:val="single"/>
        </w:rPr>
      </w:pPr>
      <w:r w:rsidRPr="00A421CB">
        <w:rPr>
          <w:u w:val="single"/>
        </w:rPr>
        <w:t>Tariefstructuur:</w:t>
      </w:r>
    </w:p>
    <w:p w14:paraId="120217E8" w14:textId="77777777" w:rsidR="001111AB" w:rsidRPr="00B21FAC" w:rsidRDefault="001111AB" w:rsidP="00BA7E3E">
      <w:pPr>
        <w:pStyle w:val="Lijstalinea"/>
        <w:numPr>
          <w:ilvl w:val="0"/>
          <w:numId w:val="113"/>
        </w:numPr>
        <w:spacing w:after="0" w:line="22" w:lineRule="atLeast"/>
        <w:ind w:left="709" w:hanging="425"/>
        <w:jc w:val="both"/>
      </w:pPr>
      <w:r>
        <w:t xml:space="preserve">Een tariefstructuur die aangepast is aan de eigenheid van vermogensinkomsten, theoretisch samengesteld uit (maximaal) drie componenten, te weten (i) het risicovrije rendement, (ii) de vergoeding voor het risico en (iii) de pure economische rente. </w:t>
      </w:r>
    </w:p>
    <w:p w14:paraId="6F6F841F" w14:textId="77777777" w:rsidR="00A727DC" w:rsidRDefault="00A727DC" w:rsidP="00A727DC">
      <w:pPr>
        <w:spacing w:after="0"/>
        <w:jc w:val="both"/>
      </w:pPr>
    </w:p>
    <w:p w14:paraId="242C9A97" w14:textId="5DE45272" w:rsidR="00A727DC" w:rsidRDefault="00A727DC" w:rsidP="00A727DC">
      <w:pPr>
        <w:spacing w:after="0"/>
        <w:jc w:val="both"/>
      </w:pPr>
      <w:r>
        <w:t>E.e.a. wordt hierna verder geconcretiseerd. De focus ligt daarbij op de personenbelasting.</w:t>
      </w:r>
    </w:p>
    <w:p w14:paraId="12E31343" w14:textId="0C6C77DE" w:rsidR="00A727DC" w:rsidRDefault="00A727DC">
      <w:pPr>
        <w:spacing w:after="0"/>
        <w:jc w:val="both"/>
      </w:pPr>
    </w:p>
    <w:p w14:paraId="383F32C0" w14:textId="1223E9DA" w:rsidR="00E31A09" w:rsidRDefault="00E31A09">
      <w:r>
        <w:br w:type="page"/>
      </w:r>
    </w:p>
    <w:p w14:paraId="06CF13A2" w14:textId="77777777" w:rsidR="00A727DC" w:rsidRDefault="00A727DC">
      <w:pPr>
        <w:spacing w:after="0"/>
        <w:jc w:val="both"/>
      </w:pPr>
    </w:p>
    <w:p w14:paraId="275A4738" w14:textId="77777777" w:rsidR="00A727DC" w:rsidRPr="00B21FAC" w:rsidRDefault="00A727DC" w:rsidP="00BA7E3E">
      <w:pPr>
        <w:spacing w:after="0"/>
        <w:jc w:val="both"/>
      </w:pPr>
    </w:p>
    <w:p w14:paraId="534F4707" w14:textId="1C6A0946" w:rsidR="00797BB8" w:rsidRPr="00B21FAC" w:rsidRDefault="007C44B9" w:rsidP="00275FEB">
      <w:pPr>
        <w:pStyle w:val="Kop2"/>
        <w:numPr>
          <w:ilvl w:val="0"/>
          <w:numId w:val="45"/>
        </w:numPr>
      </w:pPr>
      <w:bookmarkStart w:id="190" w:name="_Toc107210920"/>
      <w:r w:rsidRPr="00B21FAC">
        <w:t>Visuele voorstelling</w:t>
      </w:r>
      <w:bookmarkEnd w:id="190"/>
    </w:p>
    <w:p w14:paraId="18799B57" w14:textId="77777777" w:rsidR="007C44B9" w:rsidRPr="00B21FAC" w:rsidRDefault="007C44B9" w:rsidP="00BA7E3E">
      <w:pPr>
        <w:spacing w:after="0"/>
      </w:pPr>
    </w:p>
    <w:p w14:paraId="2F2F27A1" w14:textId="77777777" w:rsidR="00F447D5" w:rsidRPr="00B21FAC" w:rsidRDefault="00F447D5" w:rsidP="00BA7E3E">
      <w:pPr>
        <w:spacing w:after="0"/>
        <w:rPr>
          <w:b/>
          <w:bCs/>
          <w:u w:val="single"/>
        </w:rPr>
      </w:pPr>
    </w:p>
    <w:tbl>
      <w:tblPr>
        <w:tblStyle w:val="Tabelraster"/>
        <w:tblW w:w="11199" w:type="dxa"/>
        <w:tblInd w:w="-998" w:type="dxa"/>
        <w:tblLook w:val="04A0" w:firstRow="1" w:lastRow="0" w:firstColumn="1" w:lastColumn="0" w:noHBand="0" w:noVBand="1"/>
      </w:tblPr>
      <w:tblGrid>
        <w:gridCol w:w="3289"/>
        <w:gridCol w:w="2382"/>
        <w:gridCol w:w="2552"/>
        <w:gridCol w:w="2976"/>
      </w:tblGrid>
      <w:tr w:rsidR="00F447D5" w:rsidRPr="00B21FAC" w14:paraId="72C0EF58" w14:textId="77777777" w:rsidTr="00875374">
        <w:trPr>
          <w:trHeight w:val="692"/>
        </w:trPr>
        <w:tc>
          <w:tcPr>
            <w:tcW w:w="11199" w:type="dxa"/>
            <w:gridSpan w:val="4"/>
          </w:tcPr>
          <w:p w14:paraId="3F1022C8" w14:textId="77777777" w:rsidR="00F447D5" w:rsidRPr="00B21FAC" w:rsidRDefault="00F447D5" w:rsidP="00BA7E3E">
            <w:pPr>
              <w:spacing w:line="259" w:lineRule="auto"/>
              <w:jc w:val="center"/>
              <w:rPr>
                <w:b/>
                <w:bCs/>
                <w:sz w:val="20"/>
                <w:szCs w:val="20"/>
              </w:rPr>
            </w:pPr>
          </w:p>
          <w:p w14:paraId="69131D95" w14:textId="1488FA7E" w:rsidR="00F447D5" w:rsidRPr="00B21FAC" w:rsidRDefault="00F447D5" w:rsidP="00BA7E3E">
            <w:pPr>
              <w:spacing w:line="259" w:lineRule="auto"/>
              <w:jc w:val="center"/>
              <w:rPr>
                <w:b/>
                <w:bCs/>
                <w:smallCaps/>
                <w:sz w:val="20"/>
                <w:szCs w:val="20"/>
              </w:rPr>
            </w:pPr>
            <w:r w:rsidRPr="00B21FAC">
              <w:rPr>
                <w:b/>
                <w:bCs/>
                <w:smallCaps/>
                <w:sz w:val="20"/>
                <w:szCs w:val="20"/>
              </w:rPr>
              <w:t>Inkomsten uit vermogen</w:t>
            </w:r>
          </w:p>
          <w:p w14:paraId="1D62CF8C" w14:textId="77777777" w:rsidR="00F447D5" w:rsidRPr="00B21FAC" w:rsidRDefault="00F447D5" w:rsidP="00BA7E3E">
            <w:pPr>
              <w:spacing w:line="259" w:lineRule="auto"/>
              <w:jc w:val="center"/>
              <w:rPr>
                <w:b/>
                <w:bCs/>
                <w:sz w:val="20"/>
                <w:szCs w:val="20"/>
              </w:rPr>
            </w:pPr>
          </w:p>
        </w:tc>
      </w:tr>
      <w:tr w:rsidR="00F447D5" w:rsidRPr="00B21FAC" w14:paraId="23826E1A" w14:textId="77777777" w:rsidTr="00875374">
        <w:trPr>
          <w:trHeight w:val="692"/>
        </w:trPr>
        <w:tc>
          <w:tcPr>
            <w:tcW w:w="5671" w:type="dxa"/>
            <w:gridSpan w:val="2"/>
          </w:tcPr>
          <w:p w14:paraId="6EAAF9BA" w14:textId="77777777" w:rsidR="00F447D5" w:rsidRPr="00B21FAC" w:rsidRDefault="00F447D5" w:rsidP="00BA7E3E">
            <w:pPr>
              <w:spacing w:line="259" w:lineRule="auto"/>
              <w:jc w:val="center"/>
              <w:rPr>
                <w:b/>
                <w:bCs/>
                <w:sz w:val="20"/>
                <w:szCs w:val="20"/>
              </w:rPr>
            </w:pPr>
          </w:p>
          <w:p w14:paraId="303B5107" w14:textId="77777777" w:rsidR="00F447D5" w:rsidRPr="00B21FAC" w:rsidRDefault="00F447D5" w:rsidP="00BA7E3E">
            <w:pPr>
              <w:spacing w:line="259" w:lineRule="auto"/>
              <w:jc w:val="center"/>
              <w:rPr>
                <w:b/>
                <w:bCs/>
                <w:sz w:val="20"/>
                <w:szCs w:val="20"/>
              </w:rPr>
            </w:pPr>
            <w:r w:rsidRPr="00B21FAC">
              <w:rPr>
                <w:b/>
                <w:bCs/>
                <w:sz w:val="20"/>
                <w:szCs w:val="20"/>
              </w:rPr>
              <w:t>vruchten</w:t>
            </w:r>
          </w:p>
          <w:p w14:paraId="6EA04824" w14:textId="77777777" w:rsidR="00F447D5" w:rsidRPr="00B21FAC" w:rsidRDefault="00F447D5" w:rsidP="00BA7E3E">
            <w:pPr>
              <w:spacing w:line="259" w:lineRule="auto"/>
              <w:jc w:val="center"/>
              <w:rPr>
                <w:b/>
                <w:bCs/>
                <w:sz w:val="20"/>
                <w:szCs w:val="20"/>
              </w:rPr>
            </w:pPr>
          </w:p>
        </w:tc>
        <w:tc>
          <w:tcPr>
            <w:tcW w:w="5528" w:type="dxa"/>
            <w:gridSpan w:val="2"/>
          </w:tcPr>
          <w:p w14:paraId="15FC7BAD" w14:textId="77777777" w:rsidR="00F447D5" w:rsidRPr="00B21FAC" w:rsidRDefault="00F447D5" w:rsidP="00BA7E3E">
            <w:pPr>
              <w:spacing w:line="259" w:lineRule="auto"/>
              <w:jc w:val="center"/>
              <w:rPr>
                <w:b/>
                <w:bCs/>
                <w:sz w:val="20"/>
                <w:szCs w:val="20"/>
              </w:rPr>
            </w:pPr>
          </w:p>
          <w:p w14:paraId="12215339" w14:textId="4B5CB180" w:rsidR="00F447D5" w:rsidRPr="00B21FAC" w:rsidRDefault="00F447D5" w:rsidP="00BA7E3E">
            <w:pPr>
              <w:spacing w:line="259" w:lineRule="auto"/>
              <w:jc w:val="center"/>
              <w:rPr>
                <w:b/>
                <w:bCs/>
                <w:sz w:val="20"/>
                <w:szCs w:val="20"/>
              </w:rPr>
            </w:pPr>
            <w:r w:rsidRPr="00B21FAC">
              <w:rPr>
                <w:b/>
                <w:bCs/>
                <w:sz w:val="20"/>
                <w:szCs w:val="20"/>
              </w:rPr>
              <w:t xml:space="preserve">overdracht </w:t>
            </w:r>
            <w:r w:rsidR="00A31484" w:rsidRPr="00B21FAC">
              <w:rPr>
                <w:b/>
                <w:bCs/>
                <w:sz w:val="20"/>
                <w:szCs w:val="20"/>
              </w:rPr>
              <w:t>–</w:t>
            </w:r>
            <w:r w:rsidRPr="00B21FAC">
              <w:rPr>
                <w:b/>
                <w:bCs/>
                <w:sz w:val="20"/>
                <w:szCs w:val="20"/>
              </w:rPr>
              <w:t xml:space="preserve"> vestiging</w:t>
            </w:r>
          </w:p>
        </w:tc>
      </w:tr>
      <w:tr w:rsidR="00F447D5" w:rsidRPr="00B21FAC" w14:paraId="4F4EB133" w14:textId="77777777" w:rsidTr="00875374">
        <w:trPr>
          <w:trHeight w:val="692"/>
        </w:trPr>
        <w:tc>
          <w:tcPr>
            <w:tcW w:w="3289" w:type="dxa"/>
          </w:tcPr>
          <w:p w14:paraId="5DC69E5B" w14:textId="77777777" w:rsidR="00F447D5" w:rsidRPr="00B21FAC" w:rsidRDefault="00F447D5" w:rsidP="00BA7E3E">
            <w:pPr>
              <w:spacing w:line="259" w:lineRule="auto"/>
              <w:jc w:val="center"/>
              <w:rPr>
                <w:sz w:val="20"/>
                <w:szCs w:val="20"/>
              </w:rPr>
            </w:pPr>
          </w:p>
          <w:p w14:paraId="27B5EAC4" w14:textId="77777777" w:rsidR="00F447D5" w:rsidRPr="00B21FAC" w:rsidRDefault="00F447D5" w:rsidP="00BA7E3E">
            <w:pPr>
              <w:spacing w:line="259" w:lineRule="auto"/>
              <w:jc w:val="center"/>
              <w:rPr>
                <w:sz w:val="20"/>
                <w:szCs w:val="20"/>
              </w:rPr>
            </w:pPr>
            <w:r w:rsidRPr="00B21FAC">
              <w:rPr>
                <w:sz w:val="20"/>
                <w:szCs w:val="20"/>
              </w:rPr>
              <w:t>Onroerende goederen</w:t>
            </w:r>
          </w:p>
          <w:p w14:paraId="08FC35A7" w14:textId="77777777" w:rsidR="00F447D5" w:rsidRPr="00B21FAC" w:rsidRDefault="00F447D5" w:rsidP="00BA7E3E">
            <w:pPr>
              <w:spacing w:line="259" w:lineRule="auto"/>
              <w:jc w:val="center"/>
              <w:rPr>
                <w:sz w:val="20"/>
                <w:szCs w:val="20"/>
              </w:rPr>
            </w:pPr>
          </w:p>
        </w:tc>
        <w:tc>
          <w:tcPr>
            <w:tcW w:w="2382" w:type="dxa"/>
          </w:tcPr>
          <w:p w14:paraId="4EA2EFFB" w14:textId="77777777" w:rsidR="00F447D5" w:rsidRPr="00B21FAC" w:rsidRDefault="00F447D5" w:rsidP="00BA7E3E">
            <w:pPr>
              <w:spacing w:line="259" w:lineRule="auto"/>
              <w:jc w:val="center"/>
              <w:rPr>
                <w:sz w:val="20"/>
                <w:szCs w:val="20"/>
              </w:rPr>
            </w:pPr>
          </w:p>
          <w:p w14:paraId="5BDD3F62" w14:textId="77777777" w:rsidR="00F447D5" w:rsidRPr="00B21FAC" w:rsidRDefault="00F447D5" w:rsidP="00BA7E3E">
            <w:pPr>
              <w:spacing w:line="259" w:lineRule="auto"/>
              <w:jc w:val="center"/>
              <w:rPr>
                <w:sz w:val="20"/>
                <w:szCs w:val="20"/>
              </w:rPr>
            </w:pPr>
            <w:r w:rsidRPr="00B21FAC">
              <w:rPr>
                <w:sz w:val="20"/>
                <w:szCs w:val="20"/>
              </w:rPr>
              <w:t>Roerende goederen</w:t>
            </w:r>
          </w:p>
        </w:tc>
        <w:tc>
          <w:tcPr>
            <w:tcW w:w="5528" w:type="dxa"/>
            <w:gridSpan w:val="2"/>
          </w:tcPr>
          <w:p w14:paraId="51D56C37" w14:textId="77777777" w:rsidR="00F447D5" w:rsidRPr="00B21FAC" w:rsidRDefault="00F447D5" w:rsidP="00BA7E3E">
            <w:pPr>
              <w:spacing w:line="259" w:lineRule="auto"/>
              <w:jc w:val="center"/>
              <w:rPr>
                <w:sz w:val="20"/>
                <w:szCs w:val="20"/>
              </w:rPr>
            </w:pPr>
          </w:p>
          <w:p w14:paraId="03A55D1D" w14:textId="77777777" w:rsidR="00F447D5" w:rsidRPr="00B21FAC" w:rsidRDefault="00F447D5" w:rsidP="00BA7E3E">
            <w:pPr>
              <w:spacing w:line="259" w:lineRule="auto"/>
              <w:jc w:val="center"/>
              <w:rPr>
                <w:sz w:val="20"/>
                <w:szCs w:val="20"/>
              </w:rPr>
            </w:pPr>
            <w:r w:rsidRPr="00B21FAC">
              <w:rPr>
                <w:sz w:val="20"/>
                <w:szCs w:val="20"/>
              </w:rPr>
              <w:t>Roerende en onroerende goederen</w:t>
            </w:r>
          </w:p>
          <w:p w14:paraId="79F1E0EC" w14:textId="77777777" w:rsidR="00F447D5" w:rsidRPr="00B21FAC" w:rsidRDefault="00F447D5" w:rsidP="00BA7E3E">
            <w:pPr>
              <w:spacing w:line="259" w:lineRule="auto"/>
              <w:jc w:val="center"/>
              <w:rPr>
                <w:sz w:val="20"/>
                <w:szCs w:val="20"/>
              </w:rPr>
            </w:pPr>
          </w:p>
        </w:tc>
      </w:tr>
      <w:tr w:rsidR="00F447D5" w:rsidRPr="00B21FAC" w14:paraId="7F10C18A" w14:textId="77777777" w:rsidTr="00875374">
        <w:trPr>
          <w:trHeight w:val="1850"/>
        </w:trPr>
        <w:tc>
          <w:tcPr>
            <w:tcW w:w="3289" w:type="dxa"/>
          </w:tcPr>
          <w:p w14:paraId="18F0C7EC" w14:textId="77777777" w:rsidR="00F447D5" w:rsidRPr="00B21FAC" w:rsidRDefault="00F447D5" w:rsidP="00BA7E3E">
            <w:pPr>
              <w:spacing w:line="259" w:lineRule="auto"/>
              <w:rPr>
                <w:sz w:val="20"/>
                <w:szCs w:val="20"/>
              </w:rPr>
            </w:pPr>
          </w:p>
          <w:p w14:paraId="68326CC4" w14:textId="77777777" w:rsidR="00F447D5" w:rsidRPr="00B21FAC" w:rsidRDefault="00F447D5" w:rsidP="00BA7E3E">
            <w:pPr>
              <w:spacing w:line="259" w:lineRule="auto"/>
              <w:rPr>
                <w:sz w:val="20"/>
                <w:szCs w:val="20"/>
              </w:rPr>
            </w:pPr>
          </w:p>
          <w:p w14:paraId="718398B5" w14:textId="77777777" w:rsidR="00F447D5" w:rsidRPr="00B21FAC" w:rsidRDefault="00F447D5" w:rsidP="00BA7E3E">
            <w:pPr>
              <w:spacing w:line="259" w:lineRule="auto"/>
              <w:rPr>
                <w:sz w:val="20"/>
                <w:szCs w:val="20"/>
              </w:rPr>
            </w:pPr>
            <w:r w:rsidRPr="00B21FAC">
              <w:rPr>
                <w:sz w:val="20"/>
                <w:szCs w:val="20"/>
              </w:rPr>
              <w:t>Werkelijke huurinkomsten</w:t>
            </w:r>
          </w:p>
          <w:p w14:paraId="60863B1B" w14:textId="77777777" w:rsidR="00F447D5" w:rsidRPr="00B21FAC" w:rsidRDefault="00F447D5" w:rsidP="00BA7E3E">
            <w:pPr>
              <w:spacing w:line="259" w:lineRule="auto"/>
              <w:rPr>
                <w:sz w:val="20"/>
                <w:szCs w:val="20"/>
              </w:rPr>
            </w:pPr>
            <w:r w:rsidRPr="00B21FAC">
              <w:rPr>
                <w:sz w:val="20"/>
                <w:szCs w:val="20"/>
              </w:rPr>
              <w:t>Vermogensrendement</w:t>
            </w:r>
          </w:p>
          <w:p w14:paraId="1896759E" w14:textId="77777777" w:rsidR="00F447D5" w:rsidRPr="00B21FAC" w:rsidRDefault="00F447D5" w:rsidP="00BA7E3E">
            <w:pPr>
              <w:spacing w:line="259" w:lineRule="auto"/>
              <w:rPr>
                <w:sz w:val="20"/>
                <w:szCs w:val="20"/>
              </w:rPr>
            </w:pPr>
            <w:r w:rsidRPr="00B21FAC">
              <w:rPr>
                <w:sz w:val="20"/>
                <w:szCs w:val="20"/>
              </w:rPr>
              <w:t>Vermoed rendement</w:t>
            </w:r>
          </w:p>
          <w:p w14:paraId="5F2AFD12" w14:textId="77777777" w:rsidR="00F447D5" w:rsidRPr="00B21FAC" w:rsidRDefault="00F447D5" w:rsidP="00BA7E3E">
            <w:pPr>
              <w:spacing w:line="259" w:lineRule="auto"/>
              <w:rPr>
                <w:sz w:val="20"/>
                <w:szCs w:val="20"/>
              </w:rPr>
            </w:pPr>
          </w:p>
          <w:p w14:paraId="0F3B911B" w14:textId="77777777" w:rsidR="00F447D5" w:rsidRPr="00B21FAC" w:rsidRDefault="00F447D5" w:rsidP="00BA7E3E">
            <w:pPr>
              <w:spacing w:line="259" w:lineRule="auto"/>
              <w:rPr>
                <w:sz w:val="20"/>
                <w:szCs w:val="20"/>
              </w:rPr>
            </w:pPr>
          </w:p>
        </w:tc>
        <w:tc>
          <w:tcPr>
            <w:tcW w:w="2382" w:type="dxa"/>
          </w:tcPr>
          <w:p w14:paraId="7B3A6C0E" w14:textId="77777777" w:rsidR="00F447D5" w:rsidRPr="00B21FAC" w:rsidRDefault="00F447D5" w:rsidP="00BA7E3E">
            <w:pPr>
              <w:spacing w:line="259" w:lineRule="auto"/>
              <w:rPr>
                <w:sz w:val="20"/>
                <w:szCs w:val="20"/>
              </w:rPr>
            </w:pPr>
          </w:p>
          <w:p w14:paraId="0B505E95" w14:textId="77777777" w:rsidR="00F447D5" w:rsidRPr="00B21FAC" w:rsidRDefault="00F447D5" w:rsidP="00BA7E3E">
            <w:pPr>
              <w:spacing w:line="259" w:lineRule="auto"/>
              <w:rPr>
                <w:sz w:val="20"/>
                <w:szCs w:val="20"/>
              </w:rPr>
            </w:pPr>
            <w:r w:rsidRPr="00B21FAC">
              <w:rPr>
                <w:sz w:val="20"/>
                <w:szCs w:val="20"/>
              </w:rPr>
              <w:t>Dividenden</w:t>
            </w:r>
          </w:p>
          <w:p w14:paraId="25493998" w14:textId="77777777" w:rsidR="00F447D5" w:rsidRPr="00B21FAC" w:rsidRDefault="00F447D5" w:rsidP="00BA7E3E">
            <w:pPr>
              <w:spacing w:line="259" w:lineRule="auto"/>
              <w:rPr>
                <w:sz w:val="20"/>
                <w:szCs w:val="20"/>
              </w:rPr>
            </w:pPr>
            <w:r w:rsidRPr="00B21FAC">
              <w:rPr>
                <w:sz w:val="20"/>
                <w:szCs w:val="20"/>
              </w:rPr>
              <w:t>Interesten</w:t>
            </w:r>
          </w:p>
          <w:p w14:paraId="0533504B" w14:textId="77777777" w:rsidR="00F447D5" w:rsidRPr="00B21FAC" w:rsidRDefault="00F447D5" w:rsidP="00BA7E3E">
            <w:pPr>
              <w:spacing w:line="259" w:lineRule="auto"/>
              <w:rPr>
                <w:sz w:val="20"/>
                <w:szCs w:val="20"/>
              </w:rPr>
            </w:pPr>
            <w:r w:rsidRPr="00B21FAC">
              <w:rPr>
                <w:sz w:val="20"/>
                <w:szCs w:val="20"/>
              </w:rPr>
              <w:t>Verhuring, verpachting,…</w:t>
            </w:r>
          </w:p>
          <w:p w14:paraId="1C9BF915" w14:textId="77777777" w:rsidR="00F447D5" w:rsidRPr="00B21FAC" w:rsidRDefault="00F447D5" w:rsidP="00BA7E3E">
            <w:pPr>
              <w:spacing w:line="259" w:lineRule="auto"/>
              <w:rPr>
                <w:sz w:val="20"/>
                <w:szCs w:val="20"/>
              </w:rPr>
            </w:pPr>
            <w:r w:rsidRPr="00B21FAC">
              <w:rPr>
                <w:sz w:val="20"/>
                <w:szCs w:val="20"/>
              </w:rPr>
              <w:t>Lijfrenten</w:t>
            </w:r>
          </w:p>
          <w:p w14:paraId="2FD28248" w14:textId="77777777" w:rsidR="00F447D5" w:rsidRPr="00B21FAC" w:rsidRDefault="00F447D5" w:rsidP="00BA7E3E">
            <w:pPr>
              <w:spacing w:line="259" w:lineRule="auto"/>
              <w:rPr>
                <w:sz w:val="20"/>
                <w:szCs w:val="20"/>
              </w:rPr>
            </w:pPr>
            <w:r w:rsidRPr="00B21FAC">
              <w:rPr>
                <w:sz w:val="20"/>
                <w:szCs w:val="20"/>
              </w:rPr>
              <w:t>Vermogensrendement</w:t>
            </w:r>
          </w:p>
          <w:p w14:paraId="39DCD288" w14:textId="77777777" w:rsidR="00F447D5" w:rsidRPr="00B21FAC" w:rsidRDefault="00F447D5" w:rsidP="00BA7E3E">
            <w:pPr>
              <w:spacing w:line="259" w:lineRule="auto"/>
              <w:rPr>
                <w:sz w:val="20"/>
                <w:szCs w:val="20"/>
              </w:rPr>
            </w:pPr>
          </w:p>
        </w:tc>
        <w:tc>
          <w:tcPr>
            <w:tcW w:w="5528" w:type="dxa"/>
            <w:gridSpan w:val="2"/>
          </w:tcPr>
          <w:p w14:paraId="67858518" w14:textId="77777777" w:rsidR="00F447D5" w:rsidRPr="00B21FAC" w:rsidRDefault="00F447D5" w:rsidP="00BA7E3E">
            <w:pPr>
              <w:spacing w:line="259" w:lineRule="auto"/>
              <w:rPr>
                <w:sz w:val="20"/>
                <w:szCs w:val="20"/>
              </w:rPr>
            </w:pPr>
          </w:p>
          <w:p w14:paraId="084FD3D2" w14:textId="77777777" w:rsidR="00F447D5" w:rsidRPr="00B21FAC" w:rsidRDefault="00F447D5" w:rsidP="00BA7E3E">
            <w:pPr>
              <w:spacing w:line="259" w:lineRule="auto"/>
              <w:rPr>
                <w:sz w:val="20"/>
                <w:szCs w:val="20"/>
              </w:rPr>
            </w:pPr>
          </w:p>
          <w:p w14:paraId="797DDA8E" w14:textId="77777777" w:rsidR="00F447D5" w:rsidRPr="00B21FAC" w:rsidRDefault="00F447D5" w:rsidP="00BA7E3E">
            <w:pPr>
              <w:spacing w:line="259" w:lineRule="auto"/>
              <w:jc w:val="center"/>
              <w:rPr>
                <w:sz w:val="20"/>
                <w:szCs w:val="20"/>
              </w:rPr>
            </w:pPr>
            <w:r w:rsidRPr="00B21FAC">
              <w:rPr>
                <w:sz w:val="20"/>
                <w:szCs w:val="20"/>
              </w:rPr>
              <w:t>Meerwaarden</w:t>
            </w:r>
          </w:p>
          <w:p w14:paraId="6C366D6C" w14:textId="77777777" w:rsidR="00F447D5" w:rsidRPr="00B21FAC" w:rsidRDefault="00F447D5" w:rsidP="00BA7E3E">
            <w:pPr>
              <w:spacing w:line="259" w:lineRule="auto"/>
              <w:jc w:val="center"/>
              <w:rPr>
                <w:sz w:val="20"/>
                <w:szCs w:val="20"/>
              </w:rPr>
            </w:pPr>
          </w:p>
        </w:tc>
      </w:tr>
      <w:tr w:rsidR="00F447D5" w:rsidRPr="00B21FAC" w14:paraId="44692A8A" w14:textId="77777777" w:rsidTr="00875374">
        <w:trPr>
          <w:trHeight w:val="919"/>
        </w:trPr>
        <w:tc>
          <w:tcPr>
            <w:tcW w:w="5671" w:type="dxa"/>
            <w:gridSpan w:val="2"/>
          </w:tcPr>
          <w:p w14:paraId="40DDCE55" w14:textId="77777777" w:rsidR="00F447D5" w:rsidRPr="00B21FAC" w:rsidRDefault="00F447D5" w:rsidP="00BA7E3E">
            <w:pPr>
              <w:spacing w:line="259" w:lineRule="auto"/>
              <w:rPr>
                <w:sz w:val="20"/>
                <w:szCs w:val="20"/>
              </w:rPr>
            </w:pPr>
          </w:p>
          <w:p w14:paraId="18416ED2" w14:textId="77777777" w:rsidR="00F447D5" w:rsidRPr="00B21FAC" w:rsidRDefault="00F447D5" w:rsidP="00BA7E3E">
            <w:pPr>
              <w:spacing w:line="259" w:lineRule="auto"/>
              <w:jc w:val="center"/>
              <w:rPr>
                <w:sz w:val="20"/>
                <w:szCs w:val="20"/>
              </w:rPr>
            </w:pPr>
            <w:r w:rsidRPr="00B21FAC">
              <w:rPr>
                <w:sz w:val="20"/>
                <w:szCs w:val="20"/>
              </w:rPr>
              <w:t>Forfaitaire kost / werkelijke kost</w:t>
            </w:r>
          </w:p>
          <w:p w14:paraId="21451CE6" w14:textId="77777777" w:rsidR="00F447D5" w:rsidRPr="00B21FAC" w:rsidRDefault="00F447D5" w:rsidP="00BA7E3E">
            <w:pPr>
              <w:spacing w:line="259" w:lineRule="auto"/>
              <w:jc w:val="center"/>
              <w:rPr>
                <w:sz w:val="20"/>
                <w:szCs w:val="20"/>
              </w:rPr>
            </w:pPr>
          </w:p>
        </w:tc>
        <w:tc>
          <w:tcPr>
            <w:tcW w:w="5528" w:type="dxa"/>
            <w:gridSpan w:val="2"/>
          </w:tcPr>
          <w:p w14:paraId="73725647" w14:textId="77777777" w:rsidR="00F447D5" w:rsidRPr="00B21FAC" w:rsidRDefault="00F447D5" w:rsidP="00BA7E3E">
            <w:pPr>
              <w:spacing w:line="259" w:lineRule="auto"/>
              <w:jc w:val="center"/>
              <w:rPr>
                <w:sz w:val="20"/>
                <w:szCs w:val="20"/>
              </w:rPr>
            </w:pPr>
          </w:p>
          <w:p w14:paraId="0464E0E0" w14:textId="77777777" w:rsidR="00F447D5" w:rsidRPr="00B21FAC" w:rsidRDefault="00F447D5" w:rsidP="00BA7E3E">
            <w:pPr>
              <w:spacing w:line="259" w:lineRule="auto"/>
              <w:jc w:val="center"/>
              <w:rPr>
                <w:sz w:val="20"/>
                <w:szCs w:val="20"/>
              </w:rPr>
            </w:pPr>
            <w:r w:rsidRPr="00B21FAC">
              <w:rPr>
                <w:sz w:val="20"/>
                <w:szCs w:val="20"/>
              </w:rPr>
              <w:t>&gt;Minderwaarden &lt;</w:t>
            </w:r>
          </w:p>
          <w:p w14:paraId="2D13A740" w14:textId="77777777" w:rsidR="00F447D5" w:rsidRPr="00B21FAC" w:rsidRDefault="00F447D5" w:rsidP="00BA7E3E">
            <w:pPr>
              <w:spacing w:line="259" w:lineRule="auto"/>
              <w:jc w:val="center"/>
              <w:rPr>
                <w:sz w:val="20"/>
                <w:szCs w:val="20"/>
              </w:rPr>
            </w:pPr>
          </w:p>
          <w:p w14:paraId="66040CBA" w14:textId="77777777" w:rsidR="00F447D5" w:rsidRPr="00B21FAC" w:rsidRDefault="00F447D5" w:rsidP="00BA7E3E">
            <w:pPr>
              <w:spacing w:line="259" w:lineRule="auto"/>
              <w:jc w:val="center"/>
              <w:rPr>
                <w:sz w:val="20"/>
                <w:szCs w:val="20"/>
              </w:rPr>
            </w:pPr>
          </w:p>
        </w:tc>
      </w:tr>
      <w:tr w:rsidR="00F447D5" w:rsidRPr="00B21FAC" w14:paraId="4889467A" w14:textId="77777777" w:rsidTr="00875374">
        <w:trPr>
          <w:trHeight w:val="472"/>
        </w:trPr>
        <w:tc>
          <w:tcPr>
            <w:tcW w:w="11199" w:type="dxa"/>
            <w:gridSpan w:val="4"/>
          </w:tcPr>
          <w:p w14:paraId="1191CA5A" w14:textId="77777777" w:rsidR="00F447D5" w:rsidRPr="00B21FAC" w:rsidRDefault="00F447D5" w:rsidP="00BA7E3E">
            <w:pPr>
              <w:spacing w:line="259" w:lineRule="auto"/>
              <w:jc w:val="center"/>
              <w:rPr>
                <w:sz w:val="20"/>
                <w:szCs w:val="20"/>
              </w:rPr>
            </w:pPr>
          </w:p>
          <w:p w14:paraId="210C867C" w14:textId="77777777" w:rsidR="00F447D5" w:rsidRPr="00B21FAC" w:rsidRDefault="00F447D5" w:rsidP="00BA7E3E">
            <w:pPr>
              <w:spacing w:line="259" w:lineRule="auto"/>
              <w:jc w:val="center"/>
              <w:rPr>
                <w:sz w:val="20"/>
                <w:szCs w:val="20"/>
              </w:rPr>
            </w:pPr>
            <w:r w:rsidRPr="00B21FAC">
              <w:rPr>
                <w:sz w:val="20"/>
                <w:szCs w:val="20"/>
              </w:rPr>
              <w:t>Voetvrijstelling</w:t>
            </w:r>
          </w:p>
          <w:p w14:paraId="789007D4" w14:textId="77777777" w:rsidR="00F447D5" w:rsidRPr="00B21FAC" w:rsidRDefault="00F447D5" w:rsidP="00BA7E3E">
            <w:pPr>
              <w:spacing w:line="259" w:lineRule="auto"/>
              <w:jc w:val="center"/>
              <w:rPr>
                <w:sz w:val="20"/>
                <w:szCs w:val="20"/>
              </w:rPr>
            </w:pPr>
          </w:p>
        </w:tc>
      </w:tr>
      <w:tr w:rsidR="00F447D5" w:rsidRPr="00B21FAC" w14:paraId="07353C3B" w14:textId="77777777" w:rsidTr="00875374">
        <w:trPr>
          <w:trHeight w:val="692"/>
        </w:trPr>
        <w:tc>
          <w:tcPr>
            <w:tcW w:w="11199" w:type="dxa"/>
            <w:gridSpan w:val="4"/>
          </w:tcPr>
          <w:p w14:paraId="556196E7" w14:textId="77777777" w:rsidR="00F447D5" w:rsidRPr="00B21FAC" w:rsidRDefault="00F447D5" w:rsidP="00BA7E3E">
            <w:pPr>
              <w:spacing w:line="259" w:lineRule="auto"/>
              <w:jc w:val="center"/>
              <w:rPr>
                <w:sz w:val="20"/>
                <w:szCs w:val="20"/>
              </w:rPr>
            </w:pPr>
          </w:p>
          <w:p w14:paraId="1BE6FAEE" w14:textId="77777777" w:rsidR="00F447D5" w:rsidRPr="00B21FAC" w:rsidRDefault="00F447D5" w:rsidP="00BA7E3E">
            <w:pPr>
              <w:spacing w:line="259" w:lineRule="auto"/>
              <w:jc w:val="center"/>
              <w:rPr>
                <w:sz w:val="20"/>
                <w:szCs w:val="20"/>
              </w:rPr>
            </w:pPr>
            <w:r w:rsidRPr="00B21FAC">
              <w:rPr>
                <w:sz w:val="20"/>
                <w:szCs w:val="20"/>
              </w:rPr>
              <w:t>Geüniformeerd tarief</w:t>
            </w:r>
          </w:p>
        </w:tc>
      </w:tr>
      <w:tr w:rsidR="00875374" w:rsidRPr="00B21FAC" w14:paraId="7F7072D8" w14:textId="77777777" w:rsidTr="00875374">
        <w:trPr>
          <w:trHeight w:val="919"/>
        </w:trPr>
        <w:tc>
          <w:tcPr>
            <w:tcW w:w="3289" w:type="dxa"/>
          </w:tcPr>
          <w:p w14:paraId="205446A7" w14:textId="47F6FF4A" w:rsidR="00F447D5" w:rsidRPr="00B21FAC" w:rsidRDefault="00BD4DCB" w:rsidP="00BA7E3E">
            <w:pPr>
              <w:spacing w:line="259" w:lineRule="auto"/>
              <w:rPr>
                <w:sz w:val="20"/>
                <w:szCs w:val="20"/>
              </w:rPr>
            </w:pPr>
            <w:r>
              <w:rPr>
                <w:sz w:val="20"/>
                <w:szCs w:val="20"/>
              </w:rPr>
              <w:t>Voorafbetalingen /</w:t>
            </w:r>
            <w:r w:rsidR="00F447D5" w:rsidRPr="00B21FAC">
              <w:rPr>
                <w:sz w:val="20"/>
                <w:szCs w:val="20"/>
              </w:rPr>
              <w:t xml:space="preserve"> bronheffing via huurrekening</w:t>
            </w:r>
          </w:p>
        </w:tc>
        <w:tc>
          <w:tcPr>
            <w:tcW w:w="2382" w:type="dxa"/>
          </w:tcPr>
          <w:p w14:paraId="5C273661" w14:textId="77777777" w:rsidR="00F447D5" w:rsidRPr="00B21FAC" w:rsidRDefault="00F447D5" w:rsidP="00BA7E3E">
            <w:pPr>
              <w:spacing w:line="259" w:lineRule="auto"/>
              <w:rPr>
                <w:sz w:val="20"/>
                <w:szCs w:val="20"/>
              </w:rPr>
            </w:pPr>
            <w:r w:rsidRPr="00B21FAC">
              <w:rPr>
                <w:sz w:val="20"/>
                <w:szCs w:val="20"/>
              </w:rPr>
              <w:t>Maximaal bronheffing</w:t>
            </w:r>
          </w:p>
        </w:tc>
        <w:tc>
          <w:tcPr>
            <w:tcW w:w="2552" w:type="dxa"/>
          </w:tcPr>
          <w:p w14:paraId="675E0C8A" w14:textId="77777777" w:rsidR="00F447D5" w:rsidRPr="00B21FAC" w:rsidRDefault="00F447D5" w:rsidP="00BA7E3E">
            <w:pPr>
              <w:spacing w:line="259" w:lineRule="auto"/>
              <w:rPr>
                <w:sz w:val="20"/>
                <w:szCs w:val="20"/>
              </w:rPr>
            </w:pPr>
            <w:r w:rsidRPr="00B21FAC">
              <w:rPr>
                <w:sz w:val="20"/>
                <w:szCs w:val="20"/>
              </w:rPr>
              <w:t>maximaal bronheffing</w:t>
            </w:r>
          </w:p>
        </w:tc>
        <w:tc>
          <w:tcPr>
            <w:tcW w:w="2976" w:type="dxa"/>
          </w:tcPr>
          <w:p w14:paraId="1E13FA27" w14:textId="3E1263A7" w:rsidR="00F447D5" w:rsidRPr="00B21FAC" w:rsidRDefault="00F447D5" w:rsidP="00BA7E3E">
            <w:pPr>
              <w:spacing w:line="259" w:lineRule="auto"/>
              <w:rPr>
                <w:sz w:val="20"/>
                <w:szCs w:val="20"/>
              </w:rPr>
            </w:pPr>
            <w:r w:rsidRPr="00B21FAC">
              <w:rPr>
                <w:sz w:val="20"/>
                <w:szCs w:val="20"/>
              </w:rPr>
              <w:t xml:space="preserve">Onroerende goederen </w:t>
            </w:r>
            <w:r w:rsidR="00A31484" w:rsidRPr="00B21FAC">
              <w:rPr>
                <w:sz w:val="20"/>
                <w:szCs w:val="20"/>
              </w:rPr>
              <w:t>–</w:t>
            </w:r>
            <w:r w:rsidRPr="00B21FAC">
              <w:rPr>
                <w:sz w:val="20"/>
                <w:szCs w:val="20"/>
              </w:rPr>
              <w:t xml:space="preserve"> Afrekening bij notaris</w:t>
            </w:r>
          </w:p>
        </w:tc>
      </w:tr>
    </w:tbl>
    <w:p w14:paraId="0DC89609" w14:textId="439C840B" w:rsidR="007D5FD2" w:rsidRDefault="007D5FD2" w:rsidP="00BA7E3E">
      <w:pPr>
        <w:spacing w:after="0"/>
        <w:jc w:val="both"/>
        <w:rPr>
          <w:b/>
          <w:bCs/>
          <w:smallCaps/>
        </w:rPr>
      </w:pPr>
    </w:p>
    <w:p w14:paraId="6682813F" w14:textId="77777777" w:rsidR="008A0A5D" w:rsidRPr="00B21FAC" w:rsidRDefault="008A0A5D" w:rsidP="00BA7E3E">
      <w:pPr>
        <w:spacing w:after="0"/>
        <w:jc w:val="both"/>
        <w:rPr>
          <w:b/>
          <w:bCs/>
          <w:smallCaps/>
        </w:rPr>
      </w:pPr>
    </w:p>
    <w:p w14:paraId="74A6197B" w14:textId="380B4239" w:rsidR="00F447D5" w:rsidRPr="00B21FAC" w:rsidRDefault="00F447D5" w:rsidP="00BA7E3E">
      <w:pPr>
        <w:spacing w:after="0"/>
        <w:jc w:val="both"/>
      </w:pPr>
      <w:r w:rsidRPr="00B21FAC">
        <w:t>De bovenstaande tabel beoogt op een overzichtelijke, doch vereenvoudigde wijze, een overzicht te bieden van het nieuw</w:t>
      </w:r>
      <w:r w:rsidR="00E6098C">
        <w:t xml:space="preserve"> voorgestelde</w:t>
      </w:r>
      <w:r w:rsidRPr="00B21FAC">
        <w:t xml:space="preserve"> </w:t>
      </w:r>
      <w:r w:rsidR="00E6098C">
        <w:t>belasting</w:t>
      </w:r>
      <w:r w:rsidRPr="00B21FAC">
        <w:t>stelsel. De belangrijkste wijzigingen t.o.v. het huidige stelsel worden hierna verder geduid.</w:t>
      </w:r>
    </w:p>
    <w:p w14:paraId="232C8071" w14:textId="77777777" w:rsidR="00F447D5" w:rsidRPr="00B21FAC" w:rsidRDefault="00F447D5" w:rsidP="00BA7E3E">
      <w:pPr>
        <w:spacing w:after="0"/>
        <w:jc w:val="both"/>
      </w:pPr>
    </w:p>
    <w:p w14:paraId="779E263F" w14:textId="6B07295C" w:rsidR="008A2C3A" w:rsidRPr="00B21FAC" w:rsidRDefault="00F447D5" w:rsidP="00BA7E3E">
      <w:pPr>
        <w:spacing w:after="0"/>
        <w:jc w:val="both"/>
      </w:pPr>
      <w:r w:rsidRPr="00B21FAC">
        <w:rPr>
          <w:u w:val="single"/>
        </w:rPr>
        <w:t>PM</w:t>
      </w:r>
      <w:r w:rsidRPr="00B21FAC">
        <w:t xml:space="preserve">: Bij het nader uitwerken van de fiscale hervorming moet er over gewaakt worden dat het fiscaal recht weer volledig aansluit op het gemeen recht, tenzij het de expliciete bedoeling zou zijn dat het fiscaal recht hiervan afwijkt. Daarbij moet eveneens bijzondere aandacht worden besteed aan dit ruimer gemeenrechtelijk kader, o.m. voor wat de gebruikte terminologie betreft. De introductie van </w:t>
      </w:r>
      <w:r w:rsidR="00BB75F7">
        <w:t xml:space="preserve">het </w:t>
      </w:r>
      <w:r w:rsidR="00BB75F7" w:rsidRPr="00BB75F7">
        <w:t>nieuwe</w:t>
      </w:r>
      <w:r w:rsidR="002863E1">
        <w:t xml:space="preserve"> </w:t>
      </w:r>
      <w:r w:rsidR="00BB75F7" w:rsidRPr="00BB75F7">
        <w:t>goederenrecht</w:t>
      </w:r>
      <w:r w:rsidR="002863E1">
        <w:t xml:space="preserve"> </w:t>
      </w:r>
      <w:r w:rsidR="00BB75F7" w:rsidRPr="00BB75F7">
        <w:t>vormt hierbij alvast een bijzonder aandachtspunt (cf. de wet van 4 februari 2020 houdende boek 3 ‘Goederen’ van het Burgerlijk Wetboek)</w:t>
      </w:r>
      <w:r w:rsidRPr="00B21FAC">
        <w:t>.</w:t>
      </w:r>
    </w:p>
    <w:p w14:paraId="4C76BB47" w14:textId="335200D3" w:rsidR="00C13FFB" w:rsidRDefault="00C13FFB">
      <w:r>
        <w:br w:type="page"/>
      </w:r>
    </w:p>
    <w:p w14:paraId="6BF65ECA" w14:textId="77777777" w:rsidR="008A2C3A" w:rsidRPr="00B21FAC" w:rsidRDefault="008A2C3A" w:rsidP="00BA7E3E">
      <w:pPr>
        <w:spacing w:after="0"/>
        <w:jc w:val="both"/>
      </w:pPr>
    </w:p>
    <w:p w14:paraId="168DDE8C" w14:textId="20C26C47" w:rsidR="00B901EA" w:rsidRPr="00B21FAC" w:rsidRDefault="00B901EA" w:rsidP="00BA7E3E">
      <w:pPr>
        <w:spacing w:after="0"/>
        <w:jc w:val="both"/>
      </w:pPr>
    </w:p>
    <w:p w14:paraId="5DC09CA2" w14:textId="3427753A" w:rsidR="00B901EA" w:rsidRPr="00B21FAC" w:rsidRDefault="00B901EA" w:rsidP="00275FEB">
      <w:pPr>
        <w:pStyle w:val="Kop2"/>
        <w:numPr>
          <w:ilvl w:val="0"/>
          <w:numId w:val="45"/>
        </w:numPr>
      </w:pPr>
      <w:bookmarkStart w:id="191" w:name="_Toc107210921"/>
      <w:r w:rsidRPr="00B21FAC">
        <w:t>De krachtlijnen van de hervorming</w:t>
      </w:r>
      <w:bookmarkEnd w:id="191"/>
    </w:p>
    <w:p w14:paraId="2518F94F" w14:textId="68BFF80E" w:rsidR="008A2C3A" w:rsidRPr="00B21FAC" w:rsidRDefault="008A2C3A" w:rsidP="00BA7E3E">
      <w:pPr>
        <w:spacing w:after="0"/>
        <w:jc w:val="both"/>
      </w:pPr>
    </w:p>
    <w:p w14:paraId="279C2201" w14:textId="77777777" w:rsidR="00CC2829" w:rsidRPr="00B21FAC" w:rsidRDefault="00CC2829" w:rsidP="00BA7E3E">
      <w:pPr>
        <w:spacing w:after="0"/>
        <w:jc w:val="both"/>
      </w:pPr>
    </w:p>
    <w:p w14:paraId="4901ED40" w14:textId="3F4AA0B8" w:rsidR="00F447D5" w:rsidRPr="00B21FAC" w:rsidRDefault="00F447D5" w:rsidP="00275FEB">
      <w:pPr>
        <w:pStyle w:val="Kop3"/>
        <w:numPr>
          <w:ilvl w:val="0"/>
          <w:numId w:val="42"/>
        </w:numPr>
      </w:pPr>
      <w:bookmarkStart w:id="192" w:name="_Toc107210922"/>
      <w:r w:rsidRPr="00B21FAC">
        <w:t xml:space="preserve">De </w:t>
      </w:r>
      <w:r w:rsidR="00A0366D">
        <w:t>onderwerping van alle</w:t>
      </w:r>
      <w:r w:rsidRPr="00B21FAC">
        <w:t xml:space="preserve"> vermogensinkomsten </w:t>
      </w:r>
      <w:r w:rsidR="00FC0AA7">
        <w:t xml:space="preserve">aan een </w:t>
      </w:r>
      <w:r w:rsidR="004767EA">
        <w:t>uniek</w:t>
      </w:r>
      <w:r w:rsidR="00FC0AA7">
        <w:t xml:space="preserve"> belastingstelsel</w:t>
      </w:r>
      <w:bookmarkEnd w:id="192"/>
    </w:p>
    <w:p w14:paraId="69F793FA" w14:textId="77777777" w:rsidR="00F447D5" w:rsidRPr="00B21FAC" w:rsidRDefault="00F447D5" w:rsidP="00BA7E3E">
      <w:pPr>
        <w:spacing w:after="0"/>
        <w:jc w:val="both"/>
      </w:pPr>
    </w:p>
    <w:p w14:paraId="59F4D4F4" w14:textId="77777777" w:rsidR="00F447D5" w:rsidRPr="00B21FAC" w:rsidRDefault="00F447D5" w:rsidP="00BA7E3E">
      <w:pPr>
        <w:spacing w:after="0"/>
        <w:jc w:val="both"/>
      </w:pPr>
    </w:p>
    <w:p w14:paraId="209A8D81" w14:textId="6D790D71" w:rsidR="00F447D5" w:rsidRPr="00B21FAC" w:rsidRDefault="00F447D5" w:rsidP="00BA7E3E">
      <w:pPr>
        <w:pStyle w:val="Lijstalinea"/>
        <w:spacing w:after="0"/>
        <w:ind w:left="0"/>
        <w:jc w:val="both"/>
      </w:pPr>
      <w:r w:rsidRPr="00B21FAC">
        <w:rPr>
          <w:b/>
          <w:bCs/>
        </w:rPr>
        <w:t>Voorstel –</w:t>
      </w:r>
      <w:r w:rsidRPr="00B21FAC">
        <w:t xml:space="preserve"> </w:t>
      </w:r>
      <w:r w:rsidR="00E27F00">
        <w:t>A</w:t>
      </w:r>
      <w:r w:rsidRPr="00B21FAC">
        <w:t>lle vermogensinkomsten worden zoveel als mogelijk aan dezelfde fiscale regels onderworpen</w:t>
      </w:r>
      <w:r w:rsidR="00E27F00">
        <w:t>.</w:t>
      </w:r>
    </w:p>
    <w:p w14:paraId="643340D0" w14:textId="77777777" w:rsidR="00F447D5" w:rsidRPr="00B21FAC" w:rsidRDefault="00F447D5" w:rsidP="00BA7E3E">
      <w:pPr>
        <w:pStyle w:val="Lijstalinea"/>
        <w:spacing w:after="0"/>
        <w:ind w:left="0"/>
        <w:jc w:val="both"/>
      </w:pPr>
    </w:p>
    <w:p w14:paraId="1D4A592F" w14:textId="5A0A6CC9" w:rsidR="00F447D5" w:rsidRPr="00B21FAC" w:rsidRDefault="00F447D5" w:rsidP="00BA7E3E">
      <w:pPr>
        <w:pStyle w:val="Lijstalinea"/>
        <w:spacing w:after="0"/>
        <w:ind w:left="0"/>
        <w:jc w:val="both"/>
        <w:rPr>
          <w:u w:val="single"/>
        </w:rPr>
      </w:pPr>
      <w:r w:rsidRPr="00B21FAC">
        <w:rPr>
          <w:u w:val="single"/>
        </w:rPr>
        <w:t>Toelichting</w:t>
      </w:r>
      <w:r w:rsidR="00E27F00">
        <w:rPr>
          <w:u w:val="single"/>
        </w:rPr>
        <w:t>:</w:t>
      </w:r>
    </w:p>
    <w:p w14:paraId="484C2FF3" w14:textId="77777777" w:rsidR="00F447D5" w:rsidRPr="00B21FAC" w:rsidRDefault="00F447D5" w:rsidP="00BA7E3E">
      <w:pPr>
        <w:pStyle w:val="Lijstalinea"/>
        <w:spacing w:after="0"/>
        <w:ind w:left="0"/>
        <w:jc w:val="both"/>
      </w:pPr>
    </w:p>
    <w:p w14:paraId="2DD848E2" w14:textId="77777777" w:rsidR="00F447D5" w:rsidRPr="00B21FAC" w:rsidRDefault="00F447D5" w:rsidP="00BA7E3E">
      <w:pPr>
        <w:pStyle w:val="Lijstalinea"/>
        <w:spacing w:after="0"/>
        <w:ind w:left="0"/>
        <w:jc w:val="both"/>
      </w:pPr>
      <w:r w:rsidRPr="00B21FAC">
        <w:t>De bewuste keuze om alle vermogensinkomsten in één enkel geïntegreerd stelsel op te nemen, benadrukt het inzicht dat dergelijke inkomsten (zoveel als mogelijk) aan dezelfde fiscale regels moeten worden onderworpen. Dit sluit aan bij de gewenste neutraliteit in de heffing. Het bestaande onderscheid tussen ‘roerende’, ‘onroerende’ en (ten dele) ‘diverse inkomsten’ zou dus worden opgeheven. Daarnaast wordt het bestaan van een vermogensrendement (op vandaag belast als winst of baat) erkend en als vermogensinkomen belast.</w:t>
      </w:r>
    </w:p>
    <w:p w14:paraId="5D70C424" w14:textId="77777777" w:rsidR="00F447D5" w:rsidRPr="00B21FAC" w:rsidRDefault="00F447D5" w:rsidP="00BA7E3E">
      <w:pPr>
        <w:pStyle w:val="Lijstalinea"/>
        <w:spacing w:after="0"/>
        <w:ind w:left="0"/>
        <w:jc w:val="both"/>
        <w:rPr>
          <w:strike/>
        </w:rPr>
      </w:pPr>
    </w:p>
    <w:p w14:paraId="4A218234" w14:textId="77777777" w:rsidR="00F447D5" w:rsidRPr="00B21FAC" w:rsidRDefault="00F447D5" w:rsidP="00BA7E3E">
      <w:pPr>
        <w:pStyle w:val="Lijstalinea"/>
        <w:spacing w:after="0"/>
        <w:ind w:left="0"/>
        <w:jc w:val="both"/>
      </w:pPr>
      <w:r w:rsidRPr="00B21FAC">
        <w:t>Het nastreven van neutraliteit impliceert uiteraard niet dat elk inkomen fiscaaltechnisch op dezelfde wijze moet worden behandeld. Zo bv. zullen bepaalde beleggingen vanuit hun aard meer kosten genereren dan andere beleggingen. Ook de wisselwerking met andere heffingen (federaal, regionaal of lokaal) moet in aanmerking worden genomen. Dergelijke feitelijkheden verantwoorden dan ook (tot op zekere hoogte) verschillende regels.</w:t>
      </w:r>
    </w:p>
    <w:p w14:paraId="028CD8AA" w14:textId="77777777" w:rsidR="00F447D5" w:rsidRPr="00B21FAC" w:rsidRDefault="00F447D5" w:rsidP="00BA7E3E">
      <w:pPr>
        <w:pStyle w:val="Lijstalinea"/>
        <w:spacing w:after="0"/>
        <w:ind w:left="0"/>
        <w:jc w:val="both"/>
      </w:pPr>
    </w:p>
    <w:p w14:paraId="7060A814" w14:textId="77777777" w:rsidR="00F447D5" w:rsidRPr="00B21FAC" w:rsidRDefault="00F447D5" w:rsidP="00BA7E3E">
      <w:pPr>
        <w:pStyle w:val="Lijstalinea"/>
        <w:spacing w:after="0"/>
        <w:ind w:left="0"/>
        <w:jc w:val="both"/>
      </w:pPr>
      <w:r w:rsidRPr="00B21FAC">
        <w:t xml:space="preserve">Een dergelijke benadering sluit ook aan op internationale tendensen. Een aantal landen uit de EER-zone passen reeds deze benadering toe, met als meest prominente vertegenwoordigers Denemarken, Finland, Noorwegen en Zweden. </w:t>
      </w:r>
    </w:p>
    <w:p w14:paraId="471CFB8E" w14:textId="77777777" w:rsidR="00F447D5" w:rsidRPr="00B21FAC" w:rsidRDefault="00F447D5" w:rsidP="00BA7E3E">
      <w:pPr>
        <w:pStyle w:val="Lijstalinea"/>
        <w:spacing w:after="0"/>
        <w:ind w:left="0"/>
        <w:jc w:val="both"/>
      </w:pPr>
    </w:p>
    <w:p w14:paraId="3DEB63E8" w14:textId="77777777" w:rsidR="00F447D5" w:rsidRPr="00B21FAC" w:rsidRDefault="00F447D5" w:rsidP="00BA7E3E">
      <w:pPr>
        <w:pStyle w:val="Lijstalinea"/>
        <w:spacing w:after="0"/>
        <w:ind w:left="0"/>
        <w:jc w:val="both"/>
      </w:pPr>
      <w:r w:rsidRPr="00B21FAC">
        <w:t>Van de ons omringende landen kent ook Nederland een aparte categorie ‘belastbaar inkomen uit sparen en beleggen’ waarvoor de belasting afzonderlijk wordt berekend.</w:t>
      </w:r>
    </w:p>
    <w:p w14:paraId="0A6495A6" w14:textId="77777777" w:rsidR="00F447D5" w:rsidRPr="00B21FAC" w:rsidRDefault="00F447D5" w:rsidP="00BA7E3E">
      <w:pPr>
        <w:pStyle w:val="Lijstalinea"/>
        <w:spacing w:after="0"/>
        <w:ind w:left="0"/>
        <w:jc w:val="both"/>
      </w:pPr>
    </w:p>
    <w:p w14:paraId="4FCDB707" w14:textId="77777777" w:rsidR="00F447D5" w:rsidRPr="00B21FAC" w:rsidRDefault="00F447D5" w:rsidP="00BA7E3E">
      <w:pPr>
        <w:spacing w:after="0"/>
        <w:jc w:val="both"/>
      </w:pPr>
      <w:r w:rsidRPr="00B21FAC">
        <w:t>De andere ons omringende landen, doen dit op heden niet expliciet, maar dit neemt niet weg dat hun fiscale stelsels wel duidelijk afgebakende voorschriften voorzien m.b.t. vermogensinkomsten. Zo bv. bestaan er in Duitsland 7 inkomstencategorieën. De vijfde en zesde categorie groeperen de vermogensinkomsten. In gelijkaardige zin voorziet Luxemburg acht inkomstencategorieën, waarbij de 6</w:t>
      </w:r>
      <w:r w:rsidRPr="00B21FAC">
        <w:rPr>
          <w:vertAlign w:val="superscript"/>
        </w:rPr>
        <w:t>e</w:t>
      </w:r>
      <w:r w:rsidRPr="00B21FAC">
        <w:t xml:space="preserve"> en 7</w:t>
      </w:r>
      <w:r w:rsidRPr="00B21FAC">
        <w:rPr>
          <w:vertAlign w:val="superscript"/>
        </w:rPr>
        <w:t>e</w:t>
      </w:r>
      <w:r w:rsidRPr="00B21FAC">
        <w:t xml:space="preserve"> en gedeeltelijke achtste de vermogensinkomsten omvatten. Ook in Frankrijk worden de categorieën (i) inkomen uit onroerende goederen, (ii) inkomen uit roerende goederen en (iii) meerwaarden als duidelijk onderscheiden categorieën aangemerkt. </w:t>
      </w:r>
    </w:p>
    <w:p w14:paraId="21F36A73" w14:textId="77777777" w:rsidR="00F447D5" w:rsidRPr="00B21FAC" w:rsidRDefault="00F447D5" w:rsidP="00BA7E3E">
      <w:pPr>
        <w:spacing w:after="0"/>
        <w:jc w:val="both"/>
      </w:pPr>
    </w:p>
    <w:p w14:paraId="12478EA1" w14:textId="5DCF8DB6" w:rsidR="00F447D5" w:rsidRPr="00B21FAC" w:rsidRDefault="00F447D5" w:rsidP="00BA7E3E">
      <w:pPr>
        <w:spacing w:after="0"/>
        <w:jc w:val="both"/>
      </w:pPr>
      <w:r w:rsidRPr="00B21FAC">
        <w:t xml:space="preserve">Deze keuze leidt er uiteraard toe dat de vermogensinkomsten, mede omwille van hun eigenheid (zie ook hierna), conceptueel ontkoppeld </w:t>
      </w:r>
      <w:r w:rsidR="00D4562C">
        <w:t xml:space="preserve">kunnen </w:t>
      </w:r>
      <w:r w:rsidRPr="00B21FAC">
        <w:t xml:space="preserve">worden van de </w:t>
      </w:r>
      <w:r w:rsidR="008A0A5D">
        <w:t>activiteit</w:t>
      </w:r>
      <w:r w:rsidR="008A0A5D" w:rsidRPr="00B21FAC">
        <w:t>sinkomsten</w:t>
      </w:r>
      <w:r w:rsidRPr="00B21FAC">
        <w:t xml:space="preserve">, zodat niet langer sprake is van een globaliserend belastingsysteem zoals wij dit op heden (althans in theorie) kennen. Een dergelijke stap is niettemin minder revolutionair dan men op het eerste </w:t>
      </w:r>
      <w:r w:rsidR="004D2F3F">
        <w:t>ge</w:t>
      </w:r>
      <w:r w:rsidRPr="00B21FAC">
        <w:t xml:space="preserve">zicht zou vermoeden, gelet op het feit dat </w:t>
      </w:r>
      <w:r w:rsidR="004D2F3F">
        <w:t>reeds</w:t>
      </w:r>
      <w:r w:rsidRPr="00B21FAC">
        <w:t xml:space="preserve"> vandaag de vermogensinkomsten aan aparte belastingregels (en doorgaans aan evenredige tarieven) worden onderworpen. De doorgedreven keuze om alle vermogensinkomsten voortaan onder een enkele noemer te brengen en (althans principieel) aan dezelfde belastingregels te onderwerpen, ligt dan ook veeleer in het verlengde van een ‘natuurlijke evolutie’ in België.</w:t>
      </w:r>
    </w:p>
    <w:p w14:paraId="5E376996" w14:textId="77777777" w:rsidR="00F447D5" w:rsidRPr="00B21FAC" w:rsidRDefault="00F447D5" w:rsidP="00BA7E3E">
      <w:pPr>
        <w:spacing w:after="0"/>
        <w:jc w:val="both"/>
      </w:pPr>
    </w:p>
    <w:p w14:paraId="0EDA9B0D" w14:textId="77777777" w:rsidR="00F447D5" w:rsidRPr="00B21FAC" w:rsidRDefault="00F447D5" w:rsidP="00BA7E3E">
      <w:pPr>
        <w:spacing w:after="0"/>
        <w:jc w:val="both"/>
      </w:pPr>
    </w:p>
    <w:p w14:paraId="737B095A" w14:textId="2AC2A624" w:rsidR="00F447D5" w:rsidRPr="00B21FAC" w:rsidRDefault="00F447D5" w:rsidP="00275FEB">
      <w:pPr>
        <w:pStyle w:val="Kop3"/>
        <w:numPr>
          <w:ilvl w:val="0"/>
          <w:numId w:val="42"/>
        </w:numPr>
      </w:pPr>
      <w:bookmarkStart w:id="193" w:name="_Toc107210923"/>
      <w:r w:rsidRPr="00B21FAC">
        <w:t xml:space="preserve">De principiële </w:t>
      </w:r>
      <w:r w:rsidR="00B46C75">
        <w:t>onderwerping</w:t>
      </w:r>
      <w:r w:rsidRPr="00B21FAC">
        <w:t xml:space="preserve"> van alle vermogensinkomsten</w:t>
      </w:r>
      <w:r w:rsidR="00B46C75">
        <w:t xml:space="preserve"> aan belastingheffing</w:t>
      </w:r>
      <w:r w:rsidRPr="00B21FAC">
        <w:t>, m.i.v. meerwaarden</w:t>
      </w:r>
      <w:bookmarkEnd w:id="193"/>
    </w:p>
    <w:p w14:paraId="5222B469" w14:textId="77777777" w:rsidR="00F447D5" w:rsidRPr="00B21FAC" w:rsidRDefault="00F447D5" w:rsidP="00BA7E3E">
      <w:pPr>
        <w:pStyle w:val="Lijstalinea"/>
        <w:spacing w:after="0"/>
        <w:ind w:left="0"/>
        <w:jc w:val="both"/>
      </w:pPr>
    </w:p>
    <w:p w14:paraId="186FFD95" w14:textId="77777777" w:rsidR="00F447D5" w:rsidRPr="00B21FAC" w:rsidRDefault="00F447D5" w:rsidP="00BA7E3E">
      <w:pPr>
        <w:pStyle w:val="Lijstalinea"/>
        <w:spacing w:after="0"/>
        <w:ind w:left="0"/>
        <w:jc w:val="both"/>
      </w:pPr>
    </w:p>
    <w:p w14:paraId="1B600403" w14:textId="77777777" w:rsidR="00F447D5" w:rsidRPr="00B21FAC" w:rsidRDefault="00F447D5" w:rsidP="00BA7E3E">
      <w:pPr>
        <w:pStyle w:val="Lijstalinea"/>
        <w:spacing w:after="0"/>
        <w:ind w:left="0"/>
        <w:jc w:val="both"/>
      </w:pPr>
      <w:r w:rsidRPr="00B21FAC">
        <w:rPr>
          <w:b/>
          <w:bCs/>
        </w:rPr>
        <w:t>Voorstel –</w:t>
      </w:r>
      <w:r w:rsidRPr="00B21FAC">
        <w:t xml:space="preserve"> De thans bestaande vrijstellingen vervallen, tenzij deze specifiek verantwoordbaar zijn in het licht van de doorgevoerde hervorming. Meerwaarden worden bijgevolg principieel belastbaar.</w:t>
      </w:r>
    </w:p>
    <w:p w14:paraId="4D86BA7C" w14:textId="77777777" w:rsidR="00F447D5" w:rsidRPr="00B21FAC" w:rsidRDefault="00F447D5" w:rsidP="00BA7E3E">
      <w:pPr>
        <w:pStyle w:val="Lijstalinea"/>
        <w:spacing w:after="0"/>
        <w:ind w:left="0"/>
        <w:jc w:val="both"/>
      </w:pPr>
    </w:p>
    <w:p w14:paraId="44AD0741" w14:textId="7A0627F8" w:rsidR="00F447D5" w:rsidRPr="00B21FAC" w:rsidRDefault="00F447D5" w:rsidP="00BA7E3E">
      <w:pPr>
        <w:pStyle w:val="Lijstalinea"/>
        <w:spacing w:after="0"/>
        <w:ind w:left="0"/>
        <w:jc w:val="both"/>
        <w:rPr>
          <w:u w:val="single"/>
        </w:rPr>
      </w:pPr>
      <w:r w:rsidRPr="00B21FAC">
        <w:rPr>
          <w:u w:val="single"/>
        </w:rPr>
        <w:t>Toelichting</w:t>
      </w:r>
      <w:r w:rsidR="00E27F00">
        <w:rPr>
          <w:u w:val="single"/>
        </w:rPr>
        <w:t>:</w:t>
      </w:r>
    </w:p>
    <w:p w14:paraId="3CFC2B25" w14:textId="77777777" w:rsidR="00F447D5" w:rsidRPr="00B21FAC" w:rsidRDefault="00F447D5" w:rsidP="00BA7E3E">
      <w:pPr>
        <w:pStyle w:val="Lijstalinea"/>
        <w:spacing w:after="0"/>
        <w:ind w:left="0"/>
        <w:jc w:val="both"/>
      </w:pPr>
    </w:p>
    <w:p w14:paraId="310FFED0" w14:textId="77777777" w:rsidR="00F447D5" w:rsidRPr="00B21FAC" w:rsidRDefault="00F447D5" w:rsidP="00BA7E3E">
      <w:pPr>
        <w:pStyle w:val="Lijstalinea"/>
        <w:spacing w:after="0"/>
        <w:ind w:left="0"/>
        <w:jc w:val="both"/>
      </w:pPr>
      <w:r w:rsidRPr="00B21FAC">
        <w:t xml:space="preserve">Het principiële uitgangspunt luidt dat alle vermogensinkomsten ook effectief belast worden. </w:t>
      </w:r>
    </w:p>
    <w:p w14:paraId="4DAF3945" w14:textId="77777777" w:rsidR="00F447D5" w:rsidRPr="00B21FAC" w:rsidRDefault="00F447D5" w:rsidP="00BA7E3E">
      <w:pPr>
        <w:pStyle w:val="Lijstalinea"/>
        <w:spacing w:after="0"/>
        <w:ind w:left="0"/>
        <w:jc w:val="both"/>
      </w:pPr>
    </w:p>
    <w:p w14:paraId="5634DF63" w14:textId="12F4C244" w:rsidR="00F447D5" w:rsidRPr="00B21FAC" w:rsidRDefault="00F447D5" w:rsidP="00BA7E3E">
      <w:pPr>
        <w:pStyle w:val="Lijstalinea"/>
        <w:spacing w:after="0"/>
        <w:ind w:left="0"/>
        <w:jc w:val="both"/>
      </w:pPr>
      <w:r w:rsidRPr="00B21FAC">
        <w:t xml:space="preserve">Dit heeft uiteraard verscheidene consequenties, zoals o.m. een herbeoordeling van de bestaande vrijstellingsregimes </w:t>
      </w:r>
      <w:r w:rsidR="00723A24">
        <w:t>en</w:t>
      </w:r>
      <w:r w:rsidRPr="00B21FAC">
        <w:t xml:space="preserve"> van de indirecte heffingen die in het verleden werden ingevoerd ter compensatie van die vrijstellingen (zie ook hierna). </w:t>
      </w:r>
    </w:p>
    <w:p w14:paraId="456AB234" w14:textId="77777777" w:rsidR="00F447D5" w:rsidRPr="00B21FAC" w:rsidRDefault="00F447D5" w:rsidP="00BA7E3E">
      <w:pPr>
        <w:pStyle w:val="Lijstalinea"/>
        <w:spacing w:after="0"/>
        <w:ind w:left="0"/>
        <w:jc w:val="both"/>
      </w:pPr>
    </w:p>
    <w:p w14:paraId="29435B8B" w14:textId="0CC331EC" w:rsidR="00F447D5" w:rsidRPr="00B21FAC" w:rsidRDefault="00F447D5" w:rsidP="00BA7E3E">
      <w:pPr>
        <w:pStyle w:val="Lijstalinea"/>
        <w:spacing w:after="0"/>
        <w:ind w:left="0"/>
        <w:jc w:val="both"/>
      </w:pPr>
      <w:r w:rsidRPr="00B21FAC">
        <w:t>Deze benadering leidt er ook toe dat de meerwaarden, die thans grotendeels vrijgesteld zijn, aan belasting zouden worden onderworpen</w:t>
      </w:r>
      <w:r w:rsidR="001477B0">
        <w:t>, met dien verstande dat ook minderwaarden fiscaal in aanmerking moeten worden genomen</w:t>
      </w:r>
      <w:r w:rsidRPr="00B21FAC">
        <w:t xml:space="preserve">. </w:t>
      </w:r>
    </w:p>
    <w:p w14:paraId="181BB77E" w14:textId="77777777" w:rsidR="00F447D5" w:rsidRPr="00B21FAC" w:rsidRDefault="00F447D5" w:rsidP="00BA7E3E">
      <w:pPr>
        <w:pStyle w:val="Lijstalinea"/>
        <w:spacing w:after="0"/>
        <w:ind w:left="0"/>
        <w:jc w:val="both"/>
      </w:pPr>
    </w:p>
    <w:p w14:paraId="7A5B2800" w14:textId="77777777" w:rsidR="00F447D5" w:rsidRPr="00B21FAC" w:rsidRDefault="00F447D5" w:rsidP="00BA7E3E">
      <w:pPr>
        <w:pStyle w:val="Lijstalinea"/>
        <w:spacing w:after="0"/>
        <w:ind w:left="0"/>
        <w:jc w:val="both"/>
      </w:pPr>
      <w:r w:rsidRPr="00B21FAC">
        <w:t>Een dergelijke benadering sluit in ieder geval ook aan op de keuze die de ons omringende landen hebben gemaakt, weze het dat elk land wel een specifiek regime voorziet:</w:t>
      </w:r>
    </w:p>
    <w:p w14:paraId="161A6FEE" w14:textId="77777777" w:rsidR="00F447D5" w:rsidRPr="00B21FAC" w:rsidRDefault="00F447D5" w:rsidP="00BA7E3E">
      <w:pPr>
        <w:pStyle w:val="Lijstalinea"/>
        <w:spacing w:after="0"/>
        <w:jc w:val="both"/>
      </w:pPr>
    </w:p>
    <w:p w14:paraId="0F44AE8B" w14:textId="52CD61B3" w:rsidR="00F447D5" w:rsidRPr="00B21FAC" w:rsidRDefault="00F447D5" w:rsidP="00BA7E3E">
      <w:pPr>
        <w:pStyle w:val="Lijstalinea"/>
        <w:numPr>
          <w:ilvl w:val="1"/>
          <w:numId w:val="14"/>
        </w:numPr>
        <w:spacing w:after="0"/>
        <w:ind w:left="851"/>
        <w:jc w:val="both"/>
      </w:pPr>
      <w:r w:rsidRPr="00B21FAC">
        <w:t>In Duitsland omvatten de vermogensinkomsten de dividenden en interesten, m.i.v. meerwaarden op effecten (vijfde categorie), alsook de royalties, inkomsten als stille vennoot en inkomsten uit onroerende goederen (zesde categorie). De meerwaarden op andere goederen dan aandelen en obligaties worden enkel belast indien de meerwaarde gerealiseerd wordt binnen de 10 jaar (voor onroerende goederen) of binnen het jaar (voor roerende goederen).</w:t>
      </w:r>
    </w:p>
    <w:p w14:paraId="58E8BCFF" w14:textId="77777777" w:rsidR="00F447D5" w:rsidRPr="00B21FAC" w:rsidRDefault="00F447D5" w:rsidP="00BA7E3E">
      <w:pPr>
        <w:pStyle w:val="Lijstalinea"/>
        <w:spacing w:after="0"/>
        <w:ind w:left="851"/>
        <w:jc w:val="both"/>
      </w:pPr>
      <w:r w:rsidRPr="00B21FAC">
        <w:t>Meerwaarden op aandelen in een vennootschap waarin de aandeelhouder een aanmerkelijk belang heeft, worden beschouwd als een vorm van ondernemingsinkomen.</w:t>
      </w:r>
    </w:p>
    <w:p w14:paraId="73A76CCF" w14:textId="60DAE5DA" w:rsidR="00F447D5" w:rsidRPr="00B21FAC" w:rsidRDefault="00F447D5" w:rsidP="00BA7E3E">
      <w:pPr>
        <w:pStyle w:val="Lijstalinea"/>
        <w:numPr>
          <w:ilvl w:val="1"/>
          <w:numId w:val="14"/>
        </w:numPr>
        <w:spacing w:after="0"/>
        <w:ind w:left="851"/>
        <w:jc w:val="both"/>
      </w:pPr>
      <w:r w:rsidRPr="00B21FAC">
        <w:t xml:space="preserve">Frankrijk belast (i) dividenden, (ii) interesten, (iii) royalties, (iv) inkomen uit onroerende goederen en (v) meerwaarden, zowel op onroerend goed als op aandelen. M.b.t. meerwaarden op onroerende goederen geldt een afbouwmechanisme, waardoor na </w:t>
      </w:r>
      <w:r w:rsidR="001D66A5">
        <w:t xml:space="preserve">een houdperiode van </w:t>
      </w:r>
      <w:r w:rsidRPr="00B21FAC">
        <w:t xml:space="preserve">22 jaar geen meerwaardebelasting meer wordt geheven. </w:t>
      </w:r>
    </w:p>
    <w:p w14:paraId="790629CC" w14:textId="77777777" w:rsidR="00F447D5" w:rsidRPr="00B21FAC" w:rsidRDefault="00F447D5" w:rsidP="00BA7E3E">
      <w:pPr>
        <w:pStyle w:val="Lijstalinea"/>
        <w:numPr>
          <w:ilvl w:val="1"/>
          <w:numId w:val="14"/>
        </w:numPr>
        <w:spacing w:after="0"/>
        <w:ind w:left="851"/>
        <w:jc w:val="both"/>
      </w:pPr>
      <w:r w:rsidRPr="00B21FAC">
        <w:t>De vermogensinkomsten in Luxemburg omvatten (i) het inkomen uit roerende goederen, waaronder dividenden en interest, (ii) het huurinkomen, waaronder ook royalties en (iii) meerwaarden, met dien verstande dat – m.b.t. roerende goederen – in principe enkel speculatieve meerwaarden geviseerd worden.</w:t>
      </w:r>
    </w:p>
    <w:p w14:paraId="7C7E66D3" w14:textId="086C6C8D" w:rsidR="00F447D5" w:rsidRPr="00B21FAC" w:rsidRDefault="00F447D5" w:rsidP="00BA7E3E">
      <w:pPr>
        <w:pStyle w:val="Lijstalinea"/>
        <w:numPr>
          <w:ilvl w:val="1"/>
          <w:numId w:val="14"/>
        </w:numPr>
        <w:spacing w:after="0"/>
        <w:ind w:left="851"/>
        <w:jc w:val="both"/>
      </w:pPr>
      <w:r w:rsidRPr="00B21FAC">
        <w:t xml:space="preserve">In Nederland omvatten inkomsten uit ‘sparen en beleggen’, in principe alle inkomsten voortkomend uit privaat aangehouden vermogen. </w:t>
      </w:r>
      <w:r w:rsidR="00E20AE0">
        <w:t>Hierop bestaan een aantal uitzonderingen</w:t>
      </w:r>
      <w:r w:rsidRPr="00B21FAC">
        <w:t>:</w:t>
      </w:r>
    </w:p>
    <w:p w14:paraId="183BA644" w14:textId="77777777" w:rsidR="00F447D5" w:rsidRPr="00B21FAC" w:rsidRDefault="00F447D5" w:rsidP="00BA7E3E">
      <w:pPr>
        <w:pStyle w:val="Lijstalinea"/>
        <w:numPr>
          <w:ilvl w:val="2"/>
          <w:numId w:val="14"/>
        </w:numPr>
        <w:spacing w:after="0"/>
        <w:ind w:left="1276"/>
        <w:jc w:val="both"/>
      </w:pPr>
      <w:r w:rsidRPr="00B21FAC">
        <w:t>Toegekend inkomen m.b.t. woningen die eigendom zijn van de belastingplichtigen, wordt opgenomen onder de categorie ‘werk en woning’;</w:t>
      </w:r>
    </w:p>
    <w:p w14:paraId="43662AB0" w14:textId="04902F53" w:rsidR="00F447D5" w:rsidRPr="00B21FAC" w:rsidRDefault="00F447D5" w:rsidP="00BA7E3E">
      <w:pPr>
        <w:pStyle w:val="Lijstalinea"/>
        <w:numPr>
          <w:ilvl w:val="2"/>
          <w:numId w:val="14"/>
        </w:numPr>
        <w:spacing w:after="0"/>
        <w:ind w:left="1276"/>
        <w:jc w:val="both"/>
      </w:pPr>
      <w:r w:rsidRPr="00B21FAC">
        <w:t>Inkomsten die gerelateerd zijn aan een deelneming die kwalificeert als een ‘aanmerkelijk belang’ worden opgenomen onder de categorie ‘inkomen uit aanmerkelijk belang’</w:t>
      </w:r>
      <w:r w:rsidR="00E20AE0">
        <w:t>.</w:t>
      </w:r>
    </w:p>
    <w:p w14:paraId="41806D51" w14:textId="189ED371" w:rsidR="00F447D5" w:rsidRPr="00B21FAC" w:rsidRDefault="00F447D5" w:rsidP="00BA7E3E">
      <w:pPr>
        <w:pStyle w:val="Lijstalinea"/>
        <w:spacing w:after="0"/>
        <w:ind w:left="851"/>
        <w:jc w:val="both"/>
      </w:pPr>
      <w:r w:rsidRPr="00B21FAC">
        <w:t>Nederland taxeer</w:t>
      </w:r>
      <w:r w:rsidR="001D27E0">
        <w:t>de</w:t>
      </w:r>
      <w:r w:rsidRPr="00B21FAC">
        <w:t xml:space="preserve"> niet de ‘reële inkomsten’, maar g</w:t>
      </w:r>
      <w:r w:rsidR="001D27E0">
        <w:t>ing</w:t>
      </w:r>
      <w:r w:rsidRPr="00B21FAC">
        <w:t xml:space="preserve"> uit van een toegekend inkomen, uitgaand van een </w:t>
      </w:r>
      <w:r w:rsidR="001547A6">
        <w:t xml:space="preserve">progressief </w:t>
      </w:r>
      <w:r w:rsidRPr="00B21FAC">
        <w:t>percentage toegepast op de waarde van het vermogen</w:t>
      </w:r>
      <w:r w:rsidR="00D27246">
        <w:t>, hetgeen de Nederlandse Hoge Raad ertoe heeft gebracht te oordelen dat deze regeling strijdt met het eigendomsrecht</w:t>
      </w:r>
      <w:r w:rsidR="0051011C">
        <w:t xml:space="preserve"> en het gelijkheidsbeginsel</w:t>
      </w:r>
      <w:r w:rsidR="00D27246">
        <w:t xml:space="preserve">, zie HR </w:t>
      </w:r>
      <w:r w:rsidR="00983F68">
        <w:t>24 december 2021</w:t>
      </w:r>
      <w:r w:rsidR="00453AF5">
        <w:t xml:space="preserve"> - </w:t>
      </w:r>
      <w:hyperlink r:id="rId28" w:history="1">
        <w:r w:rsidR="00453AF5" w:rsidRPr="00E2159D">
          <w:rPr>
            <w:rStyle w:val="Hyperlink"/>
          </w:rPr>
          <w:t>https://uitspraken.rechtspraak.nl/inziendocument?id=ECLI:NL:HR:2021:1963</w:t>
        </w:r>
      </w:hyperlink>
      <w:r w:rsidR="00983F68">
        <w:t>).</w:t>
      </w:r>
    </w:p>
    <w:p w14:paraId="76EE8BEC" w14:textId="77777777" w:rsidR="00F447D5" w:rsidRPr="00B21FAC" w:rsidRDefault="00F447D5" w:rsidP="00BA7E3E">
      <w:pPr>
        <w:pStyle w:val="Lijstalinea"/>
        <w:spacing w:after="0"/>
        <w:jc w:val="both"/>
      </w:pPr>
    </w:p>
    <w:p w14:paraId="387AD239" w14:textId="77777777" w:rsidR="00F447D5" w:rsidRPr="00B21FAC" w:rsidRDefault="00F447D5" w:rsidP="00275FEB">
      <w:pPr>
        <w:spacing w:after="0"/>
        <w:ind w:left="709"/>
        <w:jc w:val="both"/>
      </w:pPr>
      <w:r w:rsidRPr="00B21FAC">
        <w:t>Met de invoering van een (meer veralgemeende) vermogenswinstbelasting zou België zich dus zeer zeker geen unieke positie aanmeten.</w:t>
      </w:r>
    </w:p>
    <w:p w14:paraId="5ADFA75A" w14:textId="18899654" w:rsidR="00F447D5" w:rsidRDefault="00F447D5" w:rsidP="003A09CA">
      <w:pPr>
        <w:spacing w:after="0"/>
        <w:jc w:val="both"/>
      </w:pPr>
    </w:p>
    <w:p w14:paraId="0BB85548" w14:textId="6B29C82B" w:rsidR="005B4C96" w:rsidRDefault="003A09CA">
      <w:pPr>
        <w:spacing w:after="0"/>
        <w:jc w:val="both"/>
      </w:pPr>
      <w:r w:rsidRPr="00303355">
        <w:rPr>
          <w:u w:val="single"/>
        </w:rPr>
        <w:t>PM:</w:t>
      </w:r>
      <w:r>
        <w:t xml:space="preserve"> </w:t>
      </w:r>
      <w:r w:rsidR="00142CBB">
        <w:t xml:space="preserve">Aangezien de aanschaffingswaarde van een actief ook de toekomstige winstverwachtingen ervan uitdrukt, waarbij desgevallend ook rekening wordt gehouden met toekomstige belastinglatenties, </w:t>
      </w:r>
      <w:r w:rsidR="00C11693">
        <w:t xml:space="preserve">kan een meerwaardebelasting aanleiding geven tot een dubbele belastingheffing. </w:t>
      </w:r>
      <w:r w:rsidR="005B4C96">
        <w:t>De maatschappelijke gevoeligheid bij het invoeren van een meerwaardebelasting raakt overigens vaak aan deze (terechte) bekommernis.</w:t>
      </w:r>
    </w:p>
    <w:p w14:paraId="18F1A4FB" w14:textId="400D07BD" w:rsidR="003A09CA" w:rsidRPr="003A09CA" w:rsidRDefault="005B4C96" w:rsidP="00303355">
      <w:pPr>
        <w:spacing w:after="0"/>
        <w:jc w:val="both"/>
      </w:pPr>
      <w:r>
        <w:t>De dubbele belastingheffing</w:t>
      </w:r>
      <w:r w:rsidR="00C11693">
        <w:t xml:space="preserve"> kan uiteraard niet de bedoeling zijn. </w:t>
      </w:r>
      <w:r w:rsidR="00F85764">
        <w:t xml:space="preserve">Dit is ook de reden waarom </w:t>
      </w:r>
      <w:r w:rsidR="00A806C6">
        <w:t xml:space="preserve">zeer sterk wordt benadrukt dat in voorkomend geval ook de geleden minderwaarden fiscaal in aanmerking moeten worden genomen. </w:t>
      </w:r>
      <w:r w:rsidR="00565EEF">
        <w:t>Op deze problematiek wordt verder in de Algemene Visienota ingegaan.</w:t>
      </w:r>
    </w:p>
    <w:p w14:paraId="7158D3AD" w14:textId="77777777" w:rsidR="003A09CA" w:rsidRPr="00B21FAC" w:rsidRDefault="003A09CA" w:rsidP="00303355">
      <w:pPr>
        <w:spacing w:after="0"/>
        <w:jc w:val="both"/>
      </w:pPr>
    </w:p>
    <w:p w14:paraId="5E1FAE56" w14:textId="77777777" w:rsidR="00CC2829" w:rsidRPr="00B21FAC" w:rsidRDefault="00CC2829" w:rsidP="00303355">
      <w:pPr>
        <w:spacing w:after="0"/>
        <w:jc w:val="both"/>
      </w:pPr>
    </w:p>
    <w:p w14:paraId="6F5E3F4A" w14:textId="58555C3F" w:rsidR="00F447D5" w:rsidRPr="00B21FAC" w:rsidRDefault="00F447D5" w:rsidP="00275FEB">
      <w:pPr>
        <w:pStyle w:val="Kop3"/>
        <w:numPr>
          <w:ilvl w:val="0"/>
          <w:numId w:val="42"/>
        </w:numPr>
      </w:pPr>
      <w:bookmarkStart w:id="194" w:name="_Toc107210924"/>
      <w:r w:rsidRPr="00B21FAC">
        <w:t>De veralgemening van de evenredige tarieven</w:t>
      </w:r>
      <w:bookmarkEnd w:id="194"/>
    </w:p>
    <w:p w14:paraId="0DAEF0DF" w14:textId="77777777" w:rsidR="00F447D5" w:rsidRPr="00B21FAC" w:rsidRDefault="00F447D5" w:rsidP="00BA7E3E">
      <w:pPr>
        <w:pStyle w:val="Lijstalinea"/>
        <w:spacing w:after="0"/>
        <w:ind w:left="0"/>
        <w:jc w:val="both"/>
      </w:pPr>
    </w:p>
    <w:p w14:paraId="0B5B5F93" w14:textId="77777777" w:rsidR="00F447D5" w:rsidRPr="00B21FAC" w:rsidRDefault="00F447D5" w:rsidP="00BA7E3E">
      <w:pPr>
        <w:pStyle w:val="Lijstalinea"/>
        <w:spacing w:after="0"/>
        <w:ind w:left="0"/>
        <w:jc w:val="both"/>
      </w:pPr>
    </w:p>
    <w:p w14:paraId="4B6E4598" w14:textId="5FCD38F0" w:rsidR="00F447D5" w:rsidRPr="00B21FAC" w:rsidRDefault="00F447D5" w:rsidP="00BA7E3E">
      <w:pPr>
        <w:pStyle w:val="Lijstalinea"/>
        <w:spacing w:after="0"/>
        <w:ind w:left="0"/>
        <w:jc w:val="both"/>
      </w:pPr>
      <w:r w:rsidRPr="00B21FAC">
        <w:rPr>
          <w:b/>
          <w:bCs/>
        </w:rPr>
        <w:t xml:space="preserve">Voorstel – </w:t>
      </w:r>
      <w:r w:rsidRPr="00B21FAC">
        <w:t>Vermogensinkomsten worden aan een evenredig tarief onderworpen</w:t>
      </w:r>
      <w:r w:rsidR="00E27F00">
        <w:t>.</w:t>
      </w:r>
    </w:p>
    <w:p w14:paraId="6070C517" w14:textId="77777777" w:rsidR="00F447D5" w:rsidRPr="00B21FAC" w:rsidRDefault="00F447D5" w:rsidP="00BA7E3E">
      <w:pPr>
        <w:pStyle w:val="Lijstalinea"/>
        <w:spacing w:after="0"/>
        <w:ind w:left="0"/>
        <w:jc w:val="both"/>
      </w:pPr>
    </w:p>
    <w:p w14:paraId="6145DA45" w14:textId="77777777" w:rsidR="00F447D5" w:rsidRPr="00B21FAC" w:rsidRDefault="00F447D5" w:rsidP="00BA7E3E">
      <w:pPr>
        <w:pStyle w:val="Lijstalinea"/>
        <w:spacing w:after="0"/>
        <w:ind w:left="0"/>
        <w:jc w:val="both"/>
        <w:rPr>
          <w:u w:val="single"/>
        </w:rPr>
      </w:pPr>
      <w:r w:rsidRPr="00B21FAC">
        <w:rPr>
          <w:u w:val="single"/>
        </w:rPr>
        <w:t>Toelichting:</w:t>
      </w:r>
    </w:p>
    <w:p w14:paraId="4FD37DE1" w14:textId="77777777" w:rsidR="00F447D5" w:rsidRPr="00B21FAC" w:rsidRDefault="00F447D5" w:rsidP="00BA7E3E">
      <w:pPr>
        <w:pStyle w:val="Lijstalinea"/>
        <w:spacing w:after="0"/>
        <w:ind w:left="0"/>
        <w:jc w:val="both"/>
      </w:pPr>
    </w:p>
    <w:p w14:paraId="0455AC1C" w14:textId="1CCE39E8" w:rsidR="00486AD0" w:rsidRDefault="00F447D5" w:rsidP="00BA7E3E">
      <w:pPr>
        <w:pStyle w:val="Lijstalinea"/>
        <w:spacing w:after="0"/>
        <w:ind w:left="0"/>
        <w:jc w:val="both"/>
      </w:pPr>
      <w:r w:rsidRPr="00B21FAC">
        <w:t xml:space="preserve">De toepassing van evenredige tarieven op vermogensinkomsten wordt doorgaans verantwoord vanuit de bekommernis om op een eenvoudige wijze rekening te houden met de eigenheid van deze inkomstencategorie. De recente economische literatuur bevestigt dat de belastingheffing op vermogensinkomsten niet enkel verantwoordbaar is, maar eveneens opportuun. </w:t>
      </w:r>
    </w:p>
    <w:p w14:paraId="6937532F" w14:textId="77777777" w:rsidR="00486AD0" w:rsidRDefault="00486AD0" w:rsidP="00BA7E3E">
      <w:pPr>
        <w:pStyle w:val="Lijstalinea"/>
        <w:spacing w:after="0"/>
        <w:ind w:left="0"/>
        <w:jc w:val="both"/>
      </w:pPr>
    </w:p>
    <w:p w14:paraId="7F910164" w14:textId="428D1CE9" w:rsidR="00F447D5" w:rsidRPr="00B21FAC" w:rsidRDefault="00F447D5" w:rsidP="00BA7E3E">
      <w:pPr>
        <w:pStyle w:val="Lijstalinea"/>
        <w:spacing w:after="0"/>
        <w:ind w:left="0"/>
        <w:jc w:val="both"/>
      </w:pPr>
      <w:r w:rsidRPr="00B21FAC">
        <w:t>Dit neemt niet weg dat het vermogensinkomen niet zonder meer gelijkgesteld kan worden met een inkomen uit activiteit. Het vermogensinkomen bestaat in essentie uit drie componenten</w:t>
      </w:r>
      <w:r w:rsidR="000D28B9">
        <w:t>:</w:t>
      </w:r>
      <w:r w:rsidRPr="00B21FAC">
        <w:t xml:space="preserve"> (i) het risicovrije rendement, (ii) de vergoeding voor het risico en (iii) de </w:t>
      </w:r>
      <w:r w:rsidR="00CE089D">
        <w:t>zuivere</w:t>
      </w:r>
      <w:r w:rsidR="00CE089D" w:rsidRPr="00B21FAC">
        <w:t xml:space="preserve"> </w:t>
      </w:r>
      <w:r w:rsidRPr="00B21FAC">
        <w:t xml:space="preserve">economische rente. </w:t>
      </w:r>
    </w:p>
    <w:p w14:paraId="2F4DE53D" w14:textId="77777777" w:rsidR="003D0326" w:rsidRPr="00B21FAC" w:rsidRDefault="003D0326" w:rsidP="00BA7E3E">
      <w:pPr>
        <w:pStyle w:val="Lijstalinea"/>
        <w:spacing w:after="0"/>
        <w:ind w:left="0"/>
        <w:jc w:val="both"/>
      </w:pPr>
    </w:p>
    <w:p w14:paraId="78EF65AA" w14:textId="5A602C4D" w:rsidR="00F447D5" w:rsidRPr="00B21FAC" w:rsidRDefault="00F447D5" w:rsidP="00BA7E3E">
      <w:pPr>
        <w:pStyle w:val="Lijstalinea"/>
        <w:spacing w:after="0"/>
        <w:ind w:left="0"/>
        <w:jc w:val="both"/>
      </w:pPr>
      <w:r w:rsidRPr="00B21FAC">
        <w:t xml:space="preserve">Vanuit efficiëntie-overwegingen is het economisch verantwoordbaar om het risicovrije rendement minder te belasten. </w:t>
      </w:r>
    </w:p>
    <w:p w14:paraId="36906954" w14:textId="77777777" w:rsidR="003D0326" w:rsidRPr="00B21FAC" w:rsidRDefault="003D0326" w:rsidP="00BA7E3E">
      <w:pPr>
        <w:pStyle w:val="Lijstalinea"/>
        <w:spacing w:after="0"/>
        <w:ind w:left="0"/>
        <w:jc w:val="both"/>
      </w:pPr>
    </w:p>
    <w:p w14:paraId="131C3335" w14:textId="5D258FCF" w:rsidR="00F447D5" w:rsidRPr="00B21FAC" w:rsidRDefault="00F447D5" w:rsidP="00BA7E3E">
      <w:pPr>
        <w:pStyle w:val="Lijstalinea"/>
        <w:spacing w:after="0"/>
        <w:ind w:left="0"/>
        <w:jc w:val="both"/>
      </w:pPr>
      <w:r w:rsidRPr="00B21FAC">
        <w:t xml:space="preserve">De vergoeding voor het risico kan wel en zonder meer belast worden, zonder dat dit de bereidheid tot investeren in risicovolle(re) beleggingen afremt, op voorwaarde althans dat eventuele verliezen (fiscaal) kunnen gecompenseerd worden. De belastingheffing vervult hier zelfs in economische termen de functie van een ‘verzekering’, in die zin dat een negatief inkomen fiscaal in aanmerking wordt genomen. </w:t>
      </w:r>
    </w:p>
    <w:p w14:paraId="050ADF4E" w14:textId="77777777" w:rsidR="003D0326" w:rsidRPr="00B21FAC" w:rsidRDefault="003D0326" w:rsidP="00BA7E3E">
      <w:pPr>
        <w:pStyle w:val="Lijstalinea"/>
        <w:spacing w:after="0"/>
        <w:ind w:left="0"/>
        <w:jc w:val="both"/>
      </w:pPr>
    </w:p>
    <w:p w14:paraId="3BE522E4" w14:textId="447A4050" w:rsidR="00F447D5" w:rsidRPr="00B21FAC" w:rsidRDefault="00F447D5" w:rsidP="00BA7E3E">
      <w:pPr>
        <w:pStyle w:val="Lijstalinea"/>
        <w:spacing w:after="0"/>
        <w:ind w:left="0"/>
        <w:jc w:val="both"/>
      </w:pPr>
      <w:r w:rsidRPr="00B21FAC">
        <w:t>De zuivere economische rente moet idealiter belast worden aan hogere tarieven.</w:t>
      </w:r>
      <w:r w:rsidR="009D269C">
        <w:t xml:space="preserve"> D</w:t>
      </w:r>
      <w:r w:rsidR="00CE089D">
        <w:t xml:space="preserve">eze rente is het deel van de vergoeding die, als ze zou worden weggenomen, geen effect zou ressorteren op het gedrag van </w:t>
      </w:r>
      <w:r w:rsidR="00040DC1">
        <w:t>de economische agent. Aangezien wel</w:t>
      </w:r>
      <w:r w:rsidR="00704352">
        <w:t>vaart</w:t>
      </w:r>
      <w:r w:rsidR="00016198">
        <w:t>s</w:t>
      </w:r>
      <w:r w:rsidR="00704352">
        <w:t>verliezen van belastingen in grote mate samenhangen met gedragsreacties van economische agenten, is het wegbelasten va</w:t>
      </w:r>
      <w:r w:rsidR="00016198">
        <w:t>n</w:t>
      </w:r>
      <w:r w:rsidR="00704352">
        <w:t xml:space="preserve"> deze ‘zuivere economische rente’ </w:t>
      </w:r>
      <w:r w:rsidR="00016198">
        <w:t>bijgevolg een manier om belastingopbrengst te genereren die weinig tot geen welvaartsverlies met zich meebrengt.</w:t>
      </w:r>
    </w:p>
    <w:p w14:paraId="7036B808" w14:textId="77777777" w:rsidR="00A31484" w:rsidRPr="00B21FAC" w:rsidRDefault="00A31484" w:rsidP="00BA7E3E">
      <w:pPr>
        <w:pStyle w:val="Lijstalinea"/>
        <w:spacing w:after="0"/>
        <w:ind w:left="0"/>
        <w:jc w:val="both"/>
      </w:pPr>
    </w:p>
    <w:p w14:paraId="09C1F9D4" w14:textId="191A7826" w:rsidR="00F447D5" w:rsidRPr="00B21FAC" w:rsidRDefault="00F447D5" w:rsidP="00BA7E3E">
      <w:pPr>
        <w:pStyle w:val="Lijstalinea"/>
        <w:spacing w:after="0"/>
        <w:ind w:left="0"/>
        <w:jc w:val="both"/>
      </w:pPr>
      <w:r w:rsidRPr="00B21FAC">
        <w:t xml:space="preserve">De eigenheid van de vermogensinkomsten verklaart meteen ook waarom een aparte behandeling van vermogensinkomsten moet overwogen worden. Het spreekt voor zich dat de overheid onmogelijk voor elke individuele belegging het onderscheid kan maken tussen de genoemde componenten. Dit neemt niet weg dat conceptueel gezien diverse </w:t>
      </w:r>
      <w:r w:rsidR="00B46C75">
        <w:t>heffings</w:t>
      </w:r>
      <w:r w:rsidR="00B46C75" w:rsidRPr="00B21FAC">
        <w:t xml:space="preserve">methoden </w:t>
      </w:r>
      <w:r w:rsidRPr="00B21FAC">
        <w:t xml:space="preserve">kunnen worden aangereikt die met deze eigenheid van de vermogensinkomsten rekening houden (bv. op basis van een RRA – Rate of Return Allowance of risicovrije-rentevrijstelling). Een (administratief eenvoudiger) alternatief is de zogenaamde dual income tax, waarbij uitgegaan wordt van een vast evenredig tarief op het vermogensinkomen. In de economische wetenschappen is er een relatieve consensus dat een verlaagd evenredig tarief op die manier een tegengewicht vormt voor de economische distorsies die zouden optreden door de </w:t>
      </w:r>
      <w:r w:rsidR="00B46C75">
        <w:t>belastingheffing</w:t>
      </w:r>
      <w:r w:rsidRPr="00B21FAC">
        <w:t xml:space="preserve"> van het risicovrije rendement.  </w:t>
      </w:r>
    </w:p>
    <w:p w14:paraId="7199F9A1" w14:textId="77777777" w:rsidR="00F447D5" w:rsidRPr="00B21FAC" w:rsidRDefault="00F447D5" w:rsidP="00BA7E3E">
      <w:pPr>
        <w:pStyle w:val="Lijstalinea"/>
        <w:spacing w:after="0"/>
        <w:ind w:left="0"/>
        <w:jc w:val="both"/>
      </w:pPr>
    </w:p>
    <w:p w14:paraId="3B0A777F" w14:textId="5D51BCA2" w:rsidR="00F447D5" w:rsidRPr="00B21FAC" w:rsidRDefault="00F447D5" w:rsidP="00BA7E3E">
      <w:pPr>
        <w:pStyle w:val="Lijstalinea"/>
        <w:spacing w:after="0"/>
        <w:ind w:left="0"/>
        <w:jc w:val="both"/>
      </w:pPr>
      <w:r w:rsidRPr="00B21FAC">
        <w:t xml:space="preserve">Ook deze keuze is </w:t>
      </w:r>
      <w:r w:rsidR="00640141">
        <w:t xml:space="preserve">binnen de Belgische fiscale context </w:t>
      </w:r>
      <w:r w:rsidRPr="00B21FAC">
        <w:t>minder revolutionair dan ze op het eerste zich</w:t>
      </w:r>
      <w:r w:rsidR="00640141">
        <w:t>t</w:t>
      </w:r>
      <w:r w:rsidRPr="00B21FAC">
        <w:t xml:space="preserve"> zou kunnen lijken. Het is immers zo dat het gros aan vermogensinkomsten (met uitzondering van de onroerende inkomsten) ook op vandaag reeds aan evenredige tarieven word</w:t>
      </w:r>
      <w:r w:rsidR="007C0274">
        <w:t>t</w:t>
      </w:r>
      <w:r w:rsidRPr="00B21FAC">
        <w:t xml:space="preserve"> onderworpen.</w:t>
      </w:r>
    </w:p>
    <w:p w14:paraId="64E009EC" w14:textId="77777777" w:rsidR="00A31484" w:rsidRPr="00B21FAC" w:rsidRDefault="00A31484" w:rsidP="00BA7E3E">
      <w:pPr>
        <w:spacing w:after="0"/>
        <w:jc w:val="both"/>
      </w:pPr>
    </w:p>
    <w:p w14:paraId="6C69769C" w14:textId="77777777" w:rsidR="003D0326" w:rsidRPr="00B21FAC" w:rsidRDefault="003D0326" w:rsidP="00BA7E3E">
      <w:pPr>
        <w:spacing w:after="0"/>
        <w:jc w:val="both"/>
      </w:pPr>
    </w:p>
    <w:p w14:paraId="3E152E58" w14:textId="3B542E91" w:rsidR="00F447D5" w:rsidRPr="00B21FAC" w:rsidRDefault="00F447D5" w:rsidP="00275FEB">
      <w:pPr>
        <w:pStyle w:val="Kop3"/>
        <w:numPr>
          <w:ilvl w:val="0"/>
          <w:numId w:val="42"/>
        </w:numPr>
      </w:pPr>
      <w:bookmarkStart w:id="195" w:name="_Toc107210925"/>
      <w:r w:rsidRPr="00B21FAC">
        <w:t>De introductie van één basistarief, met uitsluitend verantwoordbare afwijkingen</w:t>
      </w:r>
      <w:bookmarkEnd w:id="195"/>
    </w:p>
    <w:p w14:paraId="4D9FB17F" w14:textId="77777777" w:rsidR="00F447D5" w:rsidRPr="00B21FAC" w:rsidRDefault="00F447D5" w:rsidP="00BA7E3E">
      <w:pPr>
        <w:pStyle w:val="Lijstalinea"/>
        <w:spacing w:after="0"/>
        <w:ind w:left="0"/>
        <w:jc w:val="both"/>
      </w:pPr>
    </w:p>
    <w:p w14:paraId="02693294" w14:textId="77777777" w:rsidR="00F447D5" w:rsidRPr="00B21FAC" w:rsidRDefault="00F447D5" w:rsidP="00BA7E3E">
      <w:pPr>
        <w:pStyle w:val="Lijstalinea"/>
        <w:spacing w:after="0"/>
        <w:ind w:left="0"/>
        <w:jc w:val="both"/>
      </w:pPr>
    </w:p>
    <w:p w14:paraId="0B10E6A2" w14:textId="77777777" w:rsidR="006E30EB" w:rsidRDefault="00F447D5">
      <w:pPr>
        <w:spacing w:after="0"/>
        <w:jc w:val="both"/>
      </w:pPr>
      <w:r w:rsidRPr="00B21FAC">
        <w:rPr>
          <w:b/>
          <w:bCs/>
        </w:rPr>
        <w:t>Voorstel –</w:t>
      </w:r>
      <w:r w:rsidRPr="00B21FAC">
        <w:t xml:space="preserve"> Er wordt uitgegaan van één enkel basistarief, met verrekenmogelijkheid, indien van toepassing, van de in het buitenland geheven bronheffing, desgevallend beperkt tot het bij verdrag vastgestelde verminderd tarief. </w:t>
      </w:r>
    </w:p>
    <w:p w14:paraId="52E9C2BE" w14:textId="77777777" w:rsidR="006E30EB" w:rsidRDefault="006E30EB">
      <w:pPr>
        <w:spacing w:after="0"/>
        <w:jc w:val="both"/>
      </w:pPr>
    </w:p>
    <w:p w14:paraId="73BFAD4D" w14:textId="035FB4BA" w:rsidR="007838C1" w:rsidRDefault="00F447D5" w:rsidP="00BA7E3E">
      <w:pPr>
        <w:spacing w:after="0"/>
        <w:jc w:val="both"/>
      </w:pPr>
      <w:r w:rsidRPr="00B21FAC">
        <w:t xml:space="preserve">Eventueel verlaagde tarieven moeten </w:t>
      </w:r>
      <w:r w:rsidR="0052548C">
        <w:t xml:space="preserve">duidelijk </w:t>
      </w:r>
      <w:r w:rsidRPr="00B21FAC">
        <w:t xml:space="preserve">verantwoordbaar zijn en getoetst worden op hun efficiëntie. </w:t>
      </w:r>
    </w:p>
    <w:p w14:paraId="09A4E478" w14:textId="77777777" w:rsidR="00616D1B" w:rsidRDefault="00616D1B" w:rsidP="00BA7E3E">
      <w:pPr>
        <w:spacing w:after="0"/>
        <w:jc w:val="both"/>
      </w:pPr>
    </w:p>
    <w:p w14:paraId="18C5F84A" w14:textId="4DE5775A" w:rsidR="00F447D5" w:rsidRPr="00967A84" w:rsidRDefault="00F447D5" w:rsidP="00BA7E3E">
      <w:pPr>
        <w:spacing w:after="0"/>
        <w:jc w:val="both"/>
      </w:pPr>
      <w:r w:rsidRPr="00B21FAC">
        <w:t xml:space="preserve">De vaststelling van een economische dubbele belasting vormt in ieder geval een valabele reden om </w:t>
      </w:r>
      <w:r w:rsidR="00E3475A">
        <w:t xml:space="preserve">eventueel </w:t>
      </w:r>
      <w:r w:rsidRPr="00B21FAC">
        <w:t xml:space="preserve">verlaagde tarieven te voorzien voor dividenden en meerwaarden op aandelen. Dit laatste moet dan wel </w:t>
      </w:r>
      <w:r w:rsidR="0083668C">
        <w:t xml:space="preserve">noodgedwongen </w:t>
      </w:r>
      <w:r w:rsidRPr="00B21FAC">
        <w:t xml:space="preserve">gepaard gaan met aangescherpte maatregelen tegen fiscaal </w:t>
      </w:r>
      <w:r w:rsidRPr="00967A84">
        <w:t>geïnspireerde vervennootschappelijking.</w:t>
      </w:r>
    </w:p>
    <w:p w14:paraId="47CFA04D" w14:textId="5A462048" w:rsidR="00EF72BC" w:rsidRDefault="00E3475A" w:rsidP="00BA7E3E">
      <w:pPr>
        <w:spacing w:after="0"/>
        <w:jc w:val="both"/>
      </w:pPr>
      <w:r w:rsidRPr="00967A84">
        <w:t>Voor zover dit niet kan gegarandeerd worden</w:t>
      </w:r>
      <w:r w:rsidR="00A155E2" w:rsidRPr="00BA7E3E">
        <w:t>,</w:t>
      </w:r>
      <w:r w:rsidRPr="00967A84">
        <w:t xml:space="preserve"> is het aangewezen om ook t.a.v. dividenden en meerwaarden het basistarief te voorzien, in voorkomend geval wel gepaard gaande met maatregelen die </w:t>
      </w:r>
      <w:r w:rsidR="003529AA" w:rsidRPr="00967A84">
        <w:t xml:space="preserve">op het niveau van de vennootschap </w:t>
      </w:r>
      <w:r w:rsidR="00521AA3" w:rsidRPr="00967A84">
        <w:t>de belastingdruk temperen.</w:t>
      </w:r>
    </w:p>
    <w:p w14:paraId="1AC7EC4B" w14:textId="5F3A290F" w:rsidR="00EF72BC" w:rsidRDefault="00EF72BC" w:rsidP="00BA7E3E">
      <w:pPr>
        <w:spacing w:after="0"/>
        <w:jc w:val="both"/>
      </w:pPr>
    </w:p>
    <w:p w14:paraId="55460D80" w14:textId="6475D025" w:rsidR="00FF0015" w:rsidRDefault="00FF0015" w:rsidP="00BA7E3E">
      <w:pPr>
        <w:spacing w:after="0"/>
        <w:jc w:val="both"/>
      </w:pPr>
      <w:r>
        <w:t xml:space="preserve">Daarnaast moet rekening worden gehouden met het </w:t>
      </w:r>
      <w:r w:rsidR="001F20BA">
        <w:t>(eventueel voort)bestaan van bezits- en transactiebelastingen</w:t>
      </w:r>
      <w:r w:rsidR="00691064">
        <w:t>, op diverse overheidsniveaus</w:t>
      </w:r>
      <w:r w:rsidR="00887819">
        <w:t>.</w:t>
      </w:r>
    </w:p>
    <w:p w14:paraId="159CF73F" w14:textId="77777777" w:rsidR="00FF0015" w:rsidRPr="00B21FAC" w:rsidRDefault="00FF0015" w:rsidP="00BA7E3E">
      <w:pPr>
        <w:spacing w:after="0"/>
        <w:jc w:val="both"/>
      </w:pPr>
    </w:p>
    <w:p w14:paraId="1D4B9739" w14:textId="77777777" w:rsidR="00F447D5" w:rsidRPr="00B21FAC" w:rsidRDefault="00F447D5" w:rsidP="00BA7E3E">
      <w:pPr>
        <w:spacing w:after="0"/>
        <w:jc w:val="both"/>
      </w:pPr>
      <w:r w:rsidRPr="00B21FAC">
        <w:t>Bij wijze van werkhypothese (en onder voorbehoud van nadere analyse, o.m. op budgettair vlak) kan een volgende standaardtariefstructuur overwogen worden:</w:t>
      </w:r>
    </w:p>
    <w:p w14:paraId="77F518E1" w14:textId="7455590D" w:rsidR="00F447D5" w:rsidRPr="00B21FAC" w:rsidRDefault="00D0411D" w:rsidP="00BA7E3E">
      <w:pPr>
        <w:pStyle w:val="Lijstalinea"/>
        <w:numPr>
          <w:ilvl w:val="1"/>
          <w:numId w:val="45"/>
        </w:numPr>
        <w:spacing w:after="0"/>
        <w:ind w:left="709"/>
        <w:jc w:val="both"/>
      </w:pPr>
      <w:r>
        <w:t>b</w:t>
      </w:r>
      <w:r w:rsidR="00F447D5" w:rsidRPr="00B21FAC">
        <w:t xml:space="preserve">asistarief: </w:t>
      </w:r>
      <w:r w:rsidR="00B52460">
        <w:t xml:space="preserve">(bv.) </w:t>
      </w:r>
      <w:r w:rsidR="00F447D5" w:rsidRPr="00B21FAC">
        <w:t>30 % (maximaal), met behoud van de verrekenmogelijkheid van de in het buitenland geheven bronheffing</w:t>
      </w:r>
      <w:r w:rsidR="00FB4A70">
        <w:t>;</w:t>
      </w:r>
    </w:p>
    <w:p w14:paraId="6796608E" w14:textId="3902A4DC" w:rsidR="00521AA3" w:rsidRDefault="00D0411D" w:rsidP="00BA7E3E">
      <w:pPr>
        <w:pStyle w:val="Lijstalinea"/>
        <w:numPr>
          <w:ilvl w:val="1"/>
          <w:numId w:val="45"/>
        </w:numPr>
        <w:spacing w:after="0"/>
        <w:ind w:left="709"/>
        <w:jc w:val="both"/>
      </w:pPr>
      <w:r>
        <w:t>t</w:t>
      </w:r>
      <w:r w:rsidR="00521AA3">
        <w:t>.a.v. dividenden en meerwaarden op aandelen:</w:t>
      </w:r>
    </w:p>
    <w:p w14:paraId="10C87244" w14:textId="44CAF56F" w:rsidR="00F447D5" w:rsidRDefault="00D0411D" w:rsidP="00BA7E3E">
      <w:pPr>
        <w:pStyle w:val="Lijstalinea"/>
        <w:numPr>
          <w:ilvl w:val="2"/>
          <w:numId w:val="45"/>
        </w:numPr>
        <w:spacing w:after="0"/>
        <w:jc w:val="both"/>
      </w:pPr>
      <w:r>
        <w:t>o</w:t>
      </w:r>
      <w:r w:rsidR="00521AA3">
        <w:t xml:space="preserve">ptie 1: </w:t>
      </w:r>
      <w:r>
        <w:t>v</w:t>
      </w:r>
      <w:r w:rsidR="00F447D5" w:rsidRPr="00B21FAC">
        <w:t xml:space="preserve">erlaagd tarief van </w:t>
      </w:r>
      <w:r w:rsidR="006B2006">
        <w:t xml:space="preserve">(bv.) </w:t>
      </w:r>
      <w:r w:rsidR="00F447D5" w:rsidRPr="00B21FAC">
        <w:t>15 % (met behoud van de verrekenmogelijkheid van de in het buitenland geheven bronheffing)</w:t>
      </w:r>
      <w:r w:rsidR="00831171">
        <w:t xml:space="preserve">, mits </w:t>
      </w:r>
      <w:r w:rsidR="005B5321">
        <w:t xml:space="preserve">dit gepaard gaat met doeltreffende maatregelen die een oneigenlijke conversie van activiteitsinkomsten in vermogensinkomsten </w:t>
      </w:r>
      <w:r w:rsidR="00897B25">
        <w:t>vermijden</w:t>
      </w:r>
      <w:r w:rsidR="00521AA3">
        <w:t>;</w:t>
      </w:r>
    </w:p>
    <w:p w14:paraId="531C4B0A" w14:textId="1A8B6CCC" w:rsidR="00521AA3" w:rsidRDefault="00D0411D" w:rsidP="00BA7E3E">
      <w:pPr>
        <w:pStyle w:val="Lijstalinea"/>
        <w:numPr>
          <w:ilvl w:val="2"/>
          <w:numId w:val="45"/>
        </w:numPr>
        <w:spacing w:after="0"/>
        <w:jc w:val="both"/>
      </w:pPr>
      <w:r>
        <w:t>o</w:t>
      </w:r>
      <w:r w:rsidR="00521AA3" w:rsidRPr="007031FC">
        <w:t>ptie 2</w:t>
      </w:r>
      <w:r w:rsidR="009A3E8B" w:rsidRPr="007031FC">
        <w:t xml:space="preserve">: basistarief </w:t>
      </w:r>
      <w:r w:rsidR="00C029A8">
        <w:t>(</w:t>
      </w:r>
      <w:r w:rsidR="00E16424" w:rsidRPr="007031FC">
        <w:t>van (maximaal) 30%</w:t>
      </w:r>
      <w:r w:rsidR="00C029A8">
        <w:t>)</w:t>
      </w:r>
      <w:r w:rsidR="00E16424" w:rsidRPr="007031FC">
        <w:t xml:space="preserve"> </w:t>
      </w:r>
      <w:r w:rsidR="00A155E2" w:rsidRPr="007031FC">
        <w:t xml:space="preserve">gecombineerd met </w:t>
      </w:r>
      <w:r w:rsidR="00314D3E" w:rsidRPr="007031FC">
        <w:t xml:space="preserve">doelgerichte maatregelen </w:t>
      </w:r>
      <w:r w:rsidR="00580932" w:rsidRPr="007031FC">
        <w:t xml:space="preserve">op grond waarvan </w:t>
      </w:r>
      <w:r w:rsidR="00906673" w:rsidRPr="00BA7E3E">
        <w:t xml:space="preserve">de </w:t>
      </w:r>
      <w:r w:rsidR="00534DDD" w:rsidRPr="007031FC">
        <w:t xml:space="preserve">belastingdruk getemperd wordt in hoofde van </w:t>
      </w:r>
      <w:r w:rsidR="00580932" w:rsidRPr="007031FC">
        <w:t>vennootschappen</w:t>
      </w:r>
      <w:r w:rsidR="00D55C19">
        <w:t>, en dit op grond van objectieve criteria, zoals de omvang van het eigen vermogen, de verrichte investeringen, de tewerkstelling,…</w:t>
      </w:r>
    </w:p>
    <w:p w14:paraId="542542F2" w14:textId="3747D3C3" w:rsidR="00DA02F3" w:rsidRDefault="00B83686" w:rsidP="00D0411D">
      <w:pPr>
        <w:pStyle w:val="Lijstalinea"/>
        <w:numPr>
          <w:ilvl w:val="1"/>
          <w:numId w:val="45"/>
        </w:numPr>
        <w:spacing w:after="0"/>
        <w:ind w:left="709"/>
        <w:jc w:val="both"/>
      </w:pPr>
      <w:r>
        <w:t xml:space="preserve">het bestaan van andere </w:t>
      </w:r>
      <w:r w:rsidR="00DA02F3">
        <w:t>belastingen op het bezit van vermogen of op vermogenstransa</w:t>
      </w:r>
      <w:r w:rsidR="004E66E4">
        <w:t>cties</w:t>
      </w:r>
      <w:r w:rsidR="00206EFE">
        <w:t>, voor zover deze behouden zouden blijven,</w:t>
      </w:r>
      <w:r w:rsidR="004E66E4">
        <w:t xml:space="preserve"> </w:t>
      </w:r>
      <w:r w:rsidR="000F49EC">
        <w:t>kan een verantwoording vormen voor een verlaagd tarief</w:t>
      </w:r>
      <w:r w:rsidR="00FB4A70">
        <w:t>.</w:t>
      </w:r>
    </w:p>
    <w:p w14:paraId="19526161" w14:textId="77777777" w:rsidR="00DA02F3" w:rsidRPr="00B21FAC" w:rsidRDefault="00DA02F3" w:rsidP="00BA7E3E">
      <w:pPr>
        <w:pStyle w:val="Lijstalinea"/>
        <w:spacing w:after="0"/>
        <w:ind w:left="0"/>
        <w:jc w:val="both"/>
      </w:pPr>
    </w:p>
    <w:p w14:paraId="5D7731C9" w14:textId="77777777" w:rsidR="00F447D5" w:rsidRPr="00B21FAC" w:rsidRDefault="00F447D5" w:rsidP="00BA7E3E">
      <w:pPr>
        <w:pStyle w:val="Lijstalinea"/>
        <w:spacing w:after="0"/>
        <w:ind w:left="0"/>
        <w:jc w:val="both"/>
        <w:rPr>
          <w:u w:val="single"/>
        </w:rPr>
      </w:pPr>
      <w:r w:rsidRPr="00B21FAC">
        <w:rPr>
          <w:u w:val="single"/>
        </w:rPr>
        <w:t>Toelichting:</w:t>
      </w:r>
    </w:p>
    <w:p w14:paraId="40BDDAD7" w14:textId="77777777" w:rsidR="00F447D5" w:rsidRPr="00B21FAC" w:rsidRDefault="00F447D5" w:rsidP="00BA7E3E">
      <w:pPr>
        <w:pStyle w:val="Lijstalinea"/>
        <w:spacing w:after="0"/>
        <w:ind w:left="0"/>
        <w:jc w:val="both"/>
      </w:pPr>
    </w:p>
    <w:p w14:paraId="4E813662" w14:textId="77777777" w:rsidR="00F447D5" w:rsidRPr="00B21FAC" w:rsidRDefault="00F447D5" w:rsidP="00BA7E3E">
      <w:pPr>
        <w:pStyle w:val="Lijstalinea"/>
        <w:spacing w:after="0"/>
        <w:ind w:left="0"/>
        <w:jc w:val="both"/>
      </w:pPr>
      <w:r w:rsidRPr="00B21FAC">
        <w:t>De vraag rijst welk tarief gehanteerd moet worden en of er in voorkomend geval ruimte bestaat voor een differentiatie van tarieven.</w:t>
      </w:r>
    </w:p>
    <w:p w14:paraId="4E1023FE" w14:textId="77777777" w:rsidR="00F447D5" w:rsidRPr="00B21FAC" w:rsidRDefault="00F447D5" w:rsidP="00BA7E3E">
      <w:pPr>
        <w:pStyle w:val="Lijstalinea"/>
        <w:spacing w:after="0"/>
        <w:ind w:left="0"/>
        <w:jc w:val="both"/>
      </w:pPr>
    </w:p>
    <w:p w14:paraId="5C41B1AC" w14:textId="7CB94CDA" w:rsidR="00F447D5" w:rsidRPr="00B21FAC" w:rsidRDefault="00F447D5" w:rsidP="00BA7E3E">
      <w:pPr>
        <w:spacing w:after="0"/>
        <w:jc w:val="both"/>
      </w:pPr>
      <w:r w:rsidRPr="00B21FAC">
        <w:t xml:space="preserve">Rekening houdend met het uitgangspunt dat de herziening van de vermogensfiscaliteit ten dele de verlaging van de lasten op arbeid moet compenseren, wordt voorgesteld om het (basis)tarief te kiezen in functie van de benodigde budgettaire massa, hierbij rekening houdend met de hoger genoemde economische inzichten. </w:t>
      </w:r>
    </w:p>
    <w:p w14:paraId="6BC64320" w14:textId="77777777" w:rsidR="00820425" w:rsidRPr="00B21FAC" w:rsidRDefault="00820425" w:rsidP="00BA7E3E">
      <w:pPr>
        <w:spacing w:after="0"/>
        <w:jc w:val="both"/>
      </w:pPr>
    </w:p>
    <w:p w14:paraId="5F49EAA0" w14:textId="73ACD094" w:rsidR="00F447D5" w:rsidRPr="00B21FAC" w:rsidRDefault="00F447D5" w:rsidP="00BA7E3E">
      <w:pPr>
        <w:spacing w:after="0"/>
        <w:jc w:val="both"/>
      </w:pPr>
      <w:r w:rsidRPr="00B21FAC">
        <w:t xml:space="preserve">Er wordt aanbevolen om het huidige hoogste tarief op roerende inkomsten van 30% </w:t>
      </w:r>
      <w:r w:rsidR="00EF52ED" w:rsidRPr="00B21FAC">
        <w:t xml:space="preserve">in geen geval </w:t>
      </w:r>
      <w:r w:rsidRPr="00B21FAC">
        <w:t xml:space="preserve">te overschrijden. </w:t>
      </w:r>
    </w:p>
    <w:p w14:paraId="0EBDB93D" w14:textId="77777777" w:rsidR="00820425" w:rsidRPr="00B21FAC" w:rsidRDefault="00820425" w:rsidP="00BA7E3E">
      <w:pPr>
        <w:spacing w:after="0"/>
        <w:jc w:val="both"/>
      </w:pPr>
    </w:p>
    <w:p w14:paraId="31BADF7B" w14:textId="77777777" w:rsidR="00F447D5" w:rsidRPr="00B21FAC" w:rsidRDefault="00F447D5" w:rsidP="00BA7E3E">
      <w:pPr>
        <w:spacing w:after="0"/>
        <w:jc w:val="both"/>
      </w:pPr>
      <w:r w:rsidRPr="00B21FAC">
        <w:t xml:space="preserve">Een dergelijk tarief van 30% kan bezwaarlijk als een ‘gunsttarief’ worden aangemerkt. De HRF berekende alvast dat een belasting tegen 25% van de nominale vermogensopbrengst, op middellange en lange termijn, vrij nauw aansluit bij een belasting van de reële opbrengst tegen 50% (zie advies 2014, p. 109). </w:t>
      </w:r>
    </w:p>
    <w:p w14:paraId="691C45FA" w14:textId="3DEAACDE" w:rsidR="00F447D5" w:rsidRPr="00B21FAC" w:rsidRDefault="00F447D5" w:rsidP="00BA7E3E">
      <w:pPr>
        <w:spacing w:after="0"/>
        <w:jc w:val="both"/>
      </w:pPr>
    </w:p>
    <w:p w14:paraId="6EF6A397" w14:textId="3181BAF4" w:rsidR="00BC016A" w:rsidRPr="00B21FAC" w:rsidRDefault="00BC016A" w:rsidP="00BA7E3E">
      <w:pPr>
        <w:spacing w:after="0"/>
        <w:jc w:val="both"/>
        <w:rPr>
          <w:u w:val="single"/>
        </w:rPr>
      </w:pPr>
      <w:r w:rsidRPr="00B21FAC">
        <w:rPr>
          <w:u w:val="single"/>
        </w:rPr>
        <w:t>Enkele aandachtspunten / bemerkingen:</w:t>
      </w:r>
    </w:p>
    <w:p w14:paraId="1031D3D3" w14:textId="77777777" w:rsidR="00BC016A" w:rsidRPr="00B21FAC" w:rsidRDefault="00BC016A" w:rsidP="00BA7E3E">
      <w:pPr>
        <w:spacing w:after="0"/>
        <w:jc w:val="both"/>
      </w:pPr>
    </w:p>
    <w:p w14:paraId="7CB56EEB" w14:textId="345E8ABB" w:rsidR="00F447D5" w:rsidRPr="00B21FAC" w:rsidRDefault="00F447D5" w:rsidP="00BA7E3E">
      <w:pPr>
        <w:pStyle w:val="Lijstalinea"/>
        <w:numPr>
          <w:ilvl w:val="0"/>
          <w:numId w:val="15"/>
        </w:numPr>
        <w:spacing w:after="0"/>
        <w:jc w:val="both"/>
      </w:pPr>
      <w:r w:rsidRPr="00B21FAC">
        <w:t xml:space="preserve">Het effectieve reële </w:t>
      </w:r>
      <w:r w:rsidR="00B46C75">
        <w:t>heffings</w:t>
      </w:r>
      <w:r w:rsidR="00B46C75" w:rsidRPr="00B21FAC">
        <w:t xml:space="preserve">niveau </w:t>
      </w:r>
      <w:r w:rsidRPr="00B21FAC">
        <w:t xml:space="preserve">zal uiteraard sterk afhankelijk zijn van het rendement dat behaald wordt op een investering. Stel bv. een inflatieniveau van 2%, en een </w:t>
      </w:r>
      <w:r w:rsidR="00B46C75">
        <w:t>belastingheffing</w:t>
      </w:r>
      <w:r w:rsidRPr="00B21FAC">
        <w:t xml:space="preserve"> van 30% op het nominaal inkomen. Een </w:t>
      </w:r>
      <w:r w:rsidR="00D0468A">
        <w:t>persoon</w:t>
      </w:r>
      <w:r w:rsidR="00D0468A" w:rsidRPr="00B21FAC">
        <w:t xml:space="preserve"> </w:t>
      </w:r>
      <w:r w:rsidRPr="00B21FAC">
        <w:t xml:space="preserve">die op zijn belegging een nominaal rendement realiseert van 3%, ondergaat op die manier een reële </w:t>
      </w:r>
      <w:r w:rsidR="00B46C75">
        <w:t>belastingheffing</w:t>
      </w:r>
      <w:r w:rsidRPr="00B21FAC">
        <w:t xml:space="preserve"> van 90% </w:t>
      </w:r>
      <w:r w:rsidR="00DD326A">
        <w:t>[</w:t>
      </w:r>
      <w:r w:rsidRPr="00B21FAC">
        <w:t xml:space="preserve">(30% * </w:t>
      </w:r>
      <w:r w:rsidR="00247CFA">
        <w:t>3%</w:t>
      </w:r>
      <w:r w:rsidR="00DD326A">
        <w:t xml:space="preserve">) </w:t>
      </w:r>
      <w:r w:rsidR="00247CFA">
        <w:t>/</w:t>
      </w:r>
      <w:r w:rsidRPr="00B21FAC">
        <w:t>(3%-2%)</w:t>
      </w:r>
      <w:r w:rsidR="00DD326A">
        <w:t>]</w:t>
      </w:r>
      <w:r w:rsidRPr="00B21FAC">
        <w:t xml:space="preserve">. Een individu met een nominaal rendement van 10% ondergaat een reële </w:t>
      </w:r>
      <w:r w:rsidR="00B46C75">
        <w:t>belastingheffing</w:t>
      </w:r>
      <w:r w:rsidRPr="00B21FAC">
        <w:t xml:space="preserve"> van 37,5% </w:t>
      </w:r>
      <w:r w:rsidR="00DD326A">
        <w:t>[</w:t>
      </w:r>
      <w:r w:rsidRPr="00B21FAC">
        <w:t>(30% * 10%</w:t>
      </w:r>
      <w:r w:rsidR="00DD326A">
        <w:t>)</w:t>
      </w:r>
      <w:r w:rsidRPr="00B21FAC">
        <w:t xml:space="preserve"> </w:t>
      </w:r>
      <w:r w:rsidR="00DD326A">
        <w:t xml:space="preserve">/ </w:t>
      </w:r>
      <w:r w:rsidRPr="00B21FAC">
        <w:t>(10%-2%)</w:t>
      </w:r>
      <w:r w:rsidR="00DD326A">
        <w:t>]</w:t>
      </w:r>
      <w:r w:rsidRPr="00B21FAC">
        <w:t>.</w:t>
      </w:r>
    </w:p>
    <w:p w14:paraId="576D2B2D" w14:textId="1F28CCDF" w:rsidR="004C6FC5" w:rsidRDefault="004C6FC5">
      <w:r>
        <w:br w:type="page"/>
      </w:r>
    </w:p>
    <w:p w14:paraId="121E364A" w14:textId="77777777" w:rsidR="00F447D5" w:rsidRPr="00B21FAC" w:rsidRDefault="00F447D5" w:rsidP="00BA7E3E">
      <w:pPr>
        <w:pStyle w:val="Lijstalinea"/>
        <w:spacing w:after="0"/>
        <w:ind w:left="709"/>
        <w:jc w:val="both"/>
      </w:pPr>
      <w:r w:rsidRPr="00B21FAC">
        <w:t>Ook uit een vergelijking met de ons omringende landen, blijkt dat het tarief van 30% eerder aan de hoge kant ligt, doch niet als excessief afwijkend kan worden bestempeld. In de ons omringende landen worden met name de volgende tarieven gehanteerd t.a.v. de vermogensinkomsten:</w:t>
      </w:r>
    </w:p>
    <w:p w14:paraId="16A9ACF9" w14:textId="260A5640" w:rsidR="00820425" w:rsidRPr="00B21FAC" w:rsidRDefault="00F447D5" w:rsidP="00BA7E3E">
      <w:pPr>
        <w:pStyle w:val="Lijstalinea"/>
        <w:numPr>
          <w:ilvl w:val="1"/>
          <w:numId w:val="15"/>
        </w:numPr>
        <w:spacing w:after="0"/>
        <w:jc w:val="both"/>
      </w:pPr>
      <w:r w:rsidRPr="00B21FAC">
        <w:t>Duitsland: 26.375%, maar meerwaarden doorgaans onderworpen aan de progressieve tarieven</w:t>
      </w:r>
      <w:r w:rsidR="00820425" w:rsidRPr="00B21FAC">
        <w:t>;</w:t>
      </w:r>
    </w:p>
    <w:p w14:paraId="730F1E4D" w14:textId="29FCFACE" w:rsidR="00820425" w:rsidRPr="00B21FAC" w:rsidRDefault="00F447D5" w:rsidP="00BA7E3E">
      <w:pPr>
        <w:pStyle w:val="Lijstalinea"/>
        <w:numPr>
          <w:ilvl w:val="1"/>
          <w:numId w:val="15"/>
        </w:numPr>
        <w:spacing w:after="0"/>
        <w:jc w:val="both"/>
      </w:pPr>
      <w:r w:rsidRPr="00B21FAC">
        <w:t>Frankrijk</w:t>
      </w:r>
      <w:r w:rsidRPr="00B21FAC">
        <w:rPr>
          <w:rStyle w:val="Voetnootmarkering"/>
        </w:rPr>
        <w:footnoteReference w:id="6"/>
      </w:r>
      <w:r w:rsidRPr="00B21FAC">
        <w:t xml:space="preserve">: </w:t>
      </w:r>
      <w:r w:rsidR="007F320C">
        <w:t xml:space="preserve">hier geldt het stelsel van de progressieve </w:t>
      </w:r>
      <w:r w:rsidR="00B46C75">
        <w:t>belastingheffing</w:t>
      </w:r>
      <w:r w:rsidR="007F320C">
        <w:t xml:space="preserve">, </w:t>
      </w:r>
      <w:r w:rsidR="00BD3E9B">
        <w:t xml:space="preserve">waarbij wel een aantal inkomsten aan een bevrijdende voorheffing worden onderworpen, zoals </w:t>
      </w:r>
      <w:r w:rsidRPr="00B21FAC">
        <w:t>meerwaarden op onroerende goederen</w:t>
      </w:r>
      <w:r w:rsidR="00BD3E9B">
        <w:t xml:space="preserve"> (36,2%)</w:t>
      </w:r>
      <w:r w:rsidRPr="00B21FAC">
        <w:t>, dividenden, interest en meerwaarden op aandelen</w:t>
      </w:r>
      <w:r w:rsidR="00BD3E9B">
        <w:t xml:space="preserve"> (30%) en royalties</w:t>
      </w:r>
      <w:r w:rsidRPr="00B21FAC">
        <w:t xml:space="preserve"> </w:t>
      </w:r>
      <w:r w:rsidR="00BD3E9B">
        <w:t>(</w:t>
      </w:r>
      <w:r w:rsidRPr="00B21FAC">
        <w:t>27,2%</w:t>
      </w:r>
      <w:r w:rsidR="00BD3E9B">
        <w:t xml:space="preserve">); </w:t>
      </w:r>
    </w:p>
    <w:p w14:paraId="6DB8A92B" w14:textId="10F9107A" w:rsidR="00820425" w:rsidRPr="00B21FAC" w:rsidRDefault="00F447D5" w:rsidP="00BA7E3E">
      <w:pPr>
        <w:pStyle w:val="Lijstalinea"/>
        <w:numPr>
          <w:ilvl w:val="1"/>
          <w:numId w:val="15"/>
        </w:numPr>
        <w:spacing w:after="0"/>
        <w:jc w:val="both"/>
      </w:pPr>
      <w:r w:rsidRPr="00B21FAC">
        <w:t>Nederland: 3</w:t>
      </w:r>
      <w:r w:rsidR="00F00DD2">
        <w:t>1</w:t>
      </w:r>
      <w:r w:rsidRPr="00B21FAC">
        <w:t>%</w:t>
      </w:r>
      <w:r w:rsidR="00213AF8">
        <w:t>;</w:t>
      </w:r>
    </w:p>
    <w:p w14:paraId="21B12991" w14:textId="692E86A0" w:rsidR="00F447D5" w:rsidRPr="00B21FAC" w:rsidRDefault="00F447D5" w:rsidP="00BA7E3E">
      <w:pPr>
        <w:pStyle w:val="Lijstalinea"/>
        <w:numPr>
          <w:ilvl w:val="1"/>
          <w:numId w:val="15"/>
        </w:numPr>
        <w:spacing w:after="0"/>
        <w:jc w:val="both"/>
      </w:pPr>
      <w:r w:rsidRPr="00B21FAC">
        <w:t xml:space="preserve">Luxemburg: progressieve </w:t>
      </w:r>
      <w:r w:rsidR="00B46C75">
        <w:t>belastingheffing</w:t>
      </w:r>
      <w:r w:rsidR="00213AF8">
        <w:t>.</w:t>
      </w:r>
    </w:p>
    <w:p w14:paraId="24946A15" w14:textId="77777777" w:rsidR="00F447D5" w:rsidRPr="00B21FAC" w:rsidRDefault="00F447D5" w:rsidP="00BA7E3E">
      <w:pPr>
        <w:spacing w:after="0"/>
        <w:ind w:left="709"/>
        <w:jc w:val="both"/>
      </w:pPr>
    </w:p>
    <w:p w14:paraId="6CB66944" w14:textId="5B823F47" w:rsidR="00F447D5" w:rsidRPr="00B21FAC" w:rsidRDefault="00112819" w:rsidP="00BA7E3E">
      <w:pPr>
        <w:spacing w:after="0"/>
        <w:ind w:left="709"/>
        <w:jc w:val="both"/>
      </w:pPr>
      <w:r>
        <w:t>I</w:t>
      </w:r>
      <w:r w:rsidR="00F447D5" w:rsidRPr="00B21FAC">
        <w:t xml:space="preserve">ndien een dergelijk tarief wordt gehanteerd, lijkt het aangewezen een veralgemeende voetvrijstelling in te voeren (zie ook hierna). </w:t>
      </w:r>
    </w:p>
    <w:p w14:paraId="2CF1340A" w14:textId="77777777" w:rsidR="00F447D5" w:rsidRPr="00B21FAC" w:rsidRDefault="00F447D5" w:rsidP="00BA7E3E">
      <w:pPr>
        <w:spacing w:after="0"/>
        <w:ind w:left="709"/>
        <w:jc w:val="both"/>
      </w:pPr>
      <w:bookmarkStart w:id="196" w:name="_Hlk94091005"/>
    </w:p>
    <w:p w14:paraId="3C66317C" w14:textId="77777777" w:rsidR="00F447D5" w:rsidRPr="00B21FAC" w:rsidRDefault="00F447D5" w:rsidP="00BA7E3E">
      <w:pPr>
        <w:pStyle w:val="Lijstalinea"/>
        <w:numPr>
          <w:ilvl w:val="0"/>
          <w:numId w:val="15"/>
        </w:numPr>
        <w:spacing w:after="0"/>
        <w:jc w:val="both"/>
      </w:pPr>
      <w:r w:rsidRPr="00B21FAC">
        <w:t xml:space="preserve">De vraag of er ruimte bestaat om het voorgestelde basistarief verder te gaan differentiëren lijkt op het eerste gezicht negatief te moeten worden beantwoord. Dit ligt in het verlengde van de gewenste neutraliteit in de heffing. </w:t>
      </w:r>
    </w:p>
    <w:p w14:paraId="6702F1EE" w14:textId="77777777" w:rsidR="00A80318" w:rsidRPr="00B21FAC" w:rsidRDefault="00A80318" w:rsidP="00BA7E3E">
      <w:pPr>
        <w:spacing w:after="0"/>
        <w:ind w:left="709"/>
        <w:jc w:val="both"/>
      </w:pPr>
    </w:p>
    <w:bookmarkEnd w:id="196"/>
    <w:p w14:paraId="0BC1F760" w14:textId="633D8655" w:rsidR="00F447D5" w:rsidRPr="00B21FAC" w:rsidRDefault="00F447D5" w:rsidP="00BA7E3E">
      <w:pPr>
        <w:spacing w:after="0"/>
        <w:ind w:left="709"/>
        <w:jc w:val="both"/>
      </w:pPr>
      <w:r w:rsidRPr="00B21FAC">
        <w:t xml:space="preserve">Dit algemene uitgangspunt moet niettemin </w:t>
      </w:r>
      <w:r w:rsidR="00D61587">
        <w:t xml:space="preserve">en in ieder geval </w:t>
      </w:r>
      <w:r w:rsidRPr="00B21FAC">
        <w:t>worden genuanceerd t.a.v. dividenden en meerwaarden op aandelen.</w:t>
      </w:r>
    </w:p>
    <w:p w14:paraId="2B3BD686" w14:textId="77777777" w:rsidR="00F447D5" w:rsidRPr="00B21FAC" w:rsidRDefault="00F447D5" w:rsidP="00BA7E3E">
      <w:pPr>
        <w:spacing w:after="0"/>
        <w:ind w:left="709"/>
        <w:jc w:val="both"/>
      </w:pPr>
    </w:p>
    <w:p w14:paraId="31A19272" w14:textId="6D1E09CB" w:rsidR="00F447D5" w:rsidRPr="00B21FAC" w:rsidRDefault="00F447D5" w:rsidP="00BA7E3E">
      <w:pPr>
        <w:pStyle w:val="Lijstalinea"/>
        <w:spacing w:after="0"/>
        <w:ind w:left="709"/>
        <w:jc w:val="both"/>
      </w:pPr>
      <w:r w:rsidRPr="00B21FAC">
        <w:t xml:space="preserve">In voorkomend geval dreigt een reëel risico van (economische) dubbele belasting. Zo </w:t>
      </w:r>
      <w:r w:rsidR="00EA3BA9">
        <w:t xml:space="preserve">zullen </w:t>
      </w:r>
      <w:r w:rsidRPr="00B21FAC">
        <w:t>in de Belgische context opeenvolgende heffing</w:t>
      </w:r>
      <w:r w:rsidR="00EA3BA9">
        <w:t>en</w:t>
      </w:r>
      <w:r w:rsidRPr="00B21FAC">
        <w:t xml:space="preserve"> van 25% vennootschapsbelasting en 30% RV leiden tot een gecumuleerde nominale belastingdruk van 47,5%. Teneinde de gecumuleerde belastingdruk te laten zakken tot 30% (om op die manier de ‘neutraliteit’ te bewerkstelligen t.o.v. andere vermogensinkomsten), zou (theoretisch gezien) slechts een RV verantwoordbaar zijn van 6,67%. Voor zover rekening wordt gehouden met het verlaagde tarief in de vennootschapsbelasting van 20%, zou de RV weliswaar wat hoger kunnen liggen, met name op 12,5 %. </w:t>
      </w:r>
    </w:p>
    <w:p w14:paraId="1E7BE8FF" w14:textId="77777777" w:rsidR="00F447D5" w:rsidRPr="00B21FAC" w:rsidRDefault="00F447D5" w:rsidP="00BA7E3E">
      <w:pPr>
        <w:pStyle w:val="Lijstalinea"/>
        <w:spacing w:after="0"/>
        <w:ind w:left="709"/>
        <w:jc w:val="both"/>
      </w:pPr>
    </w:p>
    <w:p w14:paraId="12A6405A" w14:textId="77777777" w:rsidR="00F447D5" w:rsidRPr="00B21FAC" w:rsidRDefault="00F447D5" w:rsidP="00BA7E3E">
      <w:pPr>
        <w:pStyle w:val="Lijstalinea"/>
        <w:spacing w:after="0"/>
        <w:ind w:left="709"/>
        <w:jc w:val="both"/>
      </w:pPr>
      <w:r w:rsidRPr="00B21FAC">
        <w:t xml:space="preserve">Het verlaagd tarief vindt dus een verantwoording in de gecumuleerde belastingdruk hoger in de keten. In essentie komt het er dan ook op neer dat het tarief voor meerwaarden op aandelen en dividenden, in het licht van de volstrekte neutraliteit, zou moeten fluctueren tussen 0 en 30%, in functie van de reeds geheven vennootschapsbelasting, onverminderd de mogelijkheid tot verrekening van de (buitenlandse) bronheffing. </w:t>
      </w:r>
    </w:p>
    <w:p w14:paraId="0EFF7BA3" w14:textId="77777777" w:rsidR="00F447D5" w:rsidRPr="00B21FAC" w:rsidRDefault="00F447D5" w:rsidP="00BA7E3E">
      <w:pPr>
        <w:pStyle w:val="Lijstalinea"/>
        <w:spacing w:after="0"/>
        <w:ind w:left="709"/>
        <w:jc w:val="both"/>
      </w:pPr>
    </w:p>
    <w:p w14:paraId="7A36E5DE" w14:textId="77777777" w:rsidR="00F447D5" w:rsidRPr="00B21FAC" w:rsidRDefault="00F447D5" w:rsidP="00275FEB">
      <w:pPr>
        <w:pStyle w:val="Lijstalinea"/>
        <w:ind w:left="709"/>
        <w:jc w:val="both"/>
      </w:pPr>
      <w:r w:rsidRPr="00B21FAC">
        <w:t xml:space="preserve">Voor een loutere Belgische situatie, lijkt e.e.a. vlot kwantificeerbaar, zoals aangegeven. Het is echter niet evident of zelfs praktisch onmogelijk om rekening te houden met de reeds in het buitenland geheven vennootschapsbelasting. Eventueel kan hier het vennootschapsbelastingtarief van 15% als ijkpunt worden genomen (hetgeen overeenstemt met de voorgestelde minimumbelasting voor multinationals). In voorkomend geval zou het tarief van de RV 17,65% bedragen. </w:t>
      </w:r>
    </w:p>
    <w:p w14:paraId="271D64B2" w14:textId="77777777" w:rsidR="00F447D5" w:rsidRPr="00B21FAC" w:rsidRDefault="00F447D5" w:rsidP="00BA7E3E">
      <w:pPr>
        <w:pStyle w:val="Lijstalinea"/>
        <w:spacing w:after="0"/>
        <w:ind w:left="709"/>
        <w:jc w:val="both"/>
      </w:pPr>
    </w:p>
    <w:p w14:paraId="2DACBBA2" w14:textId="0FA9994C" w:rsidR="00F447D5" w:rsidRPr="00443890" w:rsidRDefault="00F447D5" w:rsidP="00BA7E3E">
      <w:pPr>
        <w:pStyle w:val="Lijstalinea"/>
        <w:spacing w:after="0"/>
        <w:ind w:left="709"/>
        <w:jc w:val="both"/>
      </w:pPr>
      <w:r w:rsidRPr="00B21FAC">
        <w:t xml:space="preserve">Bij wijze van werkhypothese is een tarief van 15% op meerwaarden op aandelen en op </w:t>
      </w:r>
      <w:r w:rsidRPr="00443890">
        <w:t>dividenden dus zeker realistisch</w:t>
      </w:r>
      <w:r w:rsidR="00E56D4E" w:rsidRPr="00443890">
        <w:t xml:space="preserve"> en verantwoordbaar</w:t>
      </w:r>
      <w:r w:rsidRPr="00443890">
        <w:t>.</w:t>
      </w:r>
    </w:p>
    <w:p w14:paraId="786AC2A3" w14:textId="4DD346F0" w:rsidR="002C1D6A" w:rsidRPr="00443890" w:rsidRDefault="002C1D6A" w:rsidP="00BA7E3E">
      <w:pPr>
        <w:pStyle w:val="Lijstalinea"/>
        <w:spacing w:after="0"/>
        <w:ind w:left="709"/>
        <w:jc w:val="both"/>
      </w:pPr>
    </w:p>
    <w:p w14:paraId="3D553B6E" w14:textId="0085F83E" w:rsidR="002C1D6A" w:rsidRPr="00443890" w:rsidRDefault="00736DAF" w:rsidP="00BA7E3E">
      <w:pPr>
        <w:pStyle w:val="Lijstalinea"/>
        <w:spacing w:after="0"/>
        <w:ind w:left="709"/>
        <w:jc w:val="both"/>
      </w:pPr>
      <w:r w:rsidRPr="00443890">
        <w:t xml:space="preserve">Hierbij kan wel meteen worden opgemerkt dat een dergelijke benadering uitsluitend opgaat voor zover er </w:t>
      </w:r>
      <w:r w:rsidR="004F735D" w:rsidRPr="00443890">
        <w:t xml:space="preserve">maximaal vermeden kan worden dat activiteitsinkomsten op een oneigenlijke wijze geconverteerd worden in vermogensinkomsten. </w:t>
      </w:r>
      <w:r w:rsidR="0079181E" w:rsidRPr="00443890">
        <w:t>Verschillende maatregelen kunnen hiertoe worden voorgesteld (zie verder).</w:t>
      </w:r>
    </w:p>
    <w:p w14:paraId="2E91139A" w14:textId="6E67BD7C" w:rsidR="0079181E" w:rsidRPr="00443890" w:rsidRDefault="0079181E" w:rsidP="00BA7E3E">
      <w:pPr>
        <w:pStyle w:val="Lijstalinea"/>
        <w:spacing w:after="0"/>
        <w:ind w:left="709"/>
        <w:jc w:val="both"/>
      </w:pPr>
    </w:p>
    <w:p w14:paraId="1CDD2347" w14:textId="38EFA781" w:rsidR="0079181E" w:rsidRPr="00443890" w:rsidRDefault="00842AAD" w:rsidP="00BA7E3E">
      <w:pPr>
        <w:pStyle w:val="Lijstalinea"/>
        <w:ind w:left="709"/>
        <w:jc w:val="both"/>
      </w:pPr>
      <w:r w:rsidRPr="00443890">
        <w:t xml:space="preserve">Een alternatief kan er in bestaan om </w:t>
      </w:r>
      <w:r w:rsidR="00246CEF" w:rsidRPr="00443890">
        <w:t xml:space="preserve">dividenden en meerwaarden op aandelen aan het basistarief te onderwerpen, waarbij aan de problematiek van de economische dubbele belasting wordt tegemoet gekomen door </w:t>
      </w:r>
      <w:r w:rsidR="001C0AE5" w:rsidRPr="00443890">
        <w:t xml:space="preserve">de belastingdruk in hoofde van de vennootschappen te laten zakken. </w:t>
      </w:r>
      <w:r w:rsidR="004A16FC" w:rsidRPr="00BA7E3E">
        <w:t>De betreffende</w:t>
      </w:r>
      <w:r w:rsidR="00F61F65" w:rsidRPr="00BA7E3E">
        <w:t xml:space="preserve"> maatregelen</w:t>
      </w:r>
      <w:r w:rsidR="00121A42" w:rsidRPr="00BA7E3E">
        <w:t>, die dan uiteraard wel vanuit hun aard beperkt zijn tot de Belgische sferen,</w:t>
      </w:r>
      <w:r w:rsidR="00F61F65" w:rsidRPr="00BA7E3E">
        <w:t xml:space="preserve"> kunnen gelinkt worden aan de omvang van het eigen vermogen (cf. notionele interestaftrek)</w:t>
      </w:r>
      <w:r w:rsidR="00182A5F" w:rsidRPr="00BA7E3E">
        <w:t xml:space="preserve"> en/</w:t>
      </w:r>
      <w:r w:rsidR="00F61F65" w:rsidRPr="00BA7E3E">
        <w:t>of aan de omvang van de verrichte investeringen (cf. investeringsaftrek)</w:t>
      </w:r>
      <w:r w:rsidR="003B7C10">
        <w:t xml:space="preserve"> of tewerkstelling</w:t>
      </w:r>
      <w:r w:rsidR="00F61F65" w:rsidRPr="00BA7E3E">
        <w:t>. Voor zover deze gerichte maatregelen er toe leiden dat zij uitsluitend kunnen aangewend worden door vennootschappen die eigen middelen ophalen om te investeren of (ruimer) activa verwerven die daadwerkelijk aangewend worden voor de exploitatie van de onderneming</w:t>
      </w:r>
      <w:r w:rsidR="00580F21">
        <w:t>, dan wel bijdragen tot de tewerkstelling</w:t>
      </w:r>
      <w:r w:rsidR="00F61F65" w:rsidRPr="00BA7E3E">
        <w:t xml:space="preserve">, zal dus ook op die manier </w:t>
      </w:r>
      <w:r w:rsidR="00585135" w:rsidRPr="00BA7E3E">
        <w:t xml:space="preserve">de </w:t>
      </w:r>
      <w:r w:rsidR="008F7D36" w:rsidRPr="00BA7E3E">
        <w:t>problematiek van de economische dubbele belasting worden aangepakt.</w:t>
      </w:r>
      <w:r w:rsidR="000A59C3" w:rsidRPr="00BA7E3E">
        <w:t xml:space="preserve"> Een dergelijke aanpak </w:t>
      </w:r>
      <w:r w:rsidR="00773C48" w:rsidRPr="00BA7E3E">
        <w:t xml:space="preserve">verkleint daarenboven het risico op </w:t>
      </w:r>
      <w:r w:rsidR="008D1113">
        <w:t xml:space="preserve">fiscaal gedreven </w:t>
      </w:r>
      <w:r w:rsidR="00773C48" w:rsidRPr="00BA7E3E">
        <w:t>vervennootschappelijking.</w:t>
      </w:r>
    </w:p>
    <w:p w14:paraId="56A70DD1" w14:textId="77777777" w:rsidR="00F447D5" w:rsidRPr="00B21FAC" w:rsidRDefault="00F447D5" w:rsidP="00BA7E3E">
      <w:pPr>
        <w:pStyle w:val="Lijstalinea"/>
        <w:spacing w:after="0"/>
        <w:ind w:left="709"/>
        <w:jc w:val="both"/>
      </w:pPr>
    </w:p>
    <w:p w14:paraId="2B4EF672" w14:textId="0A2E8D6B" w:rsidR="000B5259" w:rsidRPr="00A1635C" w:rsidRDefault="00702ED7" w:rsidP="00BA7E3E">
      <w:pPr>
        <w:pStyle w:val="Lijstalinea"/>
        <w:numPr>
          <w:ilvl w:val="0"/>
          <w:numId w:val="15"/>
        </w:numPr>
        <w:spacing w:after="0"/>
        <w:jc w:val="both"/>
      </w:pPr>
      <w:r w:rsidRPr="00A1635C">
        <w:t xml:space="preserve">Er kan </w:t>
      </w:r>
      <w:r w:rsidR="000B5259" w:rsidRPr="00A1635C">
        <w:t>nu reed</w:t>
      </w:r>
      <w:r w:rsidR="008F7D36" w:rsidRPr="00A1635C">
        <w:t>s</w:t>
      </w:r>
      <w:r w:rsidR="000B5259" w:rsidRPr="00A1635C">
        <w:t xml:space="preserve"> worden opgemerkt dat</w:t>
      </w:r>
      <w:r w:rsidR="00F447D5" w:rsidRPr="00A1635C">
        <w:t xml:space="preserve"> het veralgemenen van een verlaagd tarief van 15% op dividenden, </w:t>
      </w:r>
      <w:r w:rsidR="00F447D5" w:rsidRPr="00A1635C">
        <w:rPr>
          <w:i/>
          <w:iCs/>
        </w:rPr>
        <w:t>prima facie</w:t>
      </w:r>
      <w:r w:rsidR="00F447D5" w:rsidRPr="00A1635C">
        <w:t xml:space="preserve"> budgettair niet haalbaar</w:t>
      </w:r>
      <w:r w:rsidR="000B5259" w:rsidRPr="00A1635C">
        <w:t xml:space="preserve"> lijkt</w:t>
      </w:r>
      <w:r w:rsidR="00F447D5" w:rsidRPr="00A1635C">
        <w:t xml:space="preserve">. De kostprijs van een dergelijke operatie werd door de FOD Financiën berekend op 1.377,6 </w:t>
      </w:r>
      <w:r w:rsidR="00CA2D19">
        <w:t>miljoen euro</w:t>
      </w:r>
      <w:r w:rsidR="00F447D5" w:rsidRPr="00A1635C">
        <w:t xml:space="preserve"> (rekening houdend met de in 2018 toegekende dividenden). De impact op vandaag is dus allicht nog hoger. </w:t>
      </w:r>
      <w:r w:rsidR="000B5259" w:rsidRPr="00A1635C">
        <w:t>Dit kan dus een bijkomend argument vormen om</w:t>
      </w:r>
      <w:r w:rsidR="003E1B2B" w:rsidRPr="00A1635C">
        <w:t xml:space="preserve">, </w:t>
      </w:r>
      <w:r w:rsidR="000B5259" w:rsidRPr="00A1635C">
        <w:t xml:space="preserve">eerder dan </w:t>
      </w:r>
      <w:r w:rsidR="003E1B2B" w:rsidRPr="00A1635C">
        <w:t>te pleiten voor een veralgemeend tarief van 15% op dividenden, maatregelen te nemen die meer gericht ingrijpen op de belastingdruk van de vennootschappen.</w:t>
      </w:r>
    </w:p>
    <w:p w14:paraId="74422BC3" w14:textId="77777777" w:rsidR="000B5259" w:rsidRDefault="000B5259" w:rsidP="00BA7E3E">
      <w:pPr>
        <w:pStyle w:val="Lijstalinea"/>
        <w:spacing w:after="0"/>
        <w:jc w:val="both"/>
      </w:pPr>
    </w:p>
    <w:p w14:paraId="61C9EE34" w14:textId="4809C9A6" w:rsidR="00F447D5" w:rsidRPr="00B21FAC" w:rsidRDefault="003E1B2B" w:rsidP="00BA7E3E">
      <w:pPr>
        <w:pStyle w:val="Lijstalinea"/>
        <w:spacing w:after="0"/>
        <w:jc w:val="both"/>
      </w:pPr>
      <w:r>
        <w:t xml:space="preserve">Aan het voorgaande kan worden toegevoegd dat </w:t>
      </w:r>
      <w:r w:rsidR="00F447D5" w:rsidRPr="00B21FAC">
        <w:t xml:space="preserve">– opnieuw uitgaande van de berekeningen zoals opgenomen in het advies van de HRF (2020) - een meerwaardebelasting op aandelen en op verzekeringscontracten (bij een </w:t>
      </w:r>
      <w:r w:rsidR="00B46C75">
        <w:t>belastingheffing</w:t>
      </w:r>
      <w:r w:rsidR="00F447D5" w:rsidRPr="00B21FAC">
        <w:t xml:space="preserve"> van eveneens 15%) een belastingopbrengst kan genereren (op kruissnelheid) van 1.839 </w:t>
      </w:r>
      <w:r w:rsidR="00CA2D19">
        <w:t>miljoen euro</w:t>
      </w:r>
      <w:r w:rsidR="00F447D5" w:rsidRPr="00B21FAC">
        <w:t xml:space="preserve">. Vermits het evenwel niet de bedoeling kan zijn de historische meerwaarden te belasten en uitgaande van de (voorzichtige) inschatting dat aandelen om de 10 jaar worden verkocht, zal de opbrengst in het eerste jaar maar één tiende bedragen, om daarna gradueel te stijgen. </w:t>
      </w:r>
    </w:p>
    <w:p w14:paraId="1AC43495" w14:textId="77777777" w:rsidR="00F447D5" w:rsidRPr="00B21FAC" w:rsidRDefault="00F447D5" w:rsidP="00BA7E3E">
      <w:pPr>
        <w:pStyle w:val="Lijstalinea"/>
        <w:spacing w:after="0"/>
        <w:ind w:left="0"/>
        <w:jc w:val="both"/>
      </w:pPr>
    </w:p>
    <w:p w14:paraId="7421FCFC" w14:textId="3751B303" w:rsidR="00F447D5" w:rsidRPr="00B21FAC" w:rsidRDefault="00A70490" w:rsidP="00BA7E3E">
      <w:pPr>
        <w:pStyle w:val="Lijstalinea"/>
        <w:numPr>
          <w:ilvl w:val="0"/>
          <w:numId w:val="15"/>
        </w:numPr>
        <w:spacing w:after="0"/>
        <w:jc w:val="both"/>
      </w:pPr>
      <w:r w:rsidRPr="00B21FAC">
        <w:t>E</w:t>
      </w:r>
      <w:r w:rsidR="00F447D5" w:rsidRPr="00B21FAC">
        <w:t>r kan ook nog worden opgemerkt dat</w:t>
      </w:r>
      <w:r w:rsidR="008D1113">
        <w:t xml:space="preserve">, </w:t>
      </w:r>
      <w:r w:rsidR="00F447D5" w:rsidRPr="00B21FAC">
        <w:t xml:space="preserve">n.a.v. een eventuele invoering van een algemeen </w:t>
      </w:r>
      <w:r w:rsidR="000E1C19">
        <w:t>(</w:t>
      </w:r>
      <w:r w:rsidR="00F447D5" w:rsidRPr="00B21FAC">
        <w:t>verlaagd</w:t>
      </w:r>
      <w:r w:rsidR="000E1C19">
        <w:t>)</w:t>
      </w:r>
      <w:r w:rsidR="00F447D5" w:rsidRPr="00B21FAC">
        <w:t xml:space="preserve"> tarief op dividenden en de invoering van een meerwaardebelasting op aandelen aan hetzelfde tarief, </w:t>
      </w:r>
      <w:r w:rsidR="0077102C">
        <w:t>de ‘incentive’ verkleint</w:t>
      </w:r>
      <w:r w:rsidR="00F447D5" w:rsidRPr="00B21FAC">
        <w:t xml:space="preserve"> om de uitkering van dividenden uit te stellen. Hierbij aansluitend kan ook voorgesteld worden om de huidige ‘wachttermijnen’ m.b.t. de regelingen in de VVPRbis en de liquidatiereserve (die uitdovende regimes zouden worden), op</w:t>
      </w:r>
      <w:r w:rsidR="00981C5E" w:rsidRPr="00B21FAC">
        <w:t xml:space="preserve"> te </w:t>
      </w:r>
      <w:r w:rsidR="00F447D5" w:rsidRPr="00B21FAC">
        <w:t xml:space="preserve">heffen. Dit kan leiden tot een versnelde uitkering van de reeds opgebouwde liquidatiereserves, hetgeen een </w:t>
      </w:r>
      <w:r w:rsidR="00E212B8">
        <w:t xml:space="preserve">tijdelijke </w:t>
      </w:r>
      <w:r w:rsidR="00F447D5" w:rsidRPr="00B21FAC">
        <w:t>positieve impact kan hebben op de ontvangsten</w:t>
      </w:r>
      <w:r w:rsidR="006F4C91">
        <w:t xml:space="preserve"> (hetgeen in een transitieperiode opportuun kan zijn)</w:t>
      </w:r>
      <w:r w:rsidR="00F447D5" w:rsidRPr="00B21FAC">
        <w:t>.</w:t>
      </w:r>
    </w:p>
    <w:p w14:paraId="56F34CFA" w14:textId="77777777" w:rsidR="00F447D5" w:rsidRPr="00B21FAC" w:rsidRDefault="00F447D5" w:rsidP="00BA7E3E">
      <w:pPr>
        <w:pStyle w:val="Lijstalinea"/>
        <w:spacing w:after="0"/>
        <w:ind w:left="0"/>
        <w:jc w:val="both"/>
      </w:pPr>
    </w:p>
    <w:p w14:paraId="4EDCEF5B" w14:textId="28ABC95D" w:rsidR="00F447D5" w:rsidRPr="00B21FAC" w:rsidRDefault="00F447D5" w:rsidP="00BA7E3E">
      <w:pPr>
        <w:pStyle w:val="Lijstalinea"/>
        <w:numPr>
          <w:ilvl w:val="0"/>
          <w:numId w:val="15"/>
        </w:numPr>
        <w:spacing w:after="0"/>
        <w:jc w:val="both"/>
      </w:pPr>
      <w:bookmarkStart w:id="197" w:name="_Hlk94090913"/>
      <w:r w:rsidRPr="00B21FAC">
        <w:t xml:space="preserve">Er wordt soms gesteld dat de belastingheffing, zowel op dividenden als op meerwaarden, aanleiding zou geven tot een dubbele belastingheffing. </w:t>
      </w:r>
    </w:p>
    <w:bookmarkEnd w:id="197"/>
    <w:p w14:paraId="0CD75C6A" w14:textId="77777777" w:rsidR="00F447D5" w:rsidRPr="00B21FAC" w:rsidRDefault="00F447D5" w:rsidP="00BA7E3E">
      <w:pPr>
        <w:pStyle w:val="Lijstalinea"/>
        <w:spacing w:after="0"/>
        <w:ind w:left="709"/>
        <w:jc w:val="both"/>
      </w:pPr>
    </w:p>
    <w:p w14:paraId="3D0106A1" w14:textId="3B231B67" w:rsidR="00F447D5" w:rsidRPr="00B21FAC" w:rsidRDefault="00F447D5" w:rsidP="00BA7E3E">
      <w:pPr>
        <w:pStyle w:val="Lijstalinea"/>
        <w:spacing w:after="0"/>
        <w:ind w:left="709"/>
        <w:jc w:val="both"/>
      </w:pPr>
      <w:r w:rsidRPr="00B21FAC">
        <w:t xml:space="preserve">Dit </w:t>
      </w:r>
      <w:r w:rsidR="00E128FA">
        <w:t>is een valabel argument</w:t>
      </w:r>
      <w:r w:rsidR="000D15AA">
        <w:t>,</w:t>
      </w:r>
      <w:r w:rsidR="00E128FA">
        <w:t xml:space="preserve"> dat ook een terechte bekommernis uitdrukt. De problematiek van de dubbele belastingheffing wordt evenwel </w:t>
      </w:r>
      <w:r w:rsidR="00E204C0">
        <w:t>aangepakt door de consequente aanrekening en overdracht van minderwaarden, waarmee meteen ook het belang ervan kan worden benadrukt.</w:t>
      </w:r>
    </w:p>
    <w:p w14:paraId="6B682A33" w14:textId="77777777" w:rsidR="00F447D5" w:rsidRPr="00B21FAC" w:rsidRDefault="00F447D5" w:rsidP="00BA7E3E">
      <w:pPr>
        <w:pStyle w:val="Lijstalinea"/>
        <w:spacing w:after="0"/>
        <w:ind w:left="709"/>
        <w:jc w:val="both"/>
      </w:pPr>
    </w:p>
    <w:p w14:paraId="1627CCF5" w14:textId="4CDF0347" w:rsidR="00F447D5" w:rsidRPr="00B21FAC" w:rsidRDefault="00F447D5" w:rsidP="00BA7E3E">
      <w:pPr>
        <w:pStyle w:val="Lijstalinea"/>
        <w:spacing w:after="0"/>
        <w:ind w:left="709"/>
        <w:jc w:val="both"/>
      </w:pPr>
      <w:r w:rsidRPr="00B21FAC">
        <w:t xml:space="preserve">De waarde van een aandeel wordt immers bepaald door (i) het huidig eigen vermogen van de vennootschap en (ii) de verwachte winst in de toekomst. </w:t>
      </w:r>
    </w:p>
    <w:p w14:paraId="0FEE922C" w14:textId="77777777" w:rsidR="00F447D5" w:rsidRPr="00B21FAC" w:rsidRDefault="00F447D5" w:rsidP="00BA7E3E">
      <w:pPr>
        <w:pStyle w:val="Lijstalinea"/>
        <w:spacing w:after="0"/>
        <w:ind w:left="709"/>
        <w:jc w:val="both"/>
      </w:pPr>
    </w:p>
    <w:p w14:paraId="4E6A5A2E" w14:textId="544D464A" w:rsidR="00F447D5" w:rsidRPr="00B21FAC" w:rsidRDefault="00F447D5" w:rsidP="00BA7E3E">
      <w:pPr>
        <w:pStyle w:val="Lijstalinea"/>
        <w:spacing w:after="0"/>
        <w:ind w:left="709"/>
        <w:jc w:val="both"/>
      </w:pPr>
      <w:r w:rsidRPr="00B21FAC">
        <w:t>De winst van de onderneming wordt dus (onverminderd de heffing van de vennootschapsbelasting in hoofde van de onderneming) in handen van de aandeelhouder belast, hetzij na uitkering van een dividend, hetzij ingevolge de realisatie van een meerwaarde. Een van de voornaamste theoretische motiveringen voor een meerwaardebelasting op aandelen, is bijgevolg dat deze het “opsluiten” van reserves binnen vennootschappen ontmoedigt.</w:t>
      </w:r>
      <w:r w:rsidRPr="00B21FAC">
        <w:rPr>
          <w:rStyle w:val="Voetnootmarkering"/>
        </w:rPr>
        <w:footnoteReference w:id="7"/>
      </w:r>
      <w:r w:rsidRPr="00B21FAC">
        <w:t xml:space="preserve"> In het licht van een volstrekte neutraliteit, zou de waardestijging overigens jaarlijks moeten belast worden. Dit zou evenwel leiden tot liquiditeitsmoeilijkheden en tot een administratieve complexiteit, hetgeen verantwoordt dat de belastingheffing slechts plaatsvindt op het ogenblik van de realisatie.</w:t>
      </w:r>
    </w:p>
    <w:p w14:paraId="61127964" w14:textId="77777777" w:rsidR="00F447D5" w:rsidRPr="00B21FAC" w:rsidRDefault="00F447D5" w:rsidP="00BA7E3E">
      <w:pPr>
        <w:pStyle w:val="Lijstalinea"/>
        <w:spacing w:after="0"/>
        <w:ind w:left="709"/>
        <w:jc w:val="both"/>
      </w:pPr>
    </w:p>
    <w:p w14:paraId="1CC7D3A3" w14:textId="34ABEA9E" w:rsidR="00F447D5" w:rsidRPr="00B21FAC" w:rsidRDefault="00F447D5" w:rsidP="00BA7E3E">
      <w:pPr>
        <w:pStyle w:val="Lijstalinea"/>
        <w:spacing w:after="0"/>
        <w:ind w:left="709"/>
        <w:jc w:val="both"/>
      </w:pPr>
      <w:r w:rsidRPr="00B21FAC">
        <w:t>Het voorgaande impliceert dat een dividenduitkering automatisch leidt tot een waardevermindering van het onderliggend aandeel, met mogelijke dubbele belasting als gevolg. Hierbij kan illustratief uitgegaan worden van twee uitersten, waarbij de aankoop van een aandeel door een persoon X wordt verondersteld voor een prijs van 1.000 (waarbij 400 samenvalt met het huidig eigen vermogen en 600 samenvalt met de verwachte winst in de toekomst)</w:t>
      </w:r>
      <w:r w:rsidR="007A0E32" w:rsidRPr="00B21FAC">
        <w:t>:</w:t>
      </w:r>
    </w:p>
    <w:p w14:paraId="390ED3AE" w14:textId="7C04E0A3" w:rsidR="00F447D5" w:rsidRPr="00B21FAC" w:rsidRDefault="008C0129" w:rsidP="00BA7E3E">
      <w:pPr>
        <w:pStyle w:val="Lijstalinea"/>
        <w:numPr>
          <w:ilvl w:val="0"/>
          <w:numId w:val="29"/>
        </w:numPr>
        <w:spacing w:after="0"/>
        <w:ind w:left="1133" w:hanging="425"/>
        <w:jc w:val="both"/>
      </w:pPr>
      <w:r>
        <w:t>O</w:t>
      </w:r>
      <w:r w:rsidR="00F447D5" w:rsidRPr="00B21FAC">
        <w:t>fwel voegt de onderneming de verwachte (en naderhand effectief gerealiseerde) winst van 600 volledig toe aan het eigen vermogen</w:t>
      </w:r>
      <w:r>
        <w:t>;</w:t>
      </w:r>
      <w:r w:rsidR="00F447D5" w:rsidRPr="00B21FAC">
        <w:t xml:space="preserve"> </w:t>
      </w:r>
    </w:p>
    <w:p w14:paraId="08DB8E49" w14:textId="77777777" w:rsidR="00F447D5" w:rsidRPr="00B21FAC" w:rsidRDefault="00F447D5" w:rsidP="00BA7E3E">
      <w:pPr>
        <w:pStyle w:val="Lijstalinea"/>
        <w:spacing w:after="0"/>
        <w:ind w:left="1133"/>
        <w:jc w:val="both"/>
      </w:pPr>
      <w:r w:rsidRPr="00B21FAC">
        <w:t xml:space="preserve">Bij latere verkoop van het aandeel (door persoon X) zal slechts een meerwaardebelasting moeten betaald worden op de gerealiseerde meerwaarde bovenop de prijs waaraan persoon X het aandeel eerder had gekocht (i.e. 1.000). Er is dus geen sprake van dubbele belasting. </w:t>
      </w:r>
    </w:p>
    <w:p w14:paraId="69EE325A" w14:textId="622ACA58" w:rsidR="00F447D5" w:rsidRPr="00B21FAC" w:rsidRDefault="008C0129" w:rsidP="00BA7E3E">
      <w:pPr>
        <w:pStyle w:val="Lijstalinea"/>
        <w:numPr>
          <w:ilvl w:val="0"/>
          <w:numId w:val="29"/>
        </w:numPr>
        <w:spacing w:after="0"/>
        <w:ind w:left="1133" w:hanging="425"/>
        <w:jc w:val="both"/>
      </w:pPr>
      <w:r>
        <w:t>O</w:t>
      </w:r>
      <w:r w:rsidR="00F447D5" w:rsidRPr="00B21FAC">
        <w:t xml:space="preserve">fwel keert de onderneming de verwachte (en naderhand effectief gerealiseerde) winst van 600 volledig uit. </w:t>
      </w:r>
    </w:p>
    <w:p w14:paraId="720E8A7F" w14:textId="77777777" w:rsidR="00F447D5" w:rsidRPr="00B21FAC" w:rsidRDefault="00F447D5" w:rsidP="00BA7E3E">
      <w:pPr>
        <w:pStyle w:val="Lijstalinea"/>
        <w:spacing w:after="0"/>
        <w:ind w:left="1133"/>
        <w:jc w:val="both"/>
      </w:pPr>
      <w:r w:rsidRPr="00B21FAC">
        <w:t>In dat geval gebeuren er twee zaken. Enerzijds moet persoon X roerende voorheffing betalen op de uitgekeerde winst van 600. Anderzijds zal de waarde van het aandeel ook met 600 afnemen omdat de winst (waarmee rekening werd gehouden bij het bepalen van de aankoopprijs) niet effectief wordt toegevoegd aan het eigen vermogen. Bij latere verkoop van het aandeel zal persoon X dus (ceteris paribus) een minderwaarde van 600 realiseren. Enkel indien de realisatie van deze minderwaarde fiscaal in rekening zou worden gebracht (en desgevallend aanleiding zou geven tot een belastingteruggave), is er geen sprake van een dubbele belasting. Ook indien het aandeel niet verder wordt verkocht en de onderneming uiteindelijk wordt ontbonden, komt de waarde van het aandeel overeen met de waarde van het eigen vermogen (er worden immers geen winsten meer verwacht) en wordt dus ook een minderwaarde gerealiseerd. Om een dubbele belasting te vermijden moet persoon X dus ook bij ontbinding de minderwaarde fiscaal kunnen inbrengen.</w:t>
      </w:r>
    </w:p>
    <w:p w14:paraId="32E4283E" w14:textId="77777777" w:rsidR="00F447D5" w:rsidRPr="00B21FAC" w:rsidRDefault="00F447D5" w:rsidP="00BA7E3E">
      <w:pPr>
        <w:pStyle w:val="Lijstalinea"/>
        <w:spacing w:after="0"/>
        <w:ind w:left="709"/>
        <w:jc w:val="both"/>
      </w:pPr>
    </w:p>
    <w:p w14:paraId="00E79943" w14:textId="1EA178FF" w:rsidR="00562464" w:rsidRDefault="00F447D5" w:rsidP="00BA7E3E">
      <w:pPr>
        <w:pStyle w:val="Lijstalinea"/>
        <w:spacing w:after="0"/>
        <w:ind w:left="709"/>
        <w:jc w:val="both"/>
      </w:pPr>
      <w:r w:rsidRPr="00B21FAC">
        <w:t xml:space="preserve">De </w:t>
      </w:r>
      <w:r w:rsidR="00B46C75">
        <w:t>belastingheffing</w:t>
      </w:r>
      <w:r w:rsidRPr="00B21FAC">
        <w:t xml:space="preserve"> op het niveau van de aandeelhouder impliceert dus conceptueel </w:t>
      </w:r>
      <w:r w:rsidR="002B06F8">
        <w:t xml:space="preserve">noodgedwongen </w:t>
      </w:r>
      <w:r w:rsidRPr="00B21FAC">
        <w:t xml:space="preserve">dat de geleden minderwaarden (hetzij bij verkoop, hetzij bij ontbinding) effectief fiscaal in rekening kunnen worden gebracht. </w:t>
      </w:r>
      <w:r w:rsidR="00DD0861">
        <w:t xml:space="preserve">Voor zover dit het geval is, zal de belastinglatentie </w:t>
      </w:r>
      <w:r w:rsidR="000E222E">
        <w:t>die verband houdt met de opgebouwde reserves</w:t>
      </w:r>
      <w:r w:rsidR="00A36FC0">
        <w:t xml:space="preserve"> </w:t>
      </w:r>
      <w:r w:rsidR="00F40783">
        <w:t xml:space="preserve">in de vennootschap </w:t>
      </w:r>
      <w:r w:rsidR="00A36FC0">
        <w:t xml:space="preserve">fiscaal ook geneutraliseerd </w:t>
      </w:r>
      <w:r w:rsidR="00151D2F">
        <w:t xml:space="preserve">kunnen </w:t>
      </w:r>
      <w:r w:rsidR="00A36FC0">
        <w:t>worden</w:t>
      </w:r>
      <w:r w:rsidR="00151D2F">
        <w:t xml:space="preserve"> en zal deze dus geen of veel minder een </w:t>
      </w:r>
      <w:r w:rsidR="00562464">
        <w:t xml:space="preserve">eventuele </w:t>
      </w:r>
      <w:r w:rsidR="00151D2F">
        <w:t xml:space="preserve">rol spelen bij de </w:t>
      </w:r>
      <w:r w:rsidR="00562464">
        <w:t>prijszetting van de aandelen</w:t>
      </w:r>
      <w:r w:rsidR="006F3199">
        <w:t xml:space="preserve"> bij tussentijdse overdrachten</w:t>
      </w:r>
      <w:r w:rsidR="00151D2F">
        <w:t xml:space="preserve">. </w:t>
      </w:r>
    </w:p>
    <w:p w14:paraId="75E8A0F8" w14:textId="5A03D228" w:rsidR="00F447D5" w:rsidRDefault="00562464" w:rsidP="00BA7E3E">
      <w:pPr>
        <w:pStyle w:val="Lijstalinea"/>
        <w:spacing w:after="0"/>
        <w:ind w:left="709"/>
        <w:jc w:val="both"/>
      </w:pPr>
      <w:r>
        <w:t xml:space="preserve">Door de minderwaarden aftrekbaar te maken, </w:t>
      </w:r>
      <w:r w:rsidR="005E5D1C">
        <w:t>draagt d</w:t>
      </w:r>
      <w:r w:rsidR="00F447D5" w:rsidRPr="00B21FAC">
        <w:t xml:space="preserve">e overheid meteen ook een deel van het risico. Bij een symmetrische behandeling van winsten en verliezen wordt het investeringsrisico niet ontmoedigd. De overheid haalt gemiddeld genomen wel positieve bedragen op omdat de verwachte winsten hoger zijn dan de verwachte verliezen. </w:t>
      </w:r>
    </w:p>
    <w:p w14:paraId="6322387E" w14:textId="56A7293F" w:rsidR="0026052B" w:rsidRDefault="0026052B" w:rsidP="00BA7E3E">
      <w:pPr>
        <w:pStyle w:val="Lijstalinea"/>
        <w:spacing w:after="0"/>
        <w:ind w:left="709"/>
        <w:jc w:val="both"/>
      </w:pPr>
    </w:p>
    <w:p w14:paraId="65E62C5A" w14:textId="681926C9" w:rsidR="0026052B" w:rsidRPr="00B21FAC" w:rsidRDefault="0026052B" w:rsidP="00BA7E3E">
      <w:pPr>
        <w:pStyle w:val="Lijstalinea"/>
        <w:spacing w:after="0"/>
        <w:ind w:left="709"/>
        <w:jc w:val="both"/>
      </w:pPr>
      <w:r w:rsidRPr="00303355">
        <w:rPr>
          <w:u w:val="single"/>
        </w:rPr>
        <w:t>PM:</w:t>
      </w:r>
      <w:r>
        <w:t xml:space="preserve"> </w:t>
      </w:r>
      <w:r w:rsidR="000C35E2">
        <w:t xml:space="preserve">De invoering van een </w:t>
      </w:r>
      <w:r w:rsidR="00E27128">
        <w:t xml:space="preserve">meerwaardebelasting op aandelen, impliceert ook dat </w:t>
      </w:r>
      <w:r w:rsidR="00921925">
        <w:t>de gebeurlijke liquidatiebonus niet langer gelijkgesteld wordt met een dividend</w:t>
      </w:r>
      <w:r w:rsidR="005E5D1C">
        <w:t xml:space="preserve"> ten belope van het verschil tussen het </w:t>
      </w:r>
      <w:r w:rsidR="0016312D">
        <w:t>verdeelde vermogen en het fiscaal gestorte kapitaal</w:t>
      </w:r>
      <w:r w:rsidR="00D80497">
        <w:t xml:space="preserve">. </w:t>
      </w:r>
      <w:r w:rsidR="00256F1A">
        <w:t xml:space="preserve">Bij de ontbinding van een </w:t>
      </w:r>
      <w:r w:rsidR="00656DC3">
        <w:t xml:space="preserve">vennootschap, zal het verschil tussen de bij liquidatie verkregen sommen en </w:t>
      </w:r>
      <w:r w:rsidR="00F033FE">
        <w:t>de aanschaffingswaarde van de aandelen aanleiding geven tot een meerwaarde (positief verschil), dan wel tot een minderwaarde (negatief verschil).</w:t>
      </w:r>
    </w:p>
    <w:p w14:paraId="7874511D" w14:textId="77777777" w:rsidR="00F447D5" w:rsidRPr="00B21FAC" w:rsidRDefault="00F447D5" w:rsidP="00BA7E3E">
      <w:pPr>
        <w:spacing w:after="0"/>
        <w:ind w:left="709"/>
        <w:jc w:val="both"/>
        <w:rPr>
          <w:u w:val="single"/>
        </w:rPr>
      </w:pPr>
    </w:p>
    <w:p w14:paraId="2158ABAA" w14:textId="01F2446E" w:rsidR="00F447D5" w:rsidRPr="00B21FAC" w:rsidRDefault="00F447D5" w:rsidP="00BA7E3E">
      <w:pPr>
        <w:pStyle w:val="Lijstalinea"/>
        <w:numPr>
          <w:ilvl w:val="0"/>
          <w:numId w:val="41"/>
        </w:numPr>
        <w:spacing w:after="0"/>
        <w:ind w:hanging="294"/>
        <w:jc w:val="both"/>
      </w:pPr>
      <w:r w:rsidRPr="00B21FAC">
        <w:t xml:space="preserve">Rekening houdend met </w:t>
      </w:r>
      <w:r w:rsidR="008A62FF">
        <w:t xml:space="preserve">de </w:t>
      </w:r>
      <w:r w:rsidRPr="00B21FAC">
        <w:t>betrachting in het Regeerakkoord om het ondernemen aan te moedigen, werd de these onderzocht om de tarieven t.a.v. de aandeelhouder-ondernemer verder te verlagen. Onder de ‘aandeelhouder-ondernemer’ wordt daarbij begrepen de aandeelhouder (i) met een aanmerkelijk belang van 25% (cf. huidig art. 90, 9° WIB92 en bepaald in functie van de stemrechten) en, (ii) die effectief en duurzaam als bedrijfsleider werkzaam is (geweest) in de onderneming en (iii) daarvoor ook een marktconforme bezoldiging ontvangt en heeft ontvangen.</w:t>
      </w:r>
    </w:p>
    <w:p w14:paraId="25938C8E" w14:textId="77777777" w:rsidR="00BC016A" w:rsidRPr="00B21FAC" w:rsidRDefault="00BC016A" w:rsidP="00BA7E3E">
      <w:pPr>
        <w:spacing w:after="0"/>
        <w:ind w:left="709"/>
        <w:jc w:val="both"/>
      </w:pPr>
    </w:p>
    <w:p w14:paraId="61BE6269" w14:textId="228D91DD" w:rsidR="00F447D5" w:rsidRPr="00B21FAC" w:rsidRDefault="3683CD98" w:rsidP="00BA7E3E">
      <w:pPr>
        <w:spacing w:after="0"/>
        <w:ind w:left="709"/>
        <w:jc w:val="both"/>
      </w:pPr>
      <w:r w:rsidRPr="00B21FAC">
        <w:t xml:space="preserve">Ofschoon een dergelijke verdere en veralgemenende differentiatie juridisch verantwoordbaar lijkt, is de opportuniteit ervan vanuit economisch oogpunt betwistbaar. Een voorkeursbehandeling voor ‘aandeelhouder-ondernemers’ (in de genoemde zin) kan leiden tot een misallocatie van kapitaal, met een lagere productiviteitsgroei als gevolg. </w:t>
      </w:r>
      <w:r w:rsidR="000F14B5" w:rsidRPr="008A62FF">
        <w:t>Vanuit economisch oogpunt lijkt het vooral belangrijk om innovatie en kleine groeibedrijven te ondersteunen, hetgeen overigens niet noodzakelijk met fiscale maatregelen moet gebeuren.</w:t>
      </w:r>
      <w:r w:rsidR="006A5F44">
        <w:t xml:space="preserve"> </w:t>
      </w:r>
    </w:p>
    <w:p w14:paraId="1FCF6923" w14:textId="77777777" w:rsidR="00600AB8" w:rsidRPr="00B21FAC" w:rsidRDefault="00600AB8" w:rsidP="00BA7E3E">
      <w:pPr>
        <w:spacing w:after="0"/>
        <w:jc w:val="both"/>
      </w:pPr>
    </w:p>
    <w:p w14:paraId="49B00468" w14:textId="5FA23254" w:rsidR="00600AB8" w:rsidRPr="00600AB8" w:rsidRDefault="00600AB8" w:rsidP="00600AB8">
      <w:pPr>
        <w:pStyle w:val="Lijstalinea"/>
        <w:numPr>
          <w:ilvl w:val="0"/>
          <w:numId w:val="15"/>
        </w:numPr>
        <w:spacing w:after="0"/>
        <w:jc w:val="both"/>
      </w:pPr>
      <w:r w:rsidRPr="00B21FAC">
        <w:t xml:space="preserve">De </w:t>
      </w:r>
      <w:r>
        <w:t xml:space="preserve">veralgemeende toepassing van een </w:t>
      </w:r>
      <w:r w:rsidRPr="00600AB8">
        <w:t xml:space="preserve">belasting op meerwaarden, aan het basistarief, hangt </w:t>
      </w:r>
      <w:r w:rsidR="001F34D0">
        <w:t>conceptueel</w:t>
      </w:r>
      <w:r w:rsidR="001F34D0" w:rsidRPr="00600AB8">
        <w:t xml:space="preserve"> </w:t>
      </w:r>
      <w:r w:rsidRPr="00600AB8">
        <w:t>samen met de hierna voorgestelde voetvrijstelling en met de mogelijkheid tot aanrekening en overdracht van gerealiseerde minderwaarden. Voor zover om (politiek-maatschappelijke) redenen een van het standaardtarief afwijkend lager tarief zou worden gekozen, worden dan ook best enkele compensaties ingevoerd bij wijze van tegengewicht, bv. m.b.t. de genoemde algemene voetvrijstelling en de overdraagbaarheid van minderwaarden (zie ook verder).</w:t>
      </w:r>
    </w:p>
    <w:p w14:paraId="3A648C23" w14:textId="77777777" w:rsidR="00F447D5" w:rsidRPr="00B21FAC" w:rsidRDefault="00F447D5" w:rsidP="00BA7E3E">
      <w:pPr>
        <w:spacing w:after="0"/>
        <w:jc w:val="both"/>
      </w:pPr>
    </w:p>
    <w:p w14:paraId="5D89F4DB" w14:textId="77777777" w:rsidR="00F447D5" w:rsidRPr="00B21FAC" w:rsidRDefault="00F447D5" w:rsidP="00BA7E3E">
      <w:pPr>
        <w:spacing w:after="0"/>
        <w:jc w:val="both"/>
      </w:pPr>
    </w:p>
    <w:p w14:paraId="108367FA" w14:textId="2F4ED55A" w:rsidR="00F447D5" w:rsidRPr="00B21FAC" w:rsidRDefault="00F447D5" w:rsidP="00275FEB">
      <w:pPr>
        <w:pStyle w:val="Kop3"/>
        <w:numPr>
          <w:ilvl w:val="0"/>
          <w:numId w:val="42"/>
        </w:numPr>
      </w:pPr>
      <w:bookmarkStart w:id="198" w:name="_Toc107210926"/>
      <w:r w:rsidRPr="00B21FAC">
        <w:t>De algemene voetvrijstelling</w:t>
      </w:r>
      <w:bookmarkEnd w:id="198"/>
    </w:p>
    <w:p w14:paraId="1C38A34F" w14:textId="77777777" w:rsidR="00F447D5" w:rsidRPr="00B21FAC" w:rsidRDefault="00F447D5" w:rsidP="00BA7E3E">
      <w:pPr>
        <w:spacing w:after="0"/>
        <w:jc w:val="both"/>
      </w:pPr>
    </w:p>
    <w:p w14:paraId="43DDDE19" w14:textId="77777777" w:rsidR="00F447D5" w:rsidRPr="00B21FAC" w:rsidRDefault="00F447D5" w:rsidP="00BA7E3E">
      <w:pPr>
        <w:spacing w:after="0"/>
        <w:jc w:val="both"/>
      </w:pPr>
    </w:p>
    <w:p w14:paraId="319E3B1A" w14:textId="77777777" w:rsidR="00F447D5" w:rsidRPr="00B21FAC" w:rsidRDefault="00F447D5" w:rsidP="00BA7E3E">
      <w:pPr>
        <w:spacing w:after="0"/>
        <w:jc w:val="both"/>
      </w:pPr>
      <w:r w:rsidRPr="00B21FAC">
        <w:rPr>
          <w:b/>
          <w:bCs/>
        </w:rPr>
        <w:t>Voorstel –</w:t>
      </w:r>
      <w:r w:rsidRPr="00B21FAC">
        <w:t xml:space="preserve"> Er wordt een jaarlijkse algemene voetvrijstelling ingevoerd. Het bedrag van deze voetvrijstelling wordt vastgelegd in functie van de budgettaire mogelijkheden. Het voor een bepaald jaar niet benutte gedeelte van de voetvrijstelling is overdraagbaar.</w:t>
      </w:r>
    </w:p>
    <w:p w14:paraId="1E4E1C01" w14:textId="77777777" w:rsidR="00F447D5" w:rsidRPr="00B21FAC" w:rsidRDefault="00F447D5" w:rsidP="00BA7E3E">
      <w:pPr>
        <w:spacing w:after="0"/>
        <w:jc w:val="both"/>
      </w:pPr>
    </w:p>
    <w:p w14:paraId="359517BF" w14:textId="77777777" w:rsidR="00F447D5" w:rsidRPr="00B21FAC" w:rsidRDefault="00F447D5" w:rsidP="00BA7E3E">
      <w:pPr>
        <w:spacing w:after="0"/>
        <w:jc w:val="both"/>
      </w:pPr>
      <w:r w:rsidRPr="00B21FAC">
        <w:t>Voor zover er beslist zou worden om t.a.v. meerwaarden in het algemeen verlaagde tarieven te voorzien, is het aangewezen de voetvrijstelling t.a.v. meerwaarden uit te sluiten.</w:t>
      </w:r>
    </w:p>
    <w:p w14:paraId="33BCDBDF" w14:textId="77777777" w:rsidR="00F447D5" w:rsidRPr="00B21FAC" w:rsidRDefault="00F447D5" w:rsidP="00BA7E3E">
      <w:pPr>
        <w:spacing w:after="0"/>
        <w:jc w:val="both"/>
      </w:pPr>
    </w:p>
    <w:p w14:paraId="6F4BB98C" w14:textId="77777777" w:rsidR="00F447D5" w:rsidRPr="00B21FAC" w:rsidRDefault="00F447D5" w:rsidP="00BA7E3E">
      <w:pPr>
        <w:spacing w:after="0"/>
        <w:jc w:val="both"/>
        <w:rPr>
          <w:u w:val="single"/>
        </w:rPr>
      </w:pPr>
      <w:r w:rsidRPr="00B21FAC">
        <w:rPr>
          <w:u w:val="single"/>
        </w:rPr>
        <w:t>Toelichting:</w:t>
      </w:r>
    </w:p>
    <w:p w14:paraId="471A3143" w14:textId="77777777" w:rsidR="00F447D5" w:rsidRPr="00B21FAC" w:rsidRDefault="00F447D5" w:rsidP="00BA7E3E">
      <w:pPr>
        <w:spacing w:after="0"/>
        <w:jc w:val="both"/>
      </w:pPr>
    </w:p>
    <w:p w14:paraId="52E0A57D" w14:textId="5FF8C72C" w:rsidR="00F447D5" w:rsidRPr="00B21FAC" w:rsidRDefault="00F447D5" w:rsidP="00BA7E3E">
      <w:pPr>
        <w:spacing w:after="0"/>
        <w:jc w:val="both"/>
      </w:pPr>
      <w:r w:rsidRPr="00B21FAC">
        <w:t xml:space="preserve">De introductie van een voetvrijstelling laat toe de progressiviteit in de heffing te bewerkstelligen en op die manier dus ook rekening te houden met het draagkrachtbeginsel. Een dergelijke voetvrijstelling bestaat dus naast de </w:t>
      </w:r>
      <w:r w:rsidR="002A5F1A">
        <w:t>belastingvermindering</w:t>
      </w:r>
      <w:r w:rsidR="003C3F3D">
        <w:t xml:space="preserve"> op de belastingvrije som</w:t>
      </w:r>
      <w:r w:rsidRPr="00B21FAC">
        <w:t xml:space="preserve"> die gekoppeld word</w:t>
      </w:r>
      <w:r w:rsidR="001F34D0">
        <w:t>t</w:t>
      </w:r>
      <w:r w:rsidRPr="00B21FAC">
        <w:t xml:space="preserve"> aan </w:t>
      </w:r>
      <w:r w:rsidR="00E81877">
        <w:t xml:space="preserve">de </w:t>
      </w:r>
      <w:r w:rsidR="00976628">
        <w:t>belastingen op de activiteits- en vervangingsinkomsten</w:t>
      </w:r>
      <w:r w:rsidRPr="00B21FAC">
        <w:t>.</w:t>
      </w:r>
    </w:p>
    <w:p w14:paraId="0F399790" w14:textId="77777777" w:rsidR="00F447D5" w:rsidRPr="00B21FAC" w:rsidRDefault="00F447D5" w:rsidP="00BA7E3E">
      <w:pPr>
        <w:spacing w:after="0"/>
        <w:jc w:val="both"/>
      </w:pPr>
    </w:p>
    <w:p w14:paraId="2F78190D" w14:textId="3177F238" w:rsidR="00F447D5" w:rsidRPr="00B21FAC" w:rsidRDefault="00F447D5" w:rsidP="00BA7E3E">
      <w:pPr>
        <w:spacing w:after="0"/>
        <w:jc w:val="both"/>
      </w:pPr>
      <w:r w:rsidRPr="00B21FAC">
        <w:t>Bij de introductie van een dergelijke voetvrijstelling, moet er rekening mee worden gehouden dat niet-recurrente inkomsten vaak niet representatief zijn voor het jaarlijks gemeten verdienvermogen (bv. meerwaarden op lange termijn). Teneinde hiermee rekening te houden, zou de jaarlijks toegekende voetvrijstelling dan ook overdraagbaar moeten zijn, ten belope van het niet benutte gedeelte.</w:t>
      </w:r>
    </w:p>
    <w:p w14:paraId="2D65C1DE" w14:textId="77777777" w:rsidR="00F447D5" w:rsidRPr="00B21FAC" w:rsidRDefault="00F447D5" w:rsidP="00BA7E3E">
      <w:pPr>
        <w:spacing w:after="0"/>
        <w:jc w:val="both"/>
      </w:pPr>
    </w:p>
    <w:p w14:paraId="33CB39B1" w14:textId="1844AF50" w:rsidR="00F447D5" w:rsidRPr="00B21FAC" w:rsidRDefault="00F447D5" w:rsidP="00BA7E3E">
      <w:pPr>
        <w:spacing w:after="0"/>
        <w:jc w:val="both"/>
      </w:pPr>
      <w:r w:rsidRPr="00B21FAC">
        <w:rPr>
          <w:u w:val="single"/>
        </w:rPr>
        <w:t>PM:</w:t>
      </w:r>
      <w:r w:rsidRPr="00B21FAC">
        <w:t xml:space="preserve"> Om reden van eenvoud, zou er voor kunnen geopteerd worden om geen dergelijke overdracht te voorzien en dus meer in het algemeen geen voetvrijstelling toe te passen t.a.v. meerwaarden. Een dergelijke keuze is echter enkel opportuun voor zover om politieke redenen gekozen zou worden voor een verlaagd tarief op meerwaarden (</w:t>
      </w:r>
      <w:r w:rsidRPr="00B21FAC">
        <w:rPr>
          <w:i/>
          <w:iCs/>
        </w:rPr>
        <w:t>cf. supra</w:t>
      </w:r>
      <w:r w:rsidRPr="00B21FAC">
        <w:t xml:space="preserve">). Het vereenvoudigingsargument op zich wordt </w:t>
      </w:r>
      <w:r w:rsidR="00E348ED" w:rsidRPr="00B21FAC">
        <w:t xml:space="preserve">overigens </w:t>
      </w:r>
      <w:r w:rsidRPr="00B21FAC">
        <w:t>als weinig overtuigend beschouwd, temeer daar het invoeren van gedifferentieerde tarieven de onmiddellijke aanleiding vormt om anti-ontwijkingsbepalingen te voorzien teneinde te vermijden dat recurrente inkomsten worden omgezet in meerwaarden. De vereenvoudiging die men aan de ene kant zou bewerkstelligen, wordt dus aan de andere kant grotendeels teniet gedaan.</w:t>
      </w:r>
    </w:p>
    <w:p w14:paraId="23877E2D" w14:textId="54CD360F" w:rsidR="006055E2" w:rsidRDefault="006055E2">
      <w:r>
        <w:br w:type="page"/>
      </w:r>
    </w:p>
    <w:p w14:paraId="5F9FAF28" w14:textId="77777777" w:rsidR="00F447D5" w:rsidRPr="00B21FAC" w:rsidRDefault="00F447D5" w:rsidP="00BA7E3E">
      <w:pPr>
        <w:spacing w:after="0"/>
        <w:jc w:val="both"/>
      </w:pPr>
    </w:p>
    <w:p w14:paraId="07FA9DA5" w14:textId="77777777" w:rsidR="00F447D5" w:rsidRPr="00B21FAC" w:rsidRDefault="00F447D5" w:rsidP="00BA7E3E">
      <w:pPr>
        <w:spacing w:after="0"/>
        <w:jc w:val="both"/>
      </w:pPr>
    </w:p>
    <w:p w14:paraId="347E882D" w14:textId="03B09D31" w:rsidR="00F447D5" w:rsidRPr="00B21FAC" w:rsidRDefault="00F447D5" w:rsidP="00275FEB">
      <w:pPr>
        <w:pStyle w:val="Kop3"/>
        <w:numPr>
          <w:ilvl w:val="0"/>
          <w:numId w:val="42"/>
        </w:numPr>
      </w:pPr>
      <w:bookmarkStart w:id="199" w:name="_Toc107210927"/>
      <w:r w:rsidRPr="00B21FAC">
        <w:t>Maatregelen tegen vervennootschappelijking</w:t>
      </w:r>
      <w:bookmarkEnd w:id="199"/>
    </w:p>
    <w:p w14:paraId="753AF9E4" w14:textId="77777777" w:rsidR="00F447D5" w:rsidRPr="00B21FAC" w:rsidRDefault="00F447D5" w:rsidP="00BA7E3E">
      <w:pPr>
        <w:pStyle w:val="Lijstalinea"/>
        <w:spacing w:after="0"/>
        <w:ind w:left="0"/>
        <w:jc w:val="both"/>
      </w:pPr>
    </w:p>
    <w:p w14:paraId="72918DF8" w14:textId="77777777" w:rsidR="00F447D5" w:rsidRPr="00B21FAC" w:rsidRDefault="00F447D5" w:rsidP="00BA7E3E">
      <w:pPr>
        <w:pStyle w:val="Lijstalinea"/>
        <w:spacing w:after="0"/>
        <w:ind w:left="0"/>
        <w:jc w:val="both"/>
      </w:pPr>
    </w:p>
    <w:p w14:paraId="5CAB9792" w14:textId="3F06992A" w:rsidR="00630127" w:rsidRPr="00B21FAC" w:rsidRDefault="00F447D5" w:rsidP="00BA7E3E">
      <w:pPr>
        <w:pStyle w:val="Lijstalinea"/>
        <w:spacing w:after="0"/>
        <w:ind w:left="0"/>
        <w:jc w:val="both"/>
      </w:pPr>
      <w:r w:rsidRPr="00B21FAC">
        <w:rPr>
          <w:b/>
          <w:bCs/>
        </w:rPr>
        <w:t xml:space="preserve">Voorstel – </w:t>
      </w:r>
      <w:r w:rsidRPr="00B21FAC">
        <w:t xml:space="preserve">De fiscaal geïnspireerde vervennootschappelijking, die in de hand gewerkt wordt door eventueel verlaagde tarieven op dividenden en meerwaarden op aandelen, moet worden vermeden. </w:t>
      </w:r>
      <w:r w:rsidR="004F4FE6">
        <w:t xml:space="preserve">Het uiteindelijke doel moet erin bestaan dat </w:t>
      </w:r>
      <w:r w:rsidR="002E510E">
        <w:t>inkomsten die verband houden met reële arbeidsprestaties in hoofde van diegene die de arbeidsprestaties levert, ook als dusdanig worden belast.</w:t>
      </w:r>
    </w:p>
    <w:p w14:paraId="09F3BDFD" w14:textId="77777777" w:rsidR="00630127" w:rsidRPr="00B21FAC" w:rsidRDefault="00630127" w:rsidP="00BA7E3E">
      <w:pPr>
        <w:pStyle w:val="Lijstalinea"/>
        <w:spacing w:after="0"/>
        <w:ind w:left="0"/>
        <w:jc w:val="both"/>
      </w:pPr>
    </w:p>
    <w:p w14:paraId="550063E5" w14:textId="70BB6677" w:rsidR="00F447D5" w:rsidRPr="00B21FAC" w:rsidRDefault="00091188" w:rsidP="00BA7E3E">
      <w:pPr>
        <w:pStyle w:val="Lijstalinea"/>
        <w:spacing w:after="0"/>
        <w:ind w:left="0"/>
        <w:jc w:val="both"/>
        <w:rPr>
          <w:b/>
          <w:bCs/>
        </w:rPr>
      </w:pPr>
      <w:r>
        <w:t>Onverminderd de exploratie van eventuele andere</w:t>
      </w:r>
      <w:r w:rsidRPr="00B21FAC">
        <w:t xml:space="preserve"> </w:t>
      </w:r>
      <w:r w:rsidR="00564798" w:rsidRPr="00B21FAC">
        <w:t>denkpistes,</w:t>
      </w:r>
      <w:r w:rsidR="00BA71BE">
        <w:t xml:space="preserve"> </w:t>
      </w:r>
      <w:r w:rsidR="00D22082">
        <w:t xml:space="preserve">verdient het in ieder geval aanbeveling om de bestaande bepalingen rond de minimumbezoldiging </w:t>
      </w:r>
      <w:r w:rsidR="00251D89">
        <w:t>(</w:t>
      </w:r>
      <w:r w:rsidR="00251D89" w:rsidRPr="00251D89">
        <w:t>art. 215, lid 3, 4° WIB92</w:t>
      </w:r>
      <w:r w:rsidR="00251D89">
        <w:t xml:space="preserve">) </w:t>
      </w:r>
      <w:r w:rsidR="00D22082">
        <w:t>aan te scherpen,</w:t>
      </w:r>
      <w:r w:rsidR="00B46744">
        <w:t xml:space="preserve"> </w:t>
      </w:r>
      <w:r w:rsidR="00D22082">
        <w:t>o.m. door:</w:t>
      </w:r>
    </w:p>
    <w:p w14:paraId="605BCE8A" w14:textId="3CCD14D4" w:rsidR="00F447D5" w:rsidRPr="00B21FAC" w:rsidRDefault="00F447D5" w:rsidP="00BA7E3E">
      <w:pPr>
        <w:pStyle w:val="Lijstalinea"/>
        <w:numPr>
          <w:ilvl w:val="1"/>
          <w:numId w:val="19"/>
        </w:numPr>
        <w:ind w:left="1134"/>
        <w:jc w:val="both"/>
      </w:pPr>
      <w:r w:rsidRPr="00B21FAC">
        <w:t xml:space="preserve">(i) de minimumbezoldiging in ieder geval en op zijn minst dermate te verhogen dat de totale belastingdruk, rekening houdend met de voorgestelde lagere tarieven en bredere tariefschijven, samenvalt met de belastingdruk die weegt op het huidige niveau van 45.000 EUR, </w:t>
      </w:r>
      <w:r w:rsidR="00B77901">
        <w:t>waarbij best ook een indexering van de vooropgestelde minimumbezoldiging wordt ingevoerd</w:t>
      </w:r>
      <w:r w:rsidR="00B068A1">
        <w:t>;</w:t>
      </w:r>
    </w:p>
    <w:p w14:paraId="440A3603" w14:textId="22A4DF8F" w:rsidR="0092496D" w:rsidRPr="00B21FAC" w:rsidRDefault="00F447D5" w:rsidP="00BA7E3E">
      <w:pPr>
        <w:pStyle w:val="Lijstalinea"/>
        <w:numPr>
          <w:ilvl w:val="1"/>
          <w:numId w:val="19"/>
        </w:numPr>
        <w:ind w:left="1134"/>
        <w:jc w:val="both"/>
      </w:pPr>
      <w:r w:rsidRPr="00B21FAC">
        <w:t xml:space="preserve">(ii) te voorzien dat de bezoldiging minstens gelijk moet zijn aan </w:t>
      </w:r>
      <w:r w:rsidR="00F139ED">
        <w:t xml:space="preserve">een bepaalde referentievergoeding, bv. </w:t>
      </w:r>
      <w:r w:rsidRPr="00B21FAC">
        <w:t xml:space="preserve">de </w:t>
      </w:r>
      <w:r w:rsidR="00B068A1">
        <w:t xml:space="preserve">vergelijkbare </w:t>
      </w:r>
      <w:r w:rsidRPr="00B21FAC">
        <w:t>(arbeids)vergoeding toegekend aan de best betaalde werknemer / manager (desgevallend beoordeeld op het niveau van de vennootschap waarvoor de managementvennootschap diensten verleent)</w:t>
      </w:r>
      <w:r w:rsidR="00B068A1">
        <w:t>;</w:t>
      </w:r>
    </w:p>
    <w:p w14:paraId="156BFEE7" w14:textId="2A2142EC" w:rsidR="00F447D5" w:rsidRPr="00B21FAC" w:rsidRDefault="00F447D5" w:rsidP="00BA7E3E">
      <w:pPr>
        <w:pStyle w:val="Lijstalinea"/>
        <w:numPr>
          <w:ilvl w:val="1"/>
          <w:numId w:val="19"/>
        </w:numPr>
        <w:spacing w:after="0"/>
        <w:ind w:left="1134" w:hanging="357"/>
        <w:jc w:val="both"/>
      </w:pPr>
      <w:r w:rsidRPr="00B21FAC">
        <w:t xml:space="preserve">(ii) de effectieve </w:t>
      </w:r>
      <w:r w:rsidR="00B46C75">
        <w:t>belastingheffing</w:t>
      </w:r>
      <w:r w:rsidRPr="00B21FAC">
        <w:t xml:space="preserve"> als arbeidsinkomen te bewerkstelligen, desgevallend op het niveau van de vennootschap (i.p.v. het huidige regime waarbij de uitsluitende ‘sanctie’ bestaat uit de niet-toepassing van het verlaagd tarief ad 20%).</w:t>
      </w:r>
    </w:p>
    <w:p w14:paraId="2B968463" w14:textId="70F6A750" w:rsidR="00D84692" w:rsidRPr="002769BC" w:rsidRDefault="00D84692" w:rsidP="00BA7E3E">
      <w:pPr>
        <w:pStyle w:val="Lijstalinea"/>
        <w:spacing w:after="0"/>
        <w:ind w:left="0"/>
        <w:jc w:val="both"/>
      </w:pPr>
    </w:p>
    <w:p w14:paraId="583BE14E" w14:textId="0203F8F6" w:rsidR="005D3AB9" w:rsidRPr="00B21FAC" w:rsidRDefault="00D84692" w:rsidP="00BA7E3E">
      <w:pPr>
        <w:spacing w:after="0"/>
        <w:jc w:val="both"/>
      </w:pPr>
      <w:r w:rsidRPr="002769BC">
        <w:t xml:space="preserve">Zoals hoger aangegeven, </w:t>
      </w:r>
      <w:r w:rsidR="007E4922" w:rsidRPr="002769BC">
        <w:t>dringen aangescherpte maatregelen tegen de vervennootschappelijking zich in ieder geval op</w:t>
      </w:r>
      <w:r w:rsidR="00E40DE8" w:rsidRPr="00BA7E3E">
        <w:t xml:space="preserve"> </w:t>
      </w:r>
      <w:r w:rsidR="007E4922" w:rsidRPr="002769BC">
        <w:t xml:space="preserve">voor zover beslist zou worden om </w:t>
      </w:r>
      <w:r w:rsidR="00366153" w:rsidRPr="002769BC">
        <w:t xml:space="preserve">dividenden en meerwaarden op aandelen aan een verlaagd tarief te onderwerpen. </w:t>
      </w:r>
      <w:r w:rsidR="0024094B" w:rsidRPr="00BA7E3E">
        <w:t xml:space="preserve">Deze nood is veel minder acuut voor zover de genoemde inkomsten aan het basistarief zouden worden onderworpen. </w:t>
      </w:r>
      <w:r w:rsidR="007C1253">
        <w:t>Dit laatste kan</w:t>
      </w:r>
      <w:r w:rsidR="0098757C" w:rsidRPr="00BA7E3E">
        <w:t xml:space="preserve"> conceptueel verdedigd worden, voor zover </w:t>
      </w:r>
      <w:r w:rsidR="0098757C" w:rsidRPr="002769BC">
        <w:t>er</w:t>
      </w:r>
      <w:r w:rsidR="00366153" w:rsidRPr="002769BC">
        <w:t xml:space="preserve"> </w:t>
      </w:r>
      <w:r w:rsidR="005558F0" w:rsidRPr="002769BC">
        <w:t xml:space="preserve">meer doelgerichte maatregelen </w:t>
      </w:r>
      <w:r w:rsidR="0098757C" w:rsidRPr="002769BC">
        <w:t>worden genomen</w:t>
      </w:r>
      <w:r w:rsidR="001F3ECA" w:rsidRPr="002769BC">
        <w:t xml:space="preserve"> </w:t>
      </w:r>
      <w:r w:rsidR="005558F0" w:rsidRPr="002769BC">
        <w:t>die ertoe strekken de belastingdruk in hoofde van de vennootschap te temperen</w:t>
      </w:r>
      <w:r w:rsidR="005432CB" w:rsidRPr="002769BC">
        <w:t xml:space="preserve"> (zie hoger)</w:t>
      </w:r>
      <w:r w:rsidR="005558F0" w:rsidRPr="002769BC">
        <w:t>.</w:t>
      </w:r>
      <w:r w:rsidR="005432CB">
        <w:t xml:space="preserve"> </w:t>
      </w:r>
    </w:p>
    <w:p w14:paraId="2563E715" w14:textId="77777777" w:rsidR="00220D4B" w:rsidRPr="00B21FAC" w:rsidRDefault="00220D4B" w:rsidP="00BA7E3E">
      <w:pPr>
        <w:pStyle w:val="Lijstalinea"/>
        <w:spacing w:after="0"/>
        <w:ind w:left="0"/>
        <w:jc w:val="both"/>
      </w:pPr>
    </w:p>
    <w:p w14:paraId="27500E2B" w14:textId="77777777" w:rsidR="00F447D5" w:rsidRPr="00B21FAC" w:rsidRDefault="00F447D5" w:rsidP="00BA7E3E">
      <w:pPr>
        <w:pStyle w:val="Lijstalinea"/>
        <w:spacing w:after="0"/>
        <w:ind w:left="0"/>
        <w:jc w:val="both"/>
        <w:rPr>
          <w:u w:val="single"/>
        </w:rPr>
      </w:pPr>
      <w:r w:rsidRPr="00B21FAC">
        <w:rPr>
          <w:u w:val="single"/>
        </w:rPr>
        <w:t>Toelichting:</w:t>
      </w:r>
    </w:p>
    <w:p w14:paraId="453C5E03" w14:textId="77777777" w:rsidR="00F447D5" w:rsidRPr="00B21FAC" w:rsidRDefault="00F447D5" w:rsidP="00BA7E3E">
      <w:pPr>
        <w:pStyle w:val="Lijstalinea"/>
        <w:spacing w:after="0"/>
        <w:ind w:left="0"/>
        <w:jc w:val="both"/>
      </w:pPr>
    </w:p>
    <w:p w14:paraId="37EF837D" w14:textId="30BBFDEC" w:rsidR="00F447D5" w:rsidRPr="00B21FAC" w:rsidRDefault="00F447D5" w:rsidP="00275FEB">
      <w:pPr>
        <w:pStyle w:val="Lijstalinea"/>
        <w:ind w:left="0"/>
        <w:jc w:val="both"/>
      </w:pPr>
      <w:r w:rsidRPr="00B21FAC">
        <w:t xml:space="preserve">Een </w:t>
      </w:r>
      <w:r w:rsidR="00B46C75">
        <w:t>belastingheffing</w:t>
      </w:r>
      <w:r w:rsidRPr="00B21FAC">
        <w:t xml:space="preserve"> als vermogensinkomen </w:t>
      </w:r>
      <w:r w:rsidR="007C1253">
        <w:t>veronderstelt</w:t>
      </w:r>
      <w:r w:rsidRPr="00B21FAC">
        <w:t xml:space="preserve"> dat dit inkomen de daadwerkelijke vergoeding vormt voor het ingebrachte eigen vermogen of voor het door de ondernemingsactiviteit opgebouwde vermogen</w:t>
      </w:r>
      <w:r w:rsidR="00E439F2" w:rsidRPr="00B21FAC">
        <w:t xml:space="preserve"> (dat ook ten dienste van deze ondernemingsactiviteit wordt gesteld)</w:t>
      </w:r>
      <w:r w:rsidRPr="00B21FAC">
        <w:t xml:space="preserve">. Omgekeerd is een </w:t>
      </w:r>
      <w:r w:rsidR="00B46C75">
        <w:t>belastingheffing</w:t>
      </w:r>
      <w:r w:rsidRPr="00B21FAC">
        <w:t xml:space="preserve"> als arbeidsinkomen uitsluitend verantwoordbaar voor zover dit inkomen de effectieve vergoeding vormt voor arbeid.</w:t>
      </w:r>
    </w:p>
    <w:p w14:paraId="7A94298C" w14:textId="77777777" w:rsidR="00F447D5" w:rsidRPr="00B21FAC" w:rsidRDefault="00F447D5" w:rsidP="00275FEB">
      <w:pPr>
        <w:pStyle w:val="Lijstalinea"/>
        <w:ind w:left="0"/>
        <w:jc w:val="both"/>
      </w:pPr>
    </w:p>
    <w:p w14:paraId="210AE994" w14:textId="74057B24" w:rsidR="00F447D5" w:rsidRPr="00B21FAC" w:rsidRDefault="00F447D5" w:rsidP="00275FEB">
      <w:pPr>
        <w:pStyle w:val="Lijstalinea"/>
        <w:ind w:left="0"/>
        <w:jc w:val="both"/>
      </w:pPr>
      <w:r w:rsidRPr="00B21FAC">
        <w:t xml:space="preserve">Een differentiatie in </w:t>
      </w:r>
      <w:r w:rsidR="00B46C75">
        <w:t>belastingheffings</w:t>
      </w:r>
      <w:r w:rsidR="00B46C75" w:rsidRPr="00B21FAC">
        <w:t xml:space="preserve">niveaus </w:t>
      </w:r>
      <w:r w:rsidRPr="00B21FAC">
        <w:t xml:space="preserve">(arbeid vs. </w:t>
      </w:r>
      <w:r w:rsidR="00E14C0D">
        <w:t>vermogen</w:t>
      </w:r>
      <w:r w:rsidRPr="00B21FAC">
        <w:t xml:space="preserve">) kan aanleiding geven tot een oneigenlijk ‘gebruik’ van het ene of het andere stelsel. Binnen dit kader situeert zich het probleem van de fiscaal geïnspireerde vervennootschappelijking. Dit komt er (beknopt gesteld) op neer dat een (vaak uitsluitend) arbeidsinkomen voor het overgrote gedeelte geconverteerd wordt in een vermogensinkomen, louter omwille van het feit dat de activiteit uitgeoefend wordt via een vennootschap. </w:t>
      </w:r>
    </w:p>
    <w:p w14:paraId="3AAFA736" w14:textId="77777777" w:rsidR="00F447D5" w:rsidRPr="00B21FAC" w:rsidRDefault="00F447D5" w:rsidP="00275FEB">
      <w:pPr>
        <w:pStyle w:val="Lijstalinea"/>
        <w:ind w:left="0"/>
        <w:jc w:val="both"/>
      </w:pPr>
    </w:p>
    <w:p w14:paraId="7FAE914A" w14:textId="2E6BDE6F" w:rsidR="00F447D5" w:rsidRPr="00B21FAC" w:rsidRDefault="00F447D5" w:rsidP="00275FEB">
      <w:pPr>
        <w:pStyle w:val="Lijstalinea"/>
        <w:ind w:left="0"/>
        <w:jc w:val="both"/>
      </w:pPr>
      <w:r w:rsidRPr="00B21FAC">
        <w:t xml:space="preserve">Het probleem van de vervennootschappelijking hangt dus nauw samen met het inzicht dat (op vandaag) de </w:t>
      </w:r>
      <w:r w:rsidR="00B46C75">
        <w:t>heffings</w:t>
      </w:r>
      <w:r w:rsidR="00B46C75" w:rsidRPr="00B21FAC">
        <w:t xml:space="preserve">niveaus </w:t>
      </w:r>
      <w:r w:rsidRPr="00B21FAC">
        <w:t xml:space="preserve">(met inbegrip van de parafiscaliteit) op arbeidsinkomsten aanzienlijk hoger liggen dan de </w:t>
      </w:r>
      <w:r w:rsidR="00B46C75">
        <w:t>heffings</w:t>
      </w:r>
      <w:r w:rsidR="00B46C75" w:rsidRPr="00B21FAC">
        <w:t xml:space="preserve">niveaus </w:t>
      </w:r>
      <w:r w:rsidRPr="00B21FAC">
        <w:t xml:space="preserve">op vermogensinkomsten. Een verlaging van de tarieven en de verbreding van de tariefschijven, van toepassing op inkomsten uit arbeid, </w:t>
      </w:r>
      <w:r w:rsidR="007306B5">
        <w:t>zullen</w:t>
      </w:r>
      <w:r w:rsidR="007306B5" w:rsidRPr="00B21FAC">
        <w:t xml:space="preserve"> </w:t>
      </w:r>
      <w:r w:rsidRPr="00B21FAC">
        <w:t xml:space="preserve">het probleem van de vervennootschappelijking in zekere mate terugdringen (waarbij uiteraard ook rekening moet worden gehouden dat de eerdere verlaging van de tarieven in de vennootschapsbelasting het probleem voorheen reeds heeft vergroot). Dit neemt niet weg dat bijkomende maatregelen aangewezen kunnen blijven, zeker indien t.a.v. dividenden en meerwaarden op aandelen een verlaagd tarief zou gelden (zie voor de verantwoording </w:t>
      </w:r>
      <w:r w:rsidRPr="00B21FAC">
        <w:rPr>
          <w:i/>
          <w:iCs/>
        </w:rPr>
        <w:t>supra</w:t>
      </w:r>
      <w:r w:rsidRPr="00B21FAC">
        <w:t>).</w:t>
      </w:r>
    </w:p>
    <w:p w14:paraId="6708B971" w14:textId="77777777" w:rsidR="00F447D5" w:rsidRPr="00B21FAC" w:rsidRDefault="00F447D5" w:rsidP="00275FEB">
      <w:pPr>
        <w:pStyle w:val="Lijstalinea"/>
        <w:ind w:left="0"/>
        <w:jc w:val="both"/>
      </w:pPr>
    </w:p>
    <w:p w14:paraId="54BF241A" w14:textId="232BA745" w:rsidR="00F447D5" w:rsidRDefault="00F447D5" w:rsidP="00275FEB">
      <w:pPr>
        <w:pStyle w:val="Lijstalinea"/>
        <w:ind w:left="0"/>
        <w:jc w:val="both"/>
      </w:pPr>
      <w:r w:rsidRPr="00B21FAC">
        <w:t xml:space="preserve">Het komt er dus op aan de middels de vennootschap gerealiseerde arbeidsinkomsten ook </w:t>
      </w:r>
      <w:r w:rsidR="00801EB1">
        <w:t>zo</w:t>
      </w:r>
      <w:r w:rsidR="00801EB1" w:rsidRPr="00B21FAC">
        <w:t xml:space="preserve">danig </w:t>
      </w:r>
      <w:r w:rsidRPr="00B21FAC">
        <w:t>te belasten. Dit kan op diverse manieren bewerkstelligd worden</w:t>
      </w:r>
      <w:r w:rsidR="00231038">
        <w:t>.</w:t>
      </w:r>
    </w:p>
    <w:p w14:paraId="4502D86C" w14:textId="0EF81267" w:rsidR="00231038" w:rsidRDefault="00231038" w:rsidP="00275FEB">
      <w:pPr>
        <w:pStyle w:val="Lijstalinea"/>
        <w:ind w:left="0"/>
        <w:jc w:val="both"/>
      </w:pPr>
    </w:p>
    <w:p w14:paraId="2EC9814D" w14:textId="588DF468" w:rsidR="00253746" w:rsidRDefault="00231038" w:rsidP="00BA7E3E">
      <w:pPr>
        <w:pStyle w:val="Lijstalinea"/>
        <w:spacing w:after="0"/>
        <w:ind w:left="0"/>
        <w:jc w:val="both"/>
      </w:pPr>
      <w:r>
        <w:t xml:space="preserve">Een </w:t>
      </w:r>
      <w:r w:rsidRPr="00BA7E3E">
        <w:rPr>
          <w:u w:val="single"/>
        </w:rPr>
        <w:t>eerste methode</w:t>
      </w:r>
      <w:r>
        <w:t xml:space="preserve"> (die ook in het genoemde voorstel wordt opgenomen) </w:t>
      </w:r>
      <w:r w:rsidR="00686FAF">
        <w:t>betreft het inbouwen van b</w:t>
      </w:r>
      <w:r w:rsidR="00F447D5" w:rsidRPr="00B21FAC">
        <w:t xml:space="preserve">epalingen omtrent een minimumbezoldiging. </w:t>
      </w:r>
    </w:p>
    <w:p w14:paraId="1754C3C1" w14:textId="77777777" w:rsidR="00253746" w:rsidRDefault="00253746" w:rsidP="00BA7E3E">
      <w:pPr>
        <w:pStyle w:val="Lijstalinea"/>
        <w:spacing w:after="0"/>
        <w:ind w:left="0"/>
        <w:jc w:val="both"/>
      </w:pPr>
    </w:p>
    <w:p w14:paraId="7F7367C2" w14:textId="35ABE045" w:rsidR="00253746" w:rsidRDefault="00686FAF" w:rsidP="00BA7E3E">
      <w:pPr>
        <w:pStyle w:val="Lijstalinea"/>
        <w:spacing w:after="0"/>
        <w:ind w:left="0"/>
        <w:jc w:val="both"/>
      </w:pPr>
      <w:r>
        <w:t xml:space="preserve">De uiteindelijke betrachting moet erin bestaan dat de </w:t>
      </w:r>
      <w:r w:rsidR="00A90CC0">
        <w:t>aandeelhouder voor de door hem</w:t>
      </w:r>
      <w:r w:rsidR="00FA0C5D">
        <w:t>/haar</w:t>
      </w:r>
      <w:r w:rsidR="00A90CC0">
        <w:t xml:space="preserve"> verrichte arbeidsprestaties ook een marktconforme vergoeding verkrijgt. </w:t>
      </w:r>
    </w:p>
    <w:p w14:paraId="331B10F3" w14:textId="77777777" w:rsidR="00253746" w:rsidRDefault="00253746" w:rsidP="00BA7E3E">
      <w:pPr>
        <w:pStyle w:val="Lijstalinea"/>
        <w:spacing w:after="0"/>
        <w:ind w:left="0"/>
        <w:jc w:val="both"/>
      </w:pPr>
    </w:p>
    <w:p w14:paraId="76F91591" w14:textId="0F3D98E9" w:rsidR="005F64D2" w:rsidRDefault="00F447D5" w:rsidP="00275FEB">
      <w:pPr>
        <w:pStyle w:val="Lijstalinea"/>
        <w:spacing w:after="0"/>
        <w:ind w:left="0"/>
        <w:jc w:val="both"/>
      </w:pPr>
      <w:r w:rsidRPr="00B21FAC">
        <w:t xml:space="preserve">De grootste moeilijkheid bij een dergelijk systeem bestaat erin </w:t>
      </w:r>
      <w:r w:rsidR="006F07B2">
        <w:t>te bepalen</w:t>
      </w:r>
      <w:r w:rsidRPr="00B21FAC">
        <w:t xml:space="preserve"> welk deel van de door de rechtspersoon gerealiseerde opbrengsten redelijkerwijze als bezoldiging moet toegekend of toegerekend worden aan de aandeelhouder die eveneens arbeidsprestaties levert die ten goede komen aan de rechtspersoon.</w:t>
      </w:r>
      <w:r w:rsidR="005F64D2" w:rsidRPr="005F64D2">
        <w:t xml:space="preserve"> </w:t>
      </w:r>
      <w:r w:rsidR="005F64D2">
        <w:t xml:space="preserve">De voorgestelde maatregelen </w:t>
      </w:r>
      <w:r w:rsidR="00544087">
        <w:t>beogen</w:t>
      </w:r>
      <w:r w:rsidR="005F64D2" w:rsidRPr="005F64D2">
        <w:t xml:space="preserve"> een effectieve toekenning van meer marktconforme bedrijfsleidersbezoldigingen</w:t>
      </w:r>
      <w:r w:rsidR="00544087">
        <w:t xml:space="preserve"> te bewerkstelligen</w:t>
      </w:r>
      <w:r w:rsidR="005F64D2" w:rsidRPr="005F64D2">
        <w:t>.</w:t>
      </w:r>
    </w:p>
    <w:p w14:paraId="6C597FA7" w14:textId="77777777" w:rsidR="00F17A05" w:rsidRDefault="00F17A05" w:rsidP="00BA7E3E">
      <w:pPr>
        <w:spacing w:after="0"/>
        <w:jc w:val="both"/>
      </w:pPr>
    </w:p>
    <w:p w14:paraId="269D8784" w14:textId="0AD7DAAA" w:rsidR="00561243" w:rsidRDefault="00C42D35" w:rsidP="00BA7E3E">
      <w:pPr>
        <w:spacing w:after="0"/>
        <w:jc w:val="both"/>
      </w:pPr>
      <w:r>
        <w:t xml:space="preserve">Een </w:t>
      </w:r>
      <w:r w:rsidRPr="00BA7E3E">
        <w:rPr>
          <w:u w:val="single"/>
        </w:rPr>
        <w:t>tweede methode</w:t>
      </w:r>
      <w:r>
        <w:t xml:space="preserve"> die verder kan onderzocht worden, </w:t>
      </w:r>
      <w:r w:rsidR="00FE3DA2">
        <w:t xml:space="preserve">betreft het voorzien van zogenaamde ‘herkwalificatiebepalingen’ </w:t>
      </w:r>
      <w:r w:rsidR="004948F6">
        <w:t xml:space="preserve">op grond waarvan </w:t>
      </w:r>
      <w:r w:rsidR="00F447D5" w:rsidRPr="00B21FAC">
        <w:t>het inkomen van de vennootschap dat het ‘normale rendement’ op het vermogen overstijgt</w:t>
      </w:r>
      <w:r w:rsidR="00BA65BB">
        <w:t>,</w:t>
      </w:r>
      <w:r w:rsidR="004948F6">
        <w:t xml:space="preserve"> behandeld wordt als een activiteitsinkomen</w:t>
      </w:r>
      <w:r w:rsidR="007D6ED0">
        <w:t xml:space="preserve"> in hoofde van diegene die de arbeidsprestaties heeft geleverd</w:t>
      </w:r>
      <w:r w:rsidR="00F447D5" w:rsidRPr="00B21FAC">
        <w:t>. Hier is het uiteraard zaak om uit te maken wat dan het ‘normale rendement’ zou zijn.</w:t>
      </w:r>
      <w:r w:rsidR="00D46FBE">
        <w:t xml:space="preserve"> </w:t>
      </w:r>
    </w:p>
    <w:p w14:paraId="70A8D30C" w14:textId="77777777" w:rsidR="00253746" w:rsidRDefault="00253746" w:rsidP="00BA7E3E">
      <w:pPr>
        <w:spacing w:after="0"/>
        <w:jc w:val="both"/>
      </w:pPr>
    </w:p>
    <w:p w14:paraId="16C35D2D" w14:textId="2A433DDB" w:rsidR="00535F6C" w:rsidRPr="00535F6C" w:rsidRDefault="00D46FBE" w:rsidP="00BA7E3E">
      <w:pPr>
        <w:spacing w:after="0"/>
        <w:jc w:val="both"/>
      </w:pPr>
      <w:r>
        <w:t xml:space="preserve">Een manier om zulks te implementeren, zou kunnen zijn dat men </w:t>
      </w:r>
      <w:r w:rsidR="00482747">
        <w:t xml:space="preserve">de </w:t>
      </w:r>
      <w:r w:rsidR="00535F6C" w:rsidRPr="00535F6C">
        <w:t>zogenaamde ‘excessieve’ dividenden</w:t>
      </w:r>
      <w:r w:rsidR="00482747">
        <w:t xml:space="preserve"> automatisch kwalificeert als een belastbare bezoldiging</w:t>
      </w:r>
      <w:r w:rsidR="00535F6C" w:rsidRPr="00535F6C">
        <w:t>. Men kan het stelsel conceptueel vergelijken met het huidige stelsel waarbij excessieve huurinkomsten geherkwalificeerd worden in belastbare bezoldigingen.</w:t>
      </w:r>
      <w:r w:rsidR="00482747">
        <w:t xml:space="preserve"> </w:t>
      </w:r>
      <w:r w:rsidR="00535F6C" w:rsidRPr="00535F6C">
        <w:t xml:space="preserve">Het exces dient </w:t>
      </w:r>
      <w:r w:rsidR="00482747">
        <w:t xml:space="preserve">uiteraard </w:t>
      </w:r>
      <w:r w:rsidR="00535F6C" w:rsidRPr="00535F6C">
        <w:t xml:space="preserve">nader te worden omschreven maar kan (o.m.) bepaald worden in functie van het bedrag van de bezoldigingen of in functie van een bepaald rendement op het vermogen. </w:t>
      </w:r>
    </w:p>
    <w:p w14:paraId="4C7D83C9" w14:textId="77777777" w:rsidR="00253746" w:rsidRDefault="00253746" w:rsidP="00BA7E3E">
      <w:pPr>
        <w:spacing w:after="0"/>
        <w:jc w:val="both"/>
      </w:pPr>
    </w:p>
    <w:p w14:paraId="5FDA42FD" w14:textId="319F6F4C" w:rsidR="00535F6C" w:rsidRDefault="00561243" w:rsidP="00BA7E3E">
      <w:pPr>
        <w:spacing w:after="0"/>
        <w:jc w:val="both"/>
      </w:pPr>
      <w:r>
        <w:t>Voor zover een dergelijk stelsel zou overwogen worden, moet a</w:t>
      </w:r>
      <w:r w:rsidR="00535F6C" w:rsidRPr="00535F6C">
        <w:t xml:space="preserve">an de belastingplichtige in voorkomend geval wel de mogelijkheid worden geboden om de marktconformiteit van het rendement aan te tonen (door er bv. op te wijzen dat de vennootschap uitzonderlijke resultaten heeft neergezet). </w:t>
      </w:r>
    </w:p>
    <w:p w14:paraId="2F237ED2" w14:textId="77777777" w:rsidR="00253746" w:rsidRPr="00535F6C" w:rsidRDefault="00253746" w:rsidP="00BA7E3E">
      <w:pPr>
        <w:spacing w:after="0"/>
        <w:jc w:val="both"/>
      </w:pPr>
    </w:p>
    <w:p w14:paraId="72E4CD31" w14:textId="491FCD34" w:rsidR="00253746" w:rsidRDefault="00107D2E" w:rsidP="00BA7E3E">
      <w:pPr>
        <w:spacing w:after="0"/>
        <w:jc w:val="both"/>
      </w:pPr>
      <w:r>
        <w:t xml:space="preserve">Een </w:t>
      </w:r>
      <w:r w:rsidRPr="00BA7E3E">
        <w:rPr>
          <w:u w:val="single"/>
        </w:rPr>
        <w:t>laatste (en allicht meest verregaande) methode</w:t>
      </w:r>
      <w:r>
        <w:t xml:space="preserve"> </w:t>
      </w:r>
      <w:r w:rsidR="006A6480">
        <w:t xml:space="preserve">zou erin kunnen bestaan dat men </w:t>
      </w:r>
      <w:r w:rsidR="006A6480" w:rsidRPr="006A6480">
        <w:t xml:space="preserve">t.a.v. bepaalde vennootschappen bijzondere regelingen </w:t>
      </w:r>
      <w:r w:rsidR="006A6480">
        <w:t>voorziet</w:t>
      </w:r>
      <w:r w:rsidR="006A6480" w:rsidRPr="006A6480">
        <w:t xml:space="preserve">, </w:t>
      </w:r>
      <w:r w:rsidR="00985C61">
        <w:t>bv.</w:t>
      </w:r>
      <w:r w:rsidR="006A6480" w:rsidRPr="006A6480">
        <w:t xml:space="preserve"> in de hypothese waarbij een ‘grootaandeelhouder’ een beroepswerkzaamheid uitoefent die aan deze persoon zelf verbonden is en die de vennootschap niet zou kunnen uitoefenen zonder de actieve betrokkenheid van deze persoon.</w:t>
      </w:r>
      <w:r w:rsidR="005772C6">
        <w:t xml:space="preserve"> </w:t>
      </w:r>
    </w:p>
    <w:p w14:paraId="1BF0131E" w14:textId="77777777" w:rsidR="00253746" w:rsidRDefault="00253746" w:rsidP="00BA7E3E">
      <w:pPr>
        <w:spacing w:after="0"/>
        <w:jc w:val="both"/>
      </w:pPr>
    </w:p>
    <w:p w14:paraId="3D3BF4BB" w14:textId="70D47FA4" w:rsidR="009E4DE8" w:rsidRDefault="005772C6" w:rsidP="00BA7E3E">
      <w:pPr>
        <w:spacing w:after="0"/>
        <w:jc w:val="both"/>
      </w:pPr>
      <w:r>
        <w:t xml:space="preserve">Een dergelijk regime kan </w:t>
      </w:r>
      <w:r w:rsidR="00611CAF" w:rsidRPr="00B21FAC">
        <w:t xml:space="preserve">de vorm aannemen van </w:t>
      </w:r>
      <w:r w:rsidR="00AD1C75" w:rsidRPr="00B21FAC">
        <w:t>een bijzondere aanslagvoet (bv. een evenredig en definitief tarief op alle winsten). Verdergaand kunnen t</w:t>
      </w:r>
      <w:r w:rsidR="00F447D5" w:rsidRPr="00B21FAC">
        <w:t xml:space="preserve">ransparantiebepalingen </w:t>
      </w:r>
      <w:r w:rsidR="00AD1C75" w:rsidRPr="00B21FAC">
        <w:t xml:space="preserve">overwogen worden </w:t>
      </w:r>
      <w:r w:rsidR="00F447D5" w:rsidRPr="00B21FAC">
        <w:t xml:space="preserve">waarbij de door bepaalde vennootschappen gerealiseerde inkomsten fiscaal samengevoegd worden met het inkomen van de aandeelhouder(s) en in hun hoofde (in de personenbelasting) worden belast. </w:t>
      </w:r>
    </w:p>
    <w:p w14:paraId="2C40F687" w14:textId="77777777" w:rsidR="009E4DE8" w:rsidRDefault="009E4DE8" w:rsidP="00BA7E3E">
      <w:pPr>
        <w:spacing w:after="0"/>
        <w:jc w:val="both"/>
      </w:pPr>
    </w:p>
    <w:p w14:paraId="3A6CEC4E" w14:textId="2465B21B" w:rsidR="00776149" w:rsidRPr="00B21FAC" w:rsidRDefault="00F447D5" w:rsidP="00BA7E3E">
      <w:pPr>
        <w:spacing w:after="0"/>
        <w:jc w:val="both"/>
      </w:pPr>
      <w:r w:rsidRPr="00B21FAC">
        <w:t xml:space="preserve">De grootste moeilijkheid </w:t>
      </w:r>
      <w:r w:rsidR="006F07B2">
        <w:t xml:space="preserve">bij </w:t>
      </w:r>
      <w:r w:rsidR="00AD1C75" w:rsidRPr="00B21FAC">
        <w:t>dergelijke stelsels</w:t>
      </w:r>
      <w:r w:rsidRPr="00B21FAC">
        <w:t xml:space="preserve"> is de afbakening van het toepassingsgebied (mede in het licht van het gelijkheidsbeginsel, waarbij de wetgever uiteraard wel gerechtigd is algemene categorieën te definiëren).</w:t>
      </w:r>
    </w:p>
    <w:p w14:paraId="3385203A" w14:textId="77777777" w:rsidR="00F447D5" w:rsidRPr="00B21FAC" w:rsidRDefault="00F447D5" w:rsidP="00BA7E3E">
      <w:pPr>
        <w:spacing w:after="0"/>
        <w:jc w:val="both"/>
      </w:pPr>
    </w:p>
    <w:p w14:paraId="4FFAF82D" w14:textId="73E9CA13" w:rsidR="00776149" w:rsidRPr="00776149" w:rsidRDefault="00776149" w:rsidP="00BA7E3E">
      <w:pPr>
        <w:pStyle w:val="Lijstalinea"/>
        <w:ind w:left="0"/>
        <w:jc w:val="both"/>
        <w:rPr>
          <w:u w:val="single"/>
        </w:rPr>
      </w:pPr>
      <w:r>
        <w:rPr>
          <w:u w:val="single"/>
        </w:rPr>
        <w:t>PM:</w:t>
      </w:r>
      <w:r w:rsidRPr="00BA7E3E">
        <w:t xml:space="preserve"> </w:t>
      </w:r>
      <w:r w:rsidR="003962F7">
        <w:t>Er kan</w:t>
      </w:r>
      <w:r w:rsidRPr="00BA7E3E">
        <w:t xml:space="preserve"> </w:t>
      </w:r>
      <w:r w:rsidR="00985C61">
        <w:t xml:space="preserve">ook </w:t>
      </w:r>
      <w:r w:rsidRPr="00BA7E3E">
        <w:t xml:space="preserve">overwogen worden om het verlaagd tarief in de vennootschapsbelasting van 20% te schrappen. Een dergelijke </w:t>
      </w:r>
      <w:r w:rsidR="003962F7">
        <w:t xml:space="preserve">verlaagd </w:t>
      </w:r>
      <w:r w:rsidRPr="00BA7E3E">
        <w:t xml:space="preserve">tarief moedigt de vervennootschappelijking aan en leidt daarenboven tot een distorsie tussen “kleine” en “grote” ondernemingen, hetgeen meteen ook leidt tot de “kleine ondernemings”-val. De in de vennootschapsbelasting ingebouwde progressiviteit houdt voorts geen verband met enig herverdelingopzet. </w:t>
      </w:r>
    </w:p>
    <w:p w14:paraId="7F50A82B" w14:textId="77777777" w:rsidR="00686217" w:rsidRDefault="00686217" w:rsidP="00BA7E3E">
      <w:pPr>
        <w:pStyle w:val="Lijstalinea"/>
        <w:spacing w:after="0"/>
        <w:ind w:left="0"/>
        <w:jc w:val="both"/>
        <w:rPr>
          <w:u w:val="single"/>
        </w:rPr>
      </w:pPr>
    </w:p>
    <w:p w14:paraId="3E3A8F7B" w14:textId="007ABA7B" w:rsidR="00F447D5" w:rsidRPr="00B21FAC" w:rsidRDefault="00F447D5" w:rsidP="00BA7E3E">
      <w:pPr>
        <w:pStyle w:val="Lijstalinea"/>
        <w:spacing w:after="0"/>
        <w:ind w:left="0"/>
        <w:jc w:val="both"/>
      </w:pPr>
      <w:r w:rsidRPr="00B21FAC">
        <w:rPr>
          <w:u w:val="single"/>
        </w:rPr>
        <w:t>PM:</w:t>
      </w:r>
      <w:r w:rsidRPr="00B21FAC">
        <w:t xml:space="preserve"> Onverminderd het nemen van maatregelen die de fiscaal geïnspireerde vervennootschappelijking moeten ontmoedigen, worden ook maatregelen genomen die ertoe strekken om binnen de personenbelasting zelf tot meer rechtsvormneutraliteit te komen voor ondernemingsactiviteiten. </w:t>
      </w:r>
      <w:r w:rsidR="00A122D6" w:rsidRPr="00B21FAC">
        <w:t>Hiertoe kan verwezen worden naar het hoger besproken vermogensrendement</w:t>
      </w:r>
      <w:r w:rsidRPr="00B21FAC">
        <w:t xml:space="preserve">. </w:t>
      </w:r>
    </w:p>
    <w:p w14:paraId="679F2E09" w14:textId="77777777" w:rsidR="00F447D5" w:rsidRPr="00B21FAC" w:rsidRDefault="00F447D5" w:rsidP="00BA7E3E">
      <w:pPr>
        <w:pStyle w:val="Lijstalinea"/>
        <w:spacing w:after="0"/>
        <w:ind w:left="0"/>
        <w:jc w:val="both"/>
      </w:pPr>
    </w:p>
    <w:p w14:paraId="60B5ECA1" w14:textId="77777777" w:rsidR="00F447D5" w:rsidRPr="00B21FAC" w:rsidRDefault="00F447D5" w:rsidP="00BA7E3E">
      <w:pPr>
        <w:pStyle w:val="Lijstalinea"/>
        <w:spacing w:after="0"/>
        <w:ind w:left="0"/>
        <w:jc w:val="both"/>
      </w:pPr>
    </w:p>
    <w:p w14:paraId="3E43C2C4" w14:textId="2FB74D88" w:rsidR="00F447D5" w:rsidRPr="00B21FAC" w:rsidRDefault="00F447D5" w:rsidP="00275FEB">
      <w:pPr>
        <w:pStyle w:val="Kop3"/>
        <w:numPr>
          <w:ilvl w:val="0"/>
          <w:numId w:val="42"/>
        </w:numPr>
      </w:pPr>
      <w:bookmarkStart w:id="200" w:name="_Toc107210928"/>
      <w:r w:rsidRPr="00B21FAC">
        <w:t>De veralgemeende aangifteverplichting</w:t>
      </w:r>
      <w:bookmarkEnd w:id="200"/>
    </w:p>
    <w:p w14:paraId="4893B0B8" w14:textId="77777777" w:rsidR="00F447D5" w:rsidRPr="00B21FAC" w:rsidRDefault="00F447D5" w:rsidP="00BA7E3E">
      <w:pPr>
        <w:spacing w:after="0"/>
        <w:jc w:val="both"/>
      </w:pPr>
    </w:p>
    <w:p w14:paraId="64EF62AD" w14:textId="77777777" w:rsidR="00F447D5" w:rsidRPr="00B21FAC" w:rsidRDefault="00F447D5" w:rsidP="00BA7E3E">
      <w:pPr>
        <w:spacing w:after="0"/>
        <w:jc w:val="both"/>
      </w:pPr>
    </w:p>
    <w:p w14:paraId="4EA96CE6" w14:textId="7BDA0DD0" w:rsidR="00F447D5" w:rsidRPr="00B21FAC" w:rsidRDefault="00F447D5" w:rsidP="00BA7E3E">
      <w:pPr>
        <w:spacing w:after="0"/>
        <w:jc w:val="both"/>
      </w:pPr>
      <w:r w:rsidRPr="00B21FAC">
        <w:rPr>
          <w:b/>
          <w:bCs/>
        </w:rPr>
        <w:t xml:space="preserve">Voorstel – </w:t>
      </w:r>
      <w:r w:rsidR="001C2AE7">
        <w:t>A</w:t>
      </w:r>
      <w:r w:rsidRPr="00B21FAC">
        <w:t>lle vermogensinkomsten moeten worden aangegeven</w:t>
      </w:r>
      <w:r w:rsidR="001C2AE7">
        <w:t>.</w:t>
      </w:r>
    </w:p>
    <w:p w14:paraId="54C39C87" w14:textId="77777777" w:rsidR="00F447D5" w:rsidRPr="00B21FAC" w:rsidRDefault="00F447D5" w:rsidP="00BA7E3E">
      <w:pPr>
        <w:spacing w:after="0"/>
        <w:jc w:val="both"/>
      </w:pPr>
    </w:p>
    <w:p w14:paraId="6F58D33D" w14:textId="77777777" w:rsidR="00F447D5" w:rsidRPr="00B21FAC" w:rsidRDefault="00F447D5" w:rsidP="00BA7E3E">
      <w:pPr>
        <w:spacing w:after="0"/>
        <w:jc w:val="both"/>
        <w:rPr>
          <w:u w:val="single"/>
        </w:rPr>
      </w:pPr>
      <w:r w:rsidRPr="00B21FAC">
        <w:rPr>
          <w:u w:val="single"/>
        </w:rPr>
        <w:t>Toelichting:</w:t>
      </w:r>
    </w:p>
    <w:p w14:paraId="3DACB017" w14:textId="77777777" w:rsidR="00F447D5" w:rsidRPr="00B21FAC" w:rsidRDefault="00F447D5" w:rsidP="00BA7E3E">
      <w:pPr>
        <w:spacing w:after="0"/>
        <w:jc w:val="both"/>
      </w:pPr>
    </w:p>
    <w:p w14:paraId="24EC2F9C" w14:textId="77777777" w:rsidR="00F447D5" w:rsidRPr="00B21FAC" w:rsidRDefault="00F447D5" w:rsidP="00BA7E3E">
      <w:pPr>
        <w:spacing w:after="0"/>
        <w:jc w:val="both"/>
      </w:pPr>
      <w:r w:rsidRPr="00B21FAC">
        <w:t>Met het oog op de transparantie en de efficiëntie van de controle, mede in acht genomen de gelijke behandeling van buitenlandse vermogensinkomsten, wordt best een algemene aangifteplicht ingevoerd. Het stelsel van de bevrijdende roerende voorheffing zou binnen die context ophouden te bestaan. De verplichte aangifte sluit uiteraard niet uit dat de inning zoveel als mogelijk aan de bron kan plaatsvinden en dat aangiftegegevens op geautomatiseerde wijze door de FOD Financiën worden verwerkt.</w:t>
      </w:r>
    </w:p>
    <w:p w14:paraId="13EB3191" w14:textId="77777777" w:rsidR="00F447D5" w:rsidRPr="00B21FAC" w:rsidRDefault="00F447D5" w:rsidP="00BA7E3E">
      <w:pPr>
        <w:spacing w:after="0"/>
        <w:jc w:val="both"/>
      </w:pPr>
    </w:p>
    <w:p w14:paraId="40D93C80" w14:textId="77777777" w:rsidR="00F447D5" w:rsidRPr="00B21FAC" w:rsidRDefault="00F447D5" w:rsidP="00BA7E3E">
      <w:pPr>
        <w:spacing w:after="0"/>
        <w:jc w:val="both"/>
      </w:pPr>
      <w:r w:rsidRPr="00B21FAC">
        <w:t>De keuze voor een introductie van een algemene voetvrijstelling, de invoering van de aftrek van werkelijke kosten, de overdraagbaarheid van geleden minderwaarden,… zijn overigens elementen die een verplichte aangifte noodzakelijk maken.</w:t>
      </w:r>
    </w:p>
    <w:p w14:paraId="68F2D683" w14:textId="77777777" w:rsidR="00F447D5" w:rsidRPr="00B21FAC" w:rsidRDefault="00F447D5" w:rsidP="00BA7E3E">
      <w:pPr>
        <w:spacing w:after="0"/>
        <w:jc w:val="both"/>
      </w:pPr>
    </w:p>
    <w:p w14:paraId="21247F04" w14:textId="1DA820FD" w:rsidR="00301FF2" w:rsidRDefault="00F447D5" w:rsidP="00D63845">
      <w:pPr>
        <w:spacing w:after="0"/>
        <w:jc w:val="both"/>
        <w:rPr>
          <w:u w:val="single"/>
        </w:rPr>
      </w:pPr>
      <w:r w:rsidRPr="00B21FAC">
        <w:rPr>
          <w:u w:val="single"/>
        </w:rPr>
        <w:t>PM:</w:t>
      </w:r>
      <w:r w:rsidRPr="00B21FAC">
        <w:t xml:space="preserve"> Het kan uiteraard niet de bedoeling zijn dat de veralgemeende aangifteverplichting, in het kader van een vernieuwd belastingstelsel, de aanleiding zou vormen om eenieder die aanmerkelijke </w:t>
      </w:r>
      <w:r w:rsidR="00985C61">
        <w:t>vermogens</w:t>
      </w:r>
      <w:r w:rsidRPr="00B21FAC">
        <w:t>inkomsten aangeeft, plots aan een grondige controle te onderwerpen. Eventuele begeleidende maatregelen kunnen hier dus worden overwogen.</w:t>
      </w:r>
      <w:r w:rsidR="00301FF2">
        <w:rPr>
          <w:u w:val="single"/>
        </w:rPr>
        <w:br w:type="page"/>
      </w:r>
    </w:p>
    <w:p w14:paraId="4978F756" w14:textId="77777777" w:rsidR="00F447D5" w:rsidRPr="00B21FAC" w:rsidRDefault="00F447D5" w:rsidP="00BA7E3E">
      <w:pPr>
        <w:spacing w:after="0"/>
        <w:jc w:val="both"/>
        <w:rPr>
          <w:u w:val="single"/>
        </w:rPr>
      </w:pPr>
    </w:p>
    <w:p w14:paraId="10296F2F" w14:textId="77777777" w:rsidR="00F447D5" w:rsidRPr="00B21FAC" w:rsidRDefault="00F447D5" w:rsidP="00BA7E3E">
      <w:pPr>
        <w:spacing w:after="0"/>
        <w:jc w:val="both"/>
      </w:pPr>
    </w:p>
    <w:p w14:paraId="611C4A17" w14:textId="527E83EA" w:rsidR="00AA5A63" w:rsidRPr="00B21FAC" w:rsidRDefault="00F447D5" w:rsidP="00275FEB">
      <w:pPr>
        <w:pStyle w:val="Kop2"/>
        <w:numPr>
          <w:ilvl w:val="0"/>
          <w:numId w:val="45"/>
        </w:numPr>
      </w:pPr>
      <w:bookmarkStart w:id="201" w:name="_Toc107210929"/>
      <w:r w:rsidRPr="00B21FAC">
        <w:t>Vruchten uit onroerende goederen</w:t>
      </w:r>
      <w:bookmarkEnd w:id="201"/>
    </w:p>
    <w:p w14:paraId="4E9D3938" w14:textId="77777777" w:rsidR="00F447D5" w:rsidRPr="00B21FAC" w:rsidRDefault="00F447D5" w:rsidP="00BA7E3E">
      <w:pPr>
        <w:spacing w:after="0"/>
        <w:jc w:val="both"/>
      </w:pPr>
    </w:p>
    <w:p w14:paraId="00A90877" w14:textId="77777777" w:rsidR="00F447D5" w:rsidRPr="00B21FAC" w:rsidRDefault="00F447D5" w:rsidP="00BA7E3E">
      <w:pPr>
        <w:spacing w:after="0"/>
        <w:jc w:val="both"/>
      </w:pPr>
    </w:p>
    <w:p w14:paraId="602AF6F5" w14:textId="249D21B7" w:rsidR="008A1424" w:rsidRPr="00B21FAC" w:rsidRDefault="00F447D5" w:rsidP="00275FEB">
      <w:pPr>
        <w:pStyle w:val="Kop3"/>
        <w:numPr>
          <w:ilvl w:val="0"/>
          <w:numId w:val="43"/>
        </w:numPr>
      </w:pPr>
      <w:bookmarkStart w:id="202" w:name="_Toc107210930"/>
      <w:r w:rsidRPr="00B21FAC">
        <w:t>De omschrijving van het belastbaar inkomen</w:t>
      </w:r>
      <w:bookmarkEnd w:id="202"/>
      <w:r w:rsidR="008A1424" w:rsidRPr="00B21FAC">
        <w:t xml:space="preserve"> </w:t>
      </w:r>
    </w:p>
    <w:p w14:paraId="343A997D" w14:textId="0A091433" w:rsidR="008A1424" w:rsidRDefault="008A1424" w:rsidP="00BA7E3E">
      <w:pPr>
        <w:spacing w:after="0"/>
        <w:jc w:val="both"/>
      </w:pPr>
    </w:p>
    <w:p w14:paraId="195894BD" w14:textId="77777777" w:rsidR="00E5647B" w:rsidRPr="00B21FAC" w:rsidRDefault="00E5647B" w:rsidP="00BA7E3E">
      <w:pPr>
        <w:spacing w:after="0"/>
        <w:jc w:val="both"/>
      </w:pPr>
    </w:p>
    <w:p w14:paraId="23DCB8B8" w14:textId="7E8E4D5B" w:rsidR="00F447D5" w:rsidRPr="00B21FAC" w:rsidRDefault="00F447D5" w:rsidP="00BA7E3E">
      <w:pPr>
        <w:spacing w:after="0"/>
        <w:jc w:val="both"/>
      </w:pPr>
      <w:r w:rsidRPr="00B21FAC">
        <w:rPr>
          <w:b/>
          <w:bCs/>
        </w:rPr>
        <w:t>Voorstel –</w:t>
      </w:r>
      <w:r w:rsidRPr="00B21FAC">
        <w:t xml:space="preserve"> Alle ‘vruchten uit onroerende goederen’ worden in principe belast. Deze notie moet ruim worden begrepen, in die zin dat hierin alle inkomsten vallen die:</w:t>
      </w:r>
    </w:p>
    <w:p w14:paraId="1624D785" w14:textId="77777777" w:rsidR="00684BAE" w:rsidRPr="00B21FAC" w:rsidRDefault="00F447D5" w:rsidP="00BA7E3E">
      <w:pPr>
        <w:pStyle w:val="Lijstalinea"/>
        <w:numPr>
          <w:ilvl w:val="0"/>
          <w:numId w:val="46"/>
        </w:numPr>
        <w:spacing w:after="0"/>
        <w:jc w:val="both"/>
      </w:pPr>
      <w:r w:rsidRPr="00B21FAC">
        <w:t>verband houden met de terbeschikkingstelling van onroerende goederen aan derden (hierin niet begrepen de overdracht of vestiging van zakelijke gebruiksrechten), en dit los van de vraag of deze terbeschikkingstelling gegrond wordt op een persoonlijk, dan wel op een zakelijk recht en onafhankelijk van de vraag of deze terbeschikkingstelling het gevolg is van een ‘professionele’, dan wel van een ‘private’ terbeschikkingstelling;</w:t>
      </w:r>
    </w:p>
    <w:p w14:paraId="7B54DCFC" w14:textId="64102452" w:rsidR="00684BAE" w:rsidRPr="00B21FAC" w:rsidRDefault="00F447D5" w:rsidP="00BA7E3E">
      <w:pPr>
        <w:pStyle w:val="Lijstalinea"/>
        <w:numPr>
          <w:ilvl w:val="0"/>
          <w:numId w:val="46"/>
        </w:numPr>
        <w:spacing w:after="0"/>
        <w:jc w:val="both"/>
      </w:pPr>
      <w:r w:rsidRPr="00B21FAC">
        <w:t>overeenstemmen met een normaal vermogensrendement dat betrekking heeft op onroerende goederen, doorgaans gebouwen (of gedeelten van gebouwen) die door de eigenaar (of houder van een zakelijk gebruiksrecht) professioneel geaffecteerd worden in die zin dat het onroerend goed effectief als materieel vast actief gebruikt wordt in het kader van de bedrijfsexploitatie</w:t>
      </w:r>
      <w:r w:rsidR="00B97908">
        <w:t>;</w:t>
      </w:r>
    </w:p>
    <w:p w14:paraId="578DB321" w14:textId="4F6F491E" w:rsidR="00F447D5" w:rsidRPr="00B21FAC" w:rsidRDefault="00F447D5" w:rsidP="00BA7E3E">
      <w:pPr>
        <w:pStyle w:val="Lijstalinea"/>
        <w:numPr>
          <w:ilvl w:val="0"/>
          <w:numId w:val="46"/>
        </w:numPr>
        <w:spacing w:after="0"/>
        <w:jc w:val="both"/>
      </w:pPr>
      <w:r w:rsidRPr="00B21FAC">
        <w:t xml:space="preserve">overeenstemmen met een vermoed rendement dat betrekking heeft op onroerende goederen die door de eigenaar niet verhuurd worden. </w:t>
      </w:r>
    </w:p>
    <w:p w14:paraId="721DDD9D" w14:textId="77777777" w:rsidR="00F447D5" w:rsidRPr="00B21FAC" w:rsidRDefault="00F447D5" w:rsidP="00BA7E3E">
      <w:pPr>
        <w:spacing w:after="0"/>
        <w:ind w:left="360"/>
        <w:jc w:val="both"/>
      </w:pPr>
    </w:p>
    <w:p w14:paraId="7ECBCE10" w14:textId="77777777" w:rsidR="00F447D5" w:rsidRPr="00B21FAC" w:rsidRDefault="00F447D5" w:rsidP="00BA7E3E">
      <w:pPr>
        <w:spacing w:after="0"/>
        <w:jc w:val="both"/>
      </w:pPr>
      <w:r w:rsidRPr="00B21FAC">
        <w:t>Eenzelfde benadering geldt t.a.v. de in het buitenland gelegen onroerende goederen, onverminderd uiteraard de toepassing van dubbelbelastingverdragen of unilaterale maatregelen tot tempering van de dubbele belasting.</w:t>
      </w:r>
    </w:p>
    <w:p w14:paraId="6BAD29BB" w14:textId="77777777" w:rsidR="00F447D5" w:rsidRPr="00B21FAC" w:rsidRDefault="00F447D5" w:rsidP="00BA7E3E">
      <w:pPr>
        <w:spacing w:after="0"/>
        <w:jc w:val="both"/>
      </w:pPr>
    </w:p>
    <w:p w14:paraId="6D26D6C1" w14:textId="77777777" w:rsidR="00F447D5" w:rsidRPr="00B21FAC" w:rsidRDefault="00F447D5" w:rsidP="00BA7E3E">
      <w:pPr>
        <w:spacing w:after="0"/>
        <w:jc w:val="both"/>
        <w:rPr>
          <w:u w:val="single"/>
        </w:rPr>
      </w:pPr>
      <w:r w:rsidRPr="00B21FAC">
        <w:rPr>
          <w:u w:val="single"/>
        </w:rPr>
        <w:t>Toelichting:</w:t>
      </w:r>
    </w:p>
    <w:p w14:paraId="060992A4" w14:textId="77777777" w:rsidR="00F447D5" w:rsidRPr="00B21FAC" w:rsidRDefault="00F447D5" w:rsidP="00BA7E3E">
      <w:pPr>
        <w:spacing w:after="0"/>
        <w:jc w:val="both"/>
      </w:pPr>
    </w:p>
    <w:p w14:paraId="384B600A" w14:textId="77777777" w:rsidR="00F447D5" w:rsidRPr="00B21FAC" w:rsidRDefault="00F447D5" w:rsidP="00BA7E3E">
      <w:pPr>
        <w:spacing w:after="0"/>
        <w:jc w:val="both"/>
      </w:pPr>
      <w:r w:rsidRPr="00B21FAC">
        <w:t>Conceptueel sluit dit voorstel zeer nauw aan bij het thans geldende regime van de onroerende inkomsten, met dien verstande dat:</w:t>
      </w:r>
    </w:p>
    <w:p w14:paraId="3EB03DE5" w14:textId="0A285A14" w:rsidR="00F447D5" w:rsidRPr="00B21FAC" w:rsidRDefault="00F447D5" w:rsidP="00BA7E3E">
      <w:pPr>
        <w:pStyle w:val="Lijstalinea"/>
        <w:numPr>
          <w:ilvl w:val="0"/>
          <w:numId w:val="30"/>
        </w:numPr>
        <w:spacing w:after="0"/>
        <w:jc w:val="both"/>
      </w:pPr>
      <w:r w:rsidRPr="00B21FAC">
        <w:t>ook inkomsten genoten door iemand met een louter persoonlijk gebruiksrecht (bv. een huurder</w:t>
      </w:r>
      <w:r w:rsidR="00BD63B4">
        <w:t xml:space="preserve"> die onderverhuurt</w:t>
      </w:r>
      <w:r w:rsidRPr="00B21FAC">
        <w:t>) voortaan zouden worden aangemerkt als een onroerend inkomen</w:t>
      </w:r>
      <w:r w:rsidR="00AD5F65">
        <w:t xml:space="preserve"> (en dus niet langer als </w:t>
      </w:r>
      <w:r w:rsidRPr="00B21FAC">
        <w:t>‘diverse inkomsten’</w:t>
      </w:r>
      <w:r w:rsidR="00AD5F65">
        <w:t>);</w:t>
      </w:r>
    </w:p>
    <w:p w14:paraId="0A434101" w14:textId="55ECACCF" w:rsidR="00F447D5" w:rsidRPr="00B21FAC" w:rsidRDefault="00F447D5" w:rsidP="00BA7E3E">
      <w:pPr>
        <w:pStyle w:val="Lijstalinea"/>
        <w:numPr>
          <w:ilvl w:val="0"/>
          <w:numId w:val="30"/>
        </w:numPr>
        <w:spacing w:after="0"/>
        <w:jc w:val="both"/>
      </w:pPr>
      <w:r w:rsidRPr="00B21FAC">
        <w:t xml:space="preserve">de vestiging of overdracht van bepaalde zakelijke gebruiksrechten (inzonderheid </w:t>
      </w:r>
      <w:r w:rsidR="00E706D9">
        <w:t xml:space="preserve">vruchtgebruik, </w:t>
      </w:r>
      <w:r w:rsidRPr="00B21FAC">
        <w:t>erfpacht en opstal) geen aanleiding zou geven tot de verwerving van ‘onroerende vruchten’. Dergelijke inkomsten worden voortaan belast als een inkomen uit ‘overdracht’ of ‘vestiging’.</w:t>
      </w:r>
    </w:p>
    <w:p w14:paraId="5121696D" w14:textId="77777777" w:rsidR="00F447D5" w:rsidRPr="00B21FAC" w:rsidRDefault="00F447D5" w:rsidP="00BA7E3E">
      <w:pPr>
        <w:spacing w:after="0"/>
        <w:jc w:val="both"/>
      </w:pPr>
    </w:p>
    <w:p w14:paraId="09D65EEE" w14:textId="319CD9D7" w:rsidR="00F447D5" w:rsidRPr="00B21FAC" w:rsidRDefault="3683CD98" w:rsidP="00BA7E3E">
      <w:pPr>
        <w:spacing w:after="0"/>
        <w:jc w:val="both"/>
      </w:pPr>
      <w:r w:rsidRPr="00B21FAC">
        <w:t xml:space="preserve">Er wordt eveneens een nieuwe categorie geïntroduceerd, te weten het inkomen dat geacht wordt overeen te stemmen met het vermogensrendement van onroerende goederen die </w:t>
      </w:r>
      <w:r w:rsidR="0030051C" w:rsidRPr="00B21FAC">
        <w:t>door de belastingplichtige gebruikt worde</w:t>
      </w:r>
      <w:r w:rsidR="0052452E" w:rsidRPr="00B21FAC">
        <w:t xml:space="preserve">n met het oog op het verwerven van winsten. </w:t>
      </w:r>
      <w:r w:rsidRPr="00B21FAC">
        <w:t xml:space="preserve">Dit vermogensrendement komt dan wel in mindering van de als winst belastbare inkomsten van deze eigenaar (of houder van een zakelijk gebruiksrecht). Teneinde ongewenste effecten te vermijden, kan aanbevolen worden om de regeling m.b.t. het vermogensrendement te beperken tot onroerende goederen die niet hoofdzakelijk als woning worden aangewend of daartoe bestemd worden (ratio: vermijden dat elke ‘ondernemer’ een deel van zijn woning fiscaliseert). Voor de verdere toelichting bij dit ‘vermogensrendement’ wordt verwezen naar </w:t>
      </w:r>
      <w:r w:rsidR="0095261D" w:rsidRPr="00B21FAC">
        <w:t>het onderdeel</w:t>
      </w:r>
      <w:r w:rsidRPr="00B21FAC">
        <w:t xml:space="preserve"> m.b.t. de fiscaliteit op activiteitsinkomsten.</w:t>
      </w:r>
    </w:p>
    <w:p w14:paraId="00048C42" w14:textId="77777777" w:rsidR="00F447D5" w:rsidRPr="00B21FAC" w:rsidRDefault="00F447D5" w:rsidP="00BA7E3E">
      <w:pPr>
        <w:spacing w:after="0"/>
        <w:jc w:val="both"/>
      </w:pPr>
    </w:p>
    <w:p w14:paraId="73C7A143" w14:textId="50353D3D" w:rsidR="00C47CEC" w:rsidRPr="00C47CEC" w:rsidRDefault="00F447D5" w:rsidP="00C47CEC">
      <w:pPr>
        <w:spacing w:after="0"/>
        <w:jc w:val="both"/>
      </w:pPr>
      <w:r w:rsidRPr="00B21FAC">
        <w:t xml:space="preserve">Daarnaast wordt ook voorgesteld om de huidige </w:t>
      </w:r>
      <w:r w:rsidR="00B46C75">
        <w:t>belastingheffing</w:t>
      </w:r>
      <w:r w:rsidRPr="00B21FAC">
        <w:t xml:space="preserve"> op basis van het KI (+40%) te herevalueren teneinde de belastbare grondslag in lijn te brengen met de reële huurwaarde. </w:t>
      </w:r>
      <w:r w:rsidR="00B12ED6">
        <w:t>Dit vereist uiteraard wel een aanhoudende administratieve inspanning om de reële huurwaarden te bepalen. Er moet daarbij absoluut vermeden worden dat de</w:t>
      </w:r>
      <w:r w:rsidR="002D075C">
        <w:t xml:space="preserve"> vastgestelde waarden d</w:t>
      </w:r>
      <w:r w:rsidR="00971A64">
        <w:t xml:space="preserve">e reële huurwaarden zouden overstijgen (zie en vgl. het arrest van de Nederlandse Hoge Raad dd. 24 december 2021 </w:t>
      </w:r>
      <w:r w:rsidR="00C47CEC" w:rsidRPr="00C47CEC">
        <w:t xml:space="preserve">- </w:t>
      </w:r>
      <w:hyperlink r:id="rId29" w:history="1">
        <w:r w:rsidR="00C47CEC" w:rsidRPr="00C47CEC">
          <w:rPr>
            <w:rStyle w:val="Hyperlink"/>
          </w:rPr>
          <w:t>https://uitspraken.rechtspraak.nl/inziendocument?id=ECLI:NL:HR:2021:1963</w:t>
        </w:r>
      </w:hyperlink>
      <w:r w:rsidR="00C47CEC" w:rsidRPr="00C47CEC">
        <w:t>).</w:t>
      </w:r>
    </w:p>
    <w:p w14:paraId="4292F342" w14:textId="77777777" w:rsidR="00C47CEC" w:rsidRPr="00B21FAC" w:rsidRDefault="00C47CEC" w:rsidP="00BA7E3E">
      <w:pPr>
        <w:spacing w:after="0"/>
        <w:jc w:val="both"/>
      </w:pPr>
    </w:p>
    <w:p w14:paraId="4A3E23A8" w14:textId="39B8B11E" w:rsidR="00F447D5" w:rsidRPr="00B21FAC" w:rsidRDefault="00F447D5" w:rsidP="00BA7E3E">
      <w:pPr>
        <w:spacing w:after="0"/>
        <w:jc w:val="both"/>
      </w:pPr>
      <w:r w:rsidRPr="00B21FAC">
        <w:t>M.b.t. de onroerende goederen die effectief tegen betaling aan derden ter beschikking worden gesteld, valt de belastbare grondslag in ieder geval steeds samen met de reëel geïnde opbrengsten. De belastbare grondslag m.b.t. niet-verhuurde onroerende goederen zou dan weer samenvallen met het vermoed rendement. Onverminderd de ruime hoeveelheid aan informatie die nu reeds beheerd wordt door de FOD Financiën, zal de belastbaarheid op grond van reële huuropbrengsten tal van data opleveren die ook nuttig kunnen aangewend worden voor het bepalen van dit ‘vermoed rendement’.</w:t>
      </w:r>
    </w:p>
    <w:p w14:paraId="4CEABFAB" w14:textId="77777777" w:rsidR="00F447D5" w:rsidRPr="00B21FAC" w:rsidRDefault="00F447D5" w:rsidP="00BA7E3E">
      <w:pPr>
        <w:pStyle w:val="Lijstalinea"/>
        <w:spacing w:after="0"/>
        <w:ind w:left="0"/>
        <w:jc w:val="both"/>
      </w:pPr>
    </w:p>
    <w:p w14:paraId="64C7E294" w14:textId="150CF51E" w:rsidR="00F447D5" w:rsidRPr="00776CDA" w:rsidRDefault="00F447D5" w:rsidP="00BA7E3E">
      <w:pPr>
        <w:pStyle w:val="Lijstalinea"/>
        <w:spacing w:after="0"/>
        <w:ind w:left="0"/>
        <w:jc w:val="both"/>
      </w:pPr>
      <w:r w:rsidRPr="00B21FAC">
        <w:rPr>
          <w:u w:val="single"/>
        </w:rPr>
        <w:t>PM:</w:t>
      </w:r>
      <w:r w:rsidRPr="00B21FAC">
        <w:t xml:space="preserve"> Men kan zich de vraag stellen of er überhaupt een belastbaarstelling moet zijn van een louter toegerekend inkomen. Ofschoon de belastbaarstelling op zich vanuit economisch perspectief verantwoordbaar is</w:t>
      </w:r>
      <w:r w:rsidR="00487E11">
        <w:t xml:space="preserve"> (inzonderheid omwille van het feit dat de eigenaar het genot heeft van het niet verhuurde goed)</w:t>
      </w:r>
      <w:r w:rsidRPr="00B21FAC">
        <w:t>, wordt ook wel aangevoerd dat een dergelijke belastbaarstelling strijdt met het zogenaamde ‘</w:t>
      </w:r>
      <w:r w:rsidRPr="00776CDA">
        <w:t xml:space="preserve">realiteitsbeginsel’, begrepen in die zin dat enkel daadwerkelijk </w:t>
      </w:r>
      <w:r w:rsidR="006F2728" w:rsidRPr="00776CDA">
        <w:t xml:space="preserve">betaalde </w:t>
      </w:r>
      <w:r w:rsidR="000553FD" w:rsidRPr="00776CDA">
        <w:t xml:space="preserve">of </w:t>
      </w:r>
      <w:r w:rsidR="006F2728" w:rsidRPr="00776CDA">
        <w:t>toegekende</w:t>
      </w:r>
      <w:r w:rsidR="000553FD" w:rsidRPr="00776CDA">
        <w:t xml:space="preserve"> </w:t>
      </w:r>
      <w:r w:rsidRPr="00776CDA">
        <w:t>inkomsten belast zouden moeten worden.</w:t>
      </w:r>
    </w:p>
    <w:p w14:paraId="634C3156" w14:textId="257B2AD3" w:rsidR="00F447D5" w:rsidRPr="00B21FAC" w:rsidRDefault="00F447D5" w:rsidP="00BA7E3E">
      <w:pPr>
        <w:pStyle w:val="Lijstalinea"/>
        <w:spacing w:after="0"/>
        <w:ind w:left="0"/>
        <w:jc w:val="both"/>
      </w:pPr>
      <w:r w:rsidRPr="00776CDA">
        <w:t>Vanuit budgettaire overwegingen en mede omwille van het feit dat er toch ook een consensus bestaat omtrent het feit dat de periodieke</w:t>
      </w:r>
      <w:r w:rsidRPr="00B21FAC">
        <w:t xml:space="preserve"> belastingen op onroerende activa als weinig groeiverstorend worden aangemerkt, lijkt het verkieslijk om de </w:t>
      </w:r>
      <w:r w:rsidR="00B46C75">
        <w:t>belastingheffing</w:t>
      </w:r>
      <w:r w:rsidRPr="00B21FAC">
        <w:t xml:space="preserve"> van het vermoed rendement te behouden. De optie geeft ook het bijkomend voordeel dat inkomsten die voortvloeien uit korte termijn terbeschikkingstellingen, en waarvan de overeenkomsten vaak niet geregistreerd of gekend zijn, effectief belast zullen worden.</w:t>
      </w:r>
    </w:p>
    <w:p w14:paraId="7D0DADD2" w14:textId="77777777" w:rsidR="00F447D5" w:rsidRPr="00B21FAC" w:rsidRDefault="00F447D5" w:rsidP="00BA7E3E">
      <w:pPr>
        <w:pStyle w:val="Lijstalinea"/>
        <w:spacing w:after="0"/>
        <w:ind w:left="0"/>
        <w:jc w:val="both"/>
      </w:pPr>
    </w:p>
    <w:p w14:paraId="10D23B9E" w14:textId="7BDEE64F" w:rsidR="00F447D5" w:rsidRPr="00B21FAC" w:rsidRDefault="00F447D5" w:rsidP="00BA7E3E">
      <w:pPr>
        <w:pStyle w:val="Lijstalinea"/>
        <w:spacing w:after="0"/>
        <w:ind w:left="0"/>
        <w:jc w:val="both"/>
      </w:pPr>
      <w:r w:rsidRPr="00B21FAC">
        <w:rPr>
          <w:u w:val="single"/>
        </w:rPr>
        <w:t>PM:</w:t>
      </w:r>
      <w:r w:rsidRPr="00B21FAC">
        <w:t xml:space="preserve"> </w:t>
      </w:r>
      <w:r w:rsidR="00F768D3">
        <w:t>M</w:t>
      </w:r>
      <w:r w:rsidRPr="00B21FAC">
        <w:t xml:space="preserve">ede omwille van de wisselwerking met de onroerende voorheffing (en ruimer met de transactiebelastingen op onroerende goederen, inzonderheid het </w:t>
      </w:r>
      <w:r w:rsidR="00AF154B">
        <w:t xml:space="preserve">registratierecht bij </w:t>
      </w:r>
      <w:r w:rsidR="00E303B1">
        <w:t>overdrachten onder bezwarende titel en in geval van verdelingen,</w:t>
      </w:r>
      <w:r w:rsidRPr="00B21FAC">
        <w:t xml:space="preserve"> en bij uitbreiding de schenk</w:t>
      </w:r>
      <w:r w:rsidR="00E303B1">
        <w:t>ings</w:t>
      </w:r>
      <w:r w:rsidRPr="00B21FAC">
        <w:t xml:space="preserve">- en </w:t>
      </w:r>
      <w:r w:rsidR="00E303B1">
        <w:t>successierechten</w:t>
      </w:r>
      <w:r w:rsidRPr="00B21FAC">
        <w:t xml:space="preserve">) kan – in het kader van een institutionele hervorming – overwogen worden om de </w:t>
      </w:r>
      <w:r w:rsidR="00B46C75">
        <w:t>belastingheffing</w:t>
      </w:r>
      <w:r w:rsidRPr="00B21FAC">
        <w:t xml:space="preserve"> van onroerende vruchten (en bij uitbreiding de meerwaarden op onroerende goederen</w:t>
      </w:r>
      <w:r w:rsidR="00FA5DAC">
        <w:t xml:space="preserve">; </w:t>
      </w:r>
      <w:r w:rsidR="00FA5DAC" w:rsidRPr="00BA7E3E">
        <w:rPr>
          <w:i/>
          <w:iCs/>
        </w:rPr>
        <w:t>cf. infra</w:t>
      </w:r>
      <w:r w:rsidRPr="00B21FAC">
        <w:t>) volledig over te hevelen naar de Gewesten. Deze optie overstijgt vooralsnog de huidige plannen omtrent de fiscale hervorming.</w:t>
      </w:r>
      <w:r w:rsidR="004C297C" w:rsidRPr="00B21FAC">
        <w:t xml:space="preserve"> Dit neemt niet weg dat een overleg met de deelentiteiten op dit vlak meer dan aangewezen is</w:t>
      </w:r>
      <w:r w:rsidR="00216F63">
        <w:t xml:space="preserve"> teneinde een </w:t>
      </w:r>
      <w:r w:rsidR="00E755E0">
        <w:t>disproportionele belastingdruk op onroerende goederen te vermijden.</w:t>
      </w:r>
    </w:p>
    <w:p w14:paraId="4330B8DE" w14:textId="77777777" w:rsidR="00301FF2" w:rsidRDefault="00301FF2">
      <w:r>
        <w:br w:type="page"/>
      </w:r>
    </w:p>
    <w:p w14:paraId="1B96DE14" w14:textId="77777777" w:rsidR="00F447D5" w:rsidRPr="00B21FAC" w:rsidRDefault="00F447D5" w:rsidP="00BA7E3E">
      <w:pPr>
        <w:spacing w:after="0"/>
        <w:jc w:val="both"/>
      </w:pPr>
    </w:p>
    <w:p w14:paraId="46EEE705" w14:textId="77777777" w:rsidR="00C53DA5" w:rsidRPr="00B21FAC" w:rsidRDefault="00C53DA5" w:rsidP="00BA7E3E">
      <w:pPr>
        <w:spacing w:after="0"/>
        <w:jc w:val="both"/>
      </w:pPr>
    </w:p>
    <w:p w14:paraId="4BD4A69A" w14:textId="05C029CD" w:rsidR="00F447D5" w:rsidRPr="00B21FAC" w:rsidRDefault="00F447D5" w:rsidP="00275FEB">
      <w:pPr>
        <w:pStyle w:val="Kop3"/>
        <w:numPr>
          <w:ilvl w:val="0"/>
          <w:numId w:val="43"/>
        </w:numPr>
      </w:pPr>
      <w:bookmarkStart w:id="203" w:name="_Toc107210931"/>
      <w:bookmarkStart w:id="204" w:name="_Hlk81493531"/>
      <w:r w:rsidRPr="00B21FAC">
        <w:t>De bepaling van de netto-belastbare grondslag</w:t>
      </w:r>
      <w:bookmarkEnd w:id="203"/>
      <w:r w:rsidRPr="00B21FAC">
        <w:t xml:space="preserve"> </w:t>
      </w:r>
    </w:p>
    <w:bookmarkEnd w:id="204"/>
    <w:p w14:paraId="0AF43B6F" w14:textId="77777777" w:rsidR="00AA5A63" w:rsidRPr="00B21FAC" w:rsidRDefault="00AA5A63" w:rsidP="00BA7E3E">
      <w:pPr>
        <w:spacing w:after="0"/>
        <w:jc w:val="both"/>
      </w:pPr>
    </w:p>
    <w:p w14:paraId="40DEFA52" w14:textId="77777777" w:rsidR="00AA5A63" w:rsidRPr="00B21FAC" w:rsidRDefault="00AA5A63" w:rsidP="00BA7E3E">
      <w:pPr>
        <w:spacing w:after="0"/>
        <w:jc w:val="both"/>
      </w:pPr>
    </w:p>
    <w:p w14:paraId="2D6EF0C4" w14:textId="5698D98E" w:rsidR="00F447D5" w:rsidRPr="00B21FAC" w:rsidRDefault="00F447D5" w:rsidP="00BA7E3E">
      <w:pPr>
        <w:spacing w:after="0"/>
        <w:jc w:val="both"/>
      </w:pPr>
      <w:r w:rsidRPr="00B21FAC">
        <w:rPr>
          <w:b/>
          <w:bCs/>
        </w:rPr>
        <w:t xml:space="preserve">Voorstel – </w:t>
      </w:r>
      <w:r w:rsidRPr="00B21FAC">
        <w:t>De hiervoor vermelde inkomsten worden verminderd met de hiernavolgende kosten:</w:t>
      </w:r>
    </w:p>
    <w:p w14:paraId="14174920" w14:textId="711A3072" w:rsidR="00F447D5" w:rsidRPr="00B21FAC" w:rsidRDefault="0056493F" w:rsidP="00BA7E3E">
      <w:pPr>
        <w:pStyle w:val="Lijstalinea"/>
        <w:numPr>
          <w:ilvl w:val="0"/>
          <w:numId w:val="31"/>
        </w:numPr>
        <w:spacing w:after="0"/>
        <w:jc w:val="both"/>
      </w:pPr>
      <w:r>
        <w:t>f</w:t>
      </w:r>
      <w:r w:rsidR="00F447D5" w:rsidRPr="00B21FAC">
        <w:t xml:space="preserve">orfait van </w:t>
      </w:r>
      <w:r>
        <w:t xml:space="preserve">(bv.) </w:t>
      </w:r>
      <w:r w:rsidR="00F447D5" w:rsidRPr="00B21FAC">
        <w:t>15% van het bruto-inkomen (3,75% voor onbebouwde onroerende goederen);</w:t>
      </w:r>
    </w:p>
    <w:p w14:paraId="5C5D13C2" w14:textId="4E2A8EB2" w:rsidR="00F447D5" w:rsidRPr="00B21FAC" w:rsidRDefault="00F447D5" w:rsidP="00BA7E3E">
      <w:pPr>
        <w:pStyle w:val="Lijstalinea"/>
        <w:numPr>
          <w:ilvl w:val="0"/>
          <w:numId w:val="31"/>
        </w:numPr>
        <w:spacing w:after="0"/>
        <w:jc w:val="both"/>
      </w:pPr>
      <w:r w:rsidRPr="00B21FAC">
        <w:t>betaalde huurvergoedingen, betaalde interesten of betaalde erfpacht- en opstalvergoedingen</w:t>
      </w:r>
      <w:r w:rsidR="002C2098">
        <w:t xml:space="preserve"> of vergoedingen voor een verkregen vruchtgebruik</w:t>
      </w:r>
      <w:r w:rsidRPr="00B21FAC">
        <w:t>;</w:t>
      </w:r>
    </w:p>
    <w:p w14:paraId="79CBF016" w14:textId="77777777" w:rsidR="00F447D5" w:rsidRPr="00B21FAC" w:rsidRDefault="00F447D5" w:rsidP="00BA7E3E">
      <w:pPr>
        <w:pStyle w:val="Lijstalinea"/>
        <w:numPr>
          <w:ilvl w:val="0"/>
          <w:numId w:val="31"/>
        </w:numPr>
        <w:spacing w:after="0"/>
        <w:jc w:val="both"/>
      </w:pPr>
      <w:r w:rsidRPr="00B21FAC">
        <w:t>kosten die kwalificeren als een ‘werk in onroerende staat’ (cfr. BTW-wetgeving), en die betrekking hebben op nader omschreven werken.</w:t>
      </w:r>
    </w:p>
    <w:p w14:paraId="1FC66A70" w14:textId="77777777" w:rsidR="00F447D5" w:rsidRPr="00B21FAC" w:rsidRDefault="00F447D5" w:rsidP="00BA7E3E">
      <w:pPr>
        <w:pStyle w:val="Lijstalinea"/>
        <w:spacing w:after="0"/>
        <w:ind w:left="0"/>
        <w:jc w:val="both"/>
      </w:pPr>
    </w:p>
    <w:p w14:paraId="19EE1AA3" w14:textId="77777777" w:rsidR="00F447D5" w:rsidRPr="00B21FAC" w:rsidRDefault="00F447D5" w:rsidP="00BA7E3E">
      <w:pPr>
        <w:pStyle w:val="Lijstalinea"/>
        <w:spacing w:after="0"/>
        <w:ind w:left="0"/>
        <w:jc w:val="both"/>
        <w:rPr>
          <w:u w:val="single"/>
        </w:rPr>
      </w:pPr>
      <w:r w:rsidRPr="00B21FAC">
        <w:rPr>
          <w:u w:val="single"/>
        </w:rPr>
        <w:t>Toelichting:</w:t>
      </w:r>
    </w:p>
    <w:p w14:paraId="5E80B1C9" w14:textId="77777777" w:rsidR="00F447D5" w:rsidRPr="00B21FAC" w:rsidRDefault="00F447D5" w:rsidP="00BA7E3E">
      <w:pPr>
        <w:pStyle w:val="Lijstalinea"/>
        <w:spacing w:after="0"/>
        <w:ind w:left="0"/>
        <w:jc w:val="both"/>
      </w:pPr>
    </w:p>
    <w:p w14:paraId="0A314C4E" w14:textId="77777777" w:rsidR="00F447D5" w:rsidRPr="00B21FAC" w:rsidRDefault="00F447D5" w:rsidP="00BA7E3E">
      <w:pPr>
        <w:pStyle w:val="Lijstalinea"/>
        <w:spacing w:after="0"/>
        <w:ind w:left="0"/>
        <w:jc w:val="both"/>
      </w:pPr>
      <w:r w:rsidRPr="00B21FAC">
        <w:t>Teneinde de belastbare grondslag te bepalen, verdient het in principe de voorkeur om de aftrek toe te laten van de reëel gemaakte kosten. Dit kan ook een doeltreffend middel zijn in de strijd tegen het zwartwerk in de bouwsector en kan daarenboven ook een stimulans vormen om deze sector te ondersteunen. Een forfaitaire kostenraming (zoals op vandaag het geval is) biedt dan weer het voordeel van de eenvoud en vermijdt ook tal van misbruiken en dito betwistingen. Voorts moet er ook een onderscheid worden gemaakt tussen de recurrente kosten enerzijds en de investeringen anderzijds. Dit onderscheid is niet altijd duidelijk.</w:t>
      </w:r>
    </w:p>
    <w:p w14:paraId="20490F79" w14:textId="77777777" w:rsidR="00F447D5" w:rsidRPr="00B21FAC" w:rsidRDefault="00F447D5" w:rsidP="00BA7E3E">
      <w:pPr>
        <w:pStyle w:val="Lijstalinea"/>
        <w:spacing w:after="0"/>
        <w:ind w:left="0"/>
        <w:jc w:val="both"/>
      </w:pPr>
    </w:p>
    <w:p w14:paraId="2DE36535" w14:textId="77777777" w:rsidR="00F447D5" w:rsidRPr="00B21FAC" w:rsidRDefault="00F447D5" w:rsidP="00BA7E3E">
      <w:pPr>
        <w:pStyle w:val="Lijstalinea"/>
        <w:spacing w:after="0"/>
        <w:ind w:left="0"/>
        <w:jc w:val="both"/>
      </w:pPr>
      <w:r w:rsidRPr="00B21FAC">
        <w:t>Op basis van een afweging van deze argumenten, wordt voorgesteld om een ‘hybride’ systeem te voorzien, waarbij heel wat kosten (o.m. werken in onroerende staat) slechts aftrekbaar zijn, op basis van gedefinieerde verantwoordingsstukken, maar waarbij toch een redelijk forfait wordt behouden tot dekking van allerhande kosten die doorgaans recurrent gepaard gaan met het bezit en beheer van onroerende goederen.</w:t>
      </w:r>
    </w:p>
    <w:p w14:paraId="07AE6A57" w14:textId="77777777" w:rsidR="00F447D5" w:rsidRPr="00B21FAC" w:rsidRDefault="00F447D5" w:rsidP="00BA7E3E">
      <w:pPr>
        <w:pStyle w:val="Lijstalinea"/>
        <w:spacing w:after="0"/>
        <w:ind w:left="0"/>
        <w:jc w:val="both"/>
      </w:pPr>
    </w:p>
    <w:p w14:paraId="4932350A" w14:textId="39EDA454" w:rsidR="00F447D5" w:rsidRPr="00B21FAC" w:rsidRDefault="00F447D5" w:rsidP="00275FEB">
      <w:pPr>
        <w:spacing w:after="0"/>
      </w:pPr>
      <w:r w:rsidRPr="00B21FAC">
        <w:t>Het is dus vanuit die betrachting dat voorgesteld wordt:</w:t>
      </w:r>
    </w:p>
    <w:p w14:paraId="6CC5F704" w14:textId="77777777" w:rsidR="00AA5A63" w:rsidRPr="00B21FAC" w:rsidRDefault="00AA5A63" w:rsidP="00275FEB">
      <w:pPr>
        <w:spacing w:after="0"/>
      </w:pPr>
    </w:p>
    <w:p w14:paraId="2629ABA2" w14:textId="77777777" w:rsidR="00F447D5" w:rsidRPr="00B21FAC" w:rsidRDefault="00F447D5" w:rsidP="00BA7E3E">
      <w:pPr>
        <w:pStyle w:val="Lijstalinea"/>
        <w:numPr>
          <w:ilvl w:val="0"/>
          <w:numId w:val="19"/>
        </w:numPr>
        <w:spacing w:after="0"/>
        <w:jc w:val="both"/>
      </w:pPr>
      <w:r w:rsidRPr="00B21FAC">
        <w:t xml:space="preserve">de andere kosten dan de hierna vermelde te forfaitariseren; </w:t>
      </w:r>
    </w:p>
    <w:p w14:paraId="27AA2804" w14:textId="0AE79ABB" w:rsidR="00F447D5" w:rsidRPr="00B21FAC" w:rsidRDefault="00F447D5" w:rsidP="00BA7E3E">
      <w:pPr>
        <w:pStyle w:val="Lijstalinea"/>
        <w:spacing w:after="0"/>
        <w:jc w:val="both"/>
      </w:pPr>
      <w:r w:rsidRPr="00B21FAC">
        <w:t xml:space="preserve">Een kost ad 15% </w:t>
      </w:r>
      <w:r w:rsidR="0056493F">
        <w:t xml:space="preserve">(werkhypothese) </w:t>
      </w:r>
      <w:r w:rsidRPr="00B21FAC">
        <w:t>voor gebouwde onroerende goederen lijkt redelijkerwijze te moeten volstaan om de recurrente kosten aan gebouwen te kunnen opvangen, temeer daar onderhouds- en herstellingkosten, uitgevoerd door een aannemer, hier niet onder vallen. Een zelfde prorata (t.o.v. de huidig gehanteerde kostenpercentages), impliceert dan een forfaitaire aftrek ad 3,75% voor ongebouwde onroerende goederen.</w:t>
      </w:r>
    </w:p>
    <w:p w14:paraId="45CDE3D7" w14:textId="74D04E9C" w:rsidR="00F447D5" w:rsidRPr="00B21FAC" w:rsidRDefault="00F447D5" w:rsidP="00BA7E3E">
      <w:pPr>
        <w:pStyle w:val="Lijstalinea"/>
        <w:numPr>
          <w:ilvl w:val="0"/>
          <w:numId w:val="19"/>
        </w:numPr>
        <w:spacing w:after="0"/>
        <w:jc w:val="both"/>
      </w:pPr>
      <w:r w:rsidRPr="00B21FAC">
        <w:t>de aftrek toe te laten van betaalde huurvergoedingen, betaalde interesten of betaalde erfpacht- en opstalvergoedingen</w:t>
      </w:r>
      <w:r w:rsidR="00716BF8">
        <w:t xml:space="preserve"> of vergoedingen voor een verkregen vruchtgebruik</w:t>
      </w:r>
      <w:r w:rsidRPr="00B21FAC">
        <w:t>;</w:t>
      </w:r>
    </w:p>
    <w:p w14:paraId="06AA8667" w14:textId="77777777" w:rsidR="00F447D5" w:rsidRPr="00B21FAC" w:rsidRDefault="00F447D5" w:rsidP="00BA7E3E">
      <w:pPr>
        <w:pStyle w:val="Lijstalinea"/>
        <w:numPr>
          <w:ilvl w:val="0"/>
          <w:numId w:val="19"/>
        </w:numPr>
        <w:spacing w:after="0"/>
        <w:jc w:val="both"/>
      </w:pPr>
      <w:r w:rsidRPr="00B21FAC">
        <w:t>de aftrek toe te laten van kosten die kwalificeren als een ‘werk in onroerende staat’ (cfr. BTW-wetgeving), en die betrekking hebben op duidelijk af te lijnen onderhouds- of herstellingswerken.</w:t>
      </w:r>
    </w:p>
    <w:p w14:paraId="56F2C1FB" w14:textId="77777777" w:rsidR="00F447D5" w:rsidRPr="00B21FAC" w:rsidRDefault="00F447D5" w:rsidP="00BA7E3E">
      <w:pPr>
        <w:pStyle w:val="Lijstalinea"/>
        <w:spacing w:after="0"/>
        <w:jc w:val="both"/>
      </w:pPr>
      <w:r w:rsidRPr="00B21FAC">
        <w:t>Deze maatregel beoogt zeer expliciet het zwart werk in de sector te ontmoedigen, maar kan ook een efficiënt middel zijn om bij te dragen aan de opwaardering van de milieu-efficiëntie van de bestaande gebouwen.</w:t>
      </w:r>
    </w:p>
    <w:p w14:paraId="3A08AC9A" w14:textId="77777777" w:rsidR="00F447D5" w:rsidRPr="00B21FAC" w:rsidRDefault="00F447D5" w:rsidP="00BA7E3E">
      <w:pPr>
        <w:pStyle w:val="Lijstalinea"/>
        <w:spacing w:after="0"/>
        <w:ind w:left="0"/>
        <w:jc w:val="both"/>
      </w:pPr>
    </w:p>
    <w:p w14:paraId="79D2516E" w14:textId="77777777" w:rsidR="00F447D5" w:rsidRPr="00B21FAC" w:rsidRDefault="00F447D5" w:rsidP="00BA7E3E">
      <w:pPr>
        <w:pStyle w:val="Lijstalinea"/>
        <w:spacing w:after="0"/>
        <w:ind w:left="0"/>
        <w:jc w:val="both"/>
      </w:pPr>
      <w:r w:rsidRPr="00B21FAC">
        <w:rPr>
          <w:u w:val="single"/>
        </w:rPr>
        <w:t>PM:</w:t>
      </w:r>
      <w:r w:rsidRPr="00B21FAC">
        <w:t xml:space="preserve"> Andere kosten die kwalificeren als een ‘werk in onroerende staat’ (andere dan de hiervoor aangehaalde) zijn dus niet aftrekbaar. In de mate waarin het gaat om </w:t>
      </w:r>
      <w:bookmarkStart w:id="205" w:name="_Hlk106297895"/>
      <w:r w:rsidRPr="00B21FAC">
        <w:t>investerings- en uitbreidingskosten</w:t>
      </w:r>
      <w:bookmarkEnd w:id="205"/>
      <w:r w:rsidRPr="00B21FAC">
        <w:t xml:space="preserve"> worden deze wel toegevoegd aan de aanschaffingswaarde van het onroerend goed met het oog op het bepalen van de latere meerwaarde (zie hierna). </w:t>
      </w:r>
    </w:p>
    <w:p w14:paraId="148ADFBA" w14:textId="71C18165" w:rsidR="00F447D5" w:rsidRPr="00B21FAC" w:rsidRDefault="00F447D5" w:rsidP="00BA7E3E">
      <w:pPr>
        <w:pStyle w:val="Lijstalinea"/>
        <w:spacing w:after="0"/>
        <w:ind w:left="0"/>
        <w:jc w:val="both"/>
      </w:pPr>
    </w:p>
    <w:p w14:paraId="278DF2EF" w14:textId="77777777" w:rsidR="00EB61BF" w:rsidRPr="00B21FAC" w:rsidRDefault="00EB61BF" w:rsidP="00BA7E3E">
      <w:pPr>
        <w:pStyle w:val="Lijstalinea"/>
        <w:spacing w:after="0"/>
        <w:ind w:left="0"/>
        <w:jc w:val="both"/>
      </w:pPr>
    </w:p>
    <w:p w14:paraId="2EB5924D" w14:textId="5DD82BE0" w:rsidR="00F447D5" w:rsidRPr="00B21FAC" w:rsidRDefault="00F447D5" w:rsidP="00275FEB">
      <w:pPr>
        <w:pStyle w:val="Kop3"/>
        <w:numPr>
          <w:ilvl w:val="0"/>
          <w:numId w:val="43"/>
        </w:numPr>
      </w:pPr>
      <w:bookmarkStart w:id="206" w:name="_Toc107210932"/>
      <w:r w:rsidRPr="00B21FAC">
        <w:t>Vrijstellingen</w:t>
      </w:r>
      <w:bookmarkEnd w:id="206"/>
    </w:p>
    <w:p w14:paraId="06BA6280" w14:textId="6D072905" w:rsidR="00F447D5" w:rsidRPr="00B21FAC" w:rsidRDefault="00F447D5" w:rsidP="00BA7E3E">
      <w:pPr>
        <w:spacing w:after="0"/>
        <w:jc w:val="both"/>
      </w:pPr>
    </w:p>
    <w:p w14:paraId="46BD931C" w14:textId="77777777" w:rsidR="00EB61BF" w:rsidRPr="00B21FAC" w:rsidRDefault="00EB61BF" w:rsidP="00BA7E3E">
      <w:pPr>
        <w:spacing w:after="0"/>
        <w:jc w:val="both"/>
      </w:pPr>
    </w:p>
    <w:p w14:paraId="376189C3" w14:textId="65A06901" w:rsidR="00F447D5" w:rsidRPr="00B21FAC" w:rsidRDefault="00F447D5" w:rsidP="00BA7E3E">
      <w:pPr>
        <w:pStyle w:val="Lijstalinea"/>
        <w:spacing w:after="0"/>
        <w:ind w:left="0"/>
        <w:jc w:val="both"/>
      </w:pPr>
      <w:r w:rsidRPr="00B21FAC">
        <w:rPr>
          <w:b/>
          <w:bCs/>
        </w:rPr>
        <w:t>Voorstel –</w:t>
      </w:r>
      <w:r w:rsidRPr="00B21FAC">
        <w:t xml:space="preserve"> </w:t>
      </w:r>
      <w:r w:rsidR="003C0E27">
        <w:t>Onverminderd de toepassing van de algemene voetvrijstelling, worden de</w:t>
      </w:r>
      <w:r w:rsidRPr="00B21FAC">
        <w:t xml:space="preserve"> bestaande </w:t>
      </w:r>
      <w:r w:rsidR="003C0E27">
        <w:t xml:space="preserve">specifieke </w:t>
      </w:r>
      <w:r w:rsidRPr="00B21FAC">
        <w:t>vrijstellingen</w:t>
      </w:r>
      <w:r w:rsidR="003C0E27">
        <w:t xml:space="preserve"> zo ruim als mogelijk</w:t>
      </w:r>
      <w:r w:rsidRPr="00B21FAC">
        <w:t xml:space="preserve"> opgeheven. </w:t>
      </w:r>
    </w:p>
    <w:p w14:paraId="33EEDFB2" w14:textId="77777777" w:rsidR="00F447D5" w:rsidRPr="00B21FAC" w:rsidRDefault="00F447D5" w:rsidP="00BA7E3E">
      <w:pPr>
        <w:pStyle w:val="Lijstalinea"/>
        <w:spacing w:after="0"/>
        <w:ind w:left="0"/>
        <w:jc w:val="both"/>
      </w:pPr>
    </w:p>
    <w:p w14:paraId="6E08920B" w14:textId="14C1688C" w:rsidR="00F447D5" w:rsidRPr="00B21FAC" w:rsidRDefault="00F27AD9" w:rsidP="00BA7E3E">
      <w:pPr>
        <w:pStyle w:val="Lijstalinea"/>
        <w:spacing w:after="0"/>
        <w:ind w:left="0"/>
        <w:jc w:val="both"/>
      </w:pPr>
      <w:r>
        <w:t xml:space="preserve">Ook de specifieke vrijstelling m.b.t. de eigen woning zou </w:t>
      </w:r>
      <w:r w:rsidR="00D42F38">
        <w:t>in vraag kunnen worden gesteld</w:t>
      </w:r>
      <w:r w:rsidR="00735A8A">
        <w:t>, uitgaande van de premisse dat ook de eigen woning als een vermogensbelegging wordt aangemerkt</w:t>
      </w:r>
      <w:r>
        <w:t xml:space="preserve">. </w:t>
      </w:r>
      <w:r w:rsidR="00F447D5" w:rsidRPr="00B21FAC">
        <w:t xml:space="preserve">Gelet op de </w:t>
      </w:r>
      <w:r w:rsidR="00734A8F">
        <w:t>politiek-</w:t>
      </w:r>
      <w:r w:rsidR="00F447D5" w:rsidRPr="00B21FAC">
        <w:t xml:space="preserve">maatschappelijke impact van dit voorstel, </w:t>
      </w:r>
      <w:r w:rsidR="001C307D">
        <w:t>lijkt het dan wel op zijn minst</w:t>
      </w:r>
      <w:r w:rsidR="00F447D5" w:rsidRPr="00B21FAC">
        <w:t xml:space="preserve"> aangewezen om bij de bepaling van het bedrag van de algemene voetvrijstelling rekening te houden met het vermoed rendement van een gemiddelde woning.</w:t>
      </w:r>
    </w:p>
    <w:p w14:paraId="59D79CCA" w14:textId="77777777" w:rsidR="00F447D5" w:rsidRPr="00B21FAC" w:rsidRDefault="00F447D5" w:rsidP="00BA7E3E">
      <w:pPr>
        <w:pStyle w:val="Lijstalinea"/>
        <w:spacing w:after="0"/>
        <w:ind w:left="0"/>
        <w:jc w:val="both"/>
      </w:pPr>
    </w:p>
    <w:p w14:paraId="436D88C9" w14:textId="0AA8E46A" w:rsidR="00803195" w:rsidRDefault="00F447D5" w:rsidP="00BA7E3E">
      <w:pPr>
        <w:pStyle w:val="Lijstalinea"/>
        <w:spacing w:after="0"/>
        <w:ind w:left="0"/>
        <w:jc w:val="both"/>
      </w:pPr>
      <w:r w:rsidRPr="00B21FAC">
        <w:t xml:space="preserve">Voor zover de beleidsmakers </w:t>
      </w:r>
      <w:r w:rsidR="001566A8">
        <w:t xml:space="preserve">omwille van politiek-maatschappelijke redenen </w:t>
      </w:r>
      <w:r w:rsidRPr="00B21FAC">
        <w:t xml:space="preserve">de vrijstelling voor de eigen woning toch </w:t>
      </w:r>
      <w:r w:rsidR="001C307D">
        <w:t xml:space="preserve">als een aparte specifieke vrijstelling (naast de algemene voetvrijstelling dus) </w:t>
      </w:r>
      <w:r w:rsidRPr="00B21FAC">
        <w:t xml:space="preserve">zouden wensen te behouden, </w:t>
      </w:r>
      <w:r w:rsidR="00496500">
        <w:t xml:space="preserve">kan deze desgevallend </w:t>
      </w:r>
      <w:r w:rsidR="00D039E8">
        <w:t>(</w:t>
      </w:r>
      <w:r w:rsidR="00800A73">
        <w:t>en voor zover administratief haalbaar</w:t>
      </w:r>
      <w:r w:rsidR="00D039E8">
        <w:t xml:space="preserve">) </w:t>
      </w:r>
      <w:r w:rsidR="00496500">
        <w:t xml:space="preserve">verbonden worden aan een plafond. </w:t>
      </w:r>
    </w:p>
    <w:p w14:paraId="3FA6E7B2" w14:textId="5F8E287E" w:rsidR="00F447D5" w:rsidRPr="00B21FAC" w:rsidRDefault="00803195" w:rsidP="00BA7E3E">
      <w:pPr>
        <w:pStyle w:val="Lijstalinea"/>
        <w:spacing w:after="0"/>
        <w:ind w:left="0"/>
        <w:jc w:val="both"/>
      </w:pPr>
      <w:r>
        <w:t xml:space="preserve">In de mate </w:t>
      </w:r>
      <w:r w:rsidR="008B74DE">
        <w:t xml:space="preserve">de </w:t>
      </w:r>
      <w:r>
        <w:t xml:space="preserve">eigen woning </w:t>
      </w:r>
      <w:r w:rsidR="00E74069">
        <w:t>specifiek</w:t>
      </w:r>
      <w:r>
        <w:t xml:space="preserve"> vrijgesteld wordt, </w:t>
      </w:r>
      <w:r w:rsidR="00F447D5" w:rsidRPr="00B21FAC">
        <w:t>moet er bij de toekenning van de vrijstelling in ieder geval rekening mee worden gehouden dat de kosten die met deze woning verband houden, niet aftrekbaar zijn.</w:t>
      </w:r>
    </w:p>
    <w:p w14:paraId="01136A3D" w14:textId="77777777" w:rsidR="00F447D5" w:rsidRPr="00B21FAC" w:rsidRDefault="00F447D5" w:rsidP="00BA7E3E">
      <w:pPr>
        <w:pStyle w:val="Lijstalinea"/>
        <w:spacing w:after="0"/>
        <w:ind w:left="0"/>
        <w:jc w:val="both"/>
      </w:pPr>
    </w:p>
    <w:p w14:paraId="60DF6014" w14:textId="77777777" w:rsidR="00F447D5" w:rsidRPr="00B21FAC" w:rsidRDefault="00F447D5" w:rsidP="00BA7E3E">
      <w:pPr>
        <w:pStyle w:val="Lijstalinea"/>
        <w:spacing w:after="0"/>
        <w:ind w:left="0"/>
        <w:jc w:val="both"/>
        <w:rPr>
          <w:u w:val="single"/>
        </w:rPr>
      </w:pPr>
      <w:r w:rsidRPr="00B21FAC">
        <w:rPr>
          <w:u w:val="single"/>
        </w:rPr>
        <w:t>Toelichting:</w:t>
      </w:r>
    </w:p>
    <w:p w14:paraId="7475C8C3" w14:textId="77777777" w:rsidR="00F447D5" w:rsidRPr="00B21FAC" w:rsidRDefault="00F447D5" w:rsidP="00BA7E3E">
      <w:pPr>
        <w:pStyle w:val="Lijstalinea"/>
        <w:spacing w:after="0"/>
        <w:ind w:left="0"/>
        <w:jc w:val="both"/>
      </w:pPr>
    </w:p>
    <w:p w14:paraId="113486CB" w14:textId="77777777" w:rsidR="005F59BC" w:rsidRDefault="00F447D5">
      <w:pPr>
        <w:pStyle w:val="Lijstalinea"/>
        <w:spacing w:after="0"/>
        <w:ind w:left="0"/>
        <w:jc w:val="both"/>
      </w:pPr>
      <w:r w:rsidRPr="00B21FAC">
        <w:t xml:space="preserve">In het licht van de hiervoor gegeven toelichting, rijst de vraag of er redenen zijn om nog langer </w:t>
      </w:r>
      <w:r w:rsidRPr="00BA7E3E">
        <w:t>specifieke vrijstellingen</w:t>
      </w:r>
      <w:r w:rsidRPr="00B21FAC">
        <w:t xml:space="preserve"> te voorzien. </w:t>
      </w:r>
    </w:p>
    <w:p w14:paraId="64685D77" w14:textId="77777777" w:rsidR="005F59BC" w:rsidRDefault="005F59BC">
      <w:pPr>
        <w:pStyle w:val="Lijstalinea"/>
        <w:spacing w:after="0"/>
        <w:ind w:left="0"/>
        <w:jc w:val="both"/>
      </w:pPr>
    </w:p>
    <w:p w14:paraId="03BAB4C8" w14:textId="1A5E8F82" w:rsidR="00F447D5" w:rsidRPr="00B21FAC" w:rsidRDefault="00F447D5" w:rsidP="00303355">
      <w:pPr>
        <w:pStyle w:val="Lijstalinea"/>
        <w:spacing w:after="0"/>
        <w:ind w:left="0"/>
        <w:jc w:val="both"/>
      </w:pPr>
      <w:r w:rsidRPr="00B21FAC">
        <w:t>Ongetwijfeld de belangrijkste vrijstelling, die op heden bestaat, heeft betrekking op de eigen woning.</w:t>
      </w:r>
      <w:r w:rsidR="0023459C">
        <w:t xml:space="preserve"> </w:t>
      </w:r>
      <w:r w:rsidRPr="00B21FAC">
        <w:t>Tegenover deze vrijstelling staat dan wel dat kosten die met deze woning verband houden, niet aftrekbaar zijn.</w:t>
      </w:r>
    </w:p>
    <w:p w14:paraId="2CB60DE3" w14:textId="77D30272" w:rsidR="00F447D5" w:rsidRDefault="00F447D5" w:rsidP="00275FEB">
      <w:pPr>
        <w:pStyle w:val="Lijstalinea"/>
        <w:ind w:left="0"/>
        <w:jc w:val="both"/>
      </w:pPr>
    </w:p>
    <w:p w14:paraId="7511C25A" w14:textId="2A8CE697" w:rsidR="0023459C" w:rsidRDefault="0023459C" w:rsidP="00275FEB">
      <w:pPr>
        <w:pStyle w:val="Lijstalinea"/>
        <w:ind w:left="0"/>
        <w:jc w:val="both"/>
      </w:pPr>
      <w:r w:rsidRPr="0023459C">
        <w:t xml:space="preserve">De vrijstelling voor de eigen woning is op vandaag maatschappelijk verankerd. Het is dan ook niet evident om deze vrijstelling in vraag te stellen. </w:t>
      </w:r>
      <w:r w:rsidR="004D0079">
        <w:t xml:space="preserve">De eigen woning is alvast een </w:t>
      </w:r>
      <w:r w:rsidR="00EA0DD4">
        <w:t xml:space="preserve">onderdeel van het vermogen dat sterk geassocieerd wordt met een basisbehoefte of -wens. </w:t>
      </w:r>
      <w:r w:rsidR="00750D1D">
        <w:t>Dit vertaalt zich ook in het feit dat heel wat mensen ook effectief een eigen woning bezitten</w:t>
      </w:r>
      <w:r w:rsidR="003260A6">
        <w:t xml:space="preserve">, wat op zich ook bijdraagt aan een beheersing van armoederisico’s, vooral ook bij de oudere bevolking. </w:t>
      </w:r>
      <w:r w:rsidR="0069623F">
        <w:t xml:space="preserve">Het investeren in woningen draagt, in tegenstelling tot </w:t>
      </w:r>
      <w:r w:rsidR="00F1308D">
        <w:t>sommige financiële beleggingen, ook bij aan de nati</w:t>
      </w:r>
      <w:r w:rsidR="0076625D">
        <w:t>o</w:t>
      </w:r>
      <w:r w:rsidR="00F1308D">
        <w:t>nale economie en werkgele</w:t>
      </w:r>
      <w:r w:rsidR="0076625D">
        <w:t>ge</w:t>
      </w:r>
      <w:r w:rsidR="00F1308D">
        <w:t>nheid (</w:t>
      </w:r>
      <w:r w:rsidR="0076625D">
        <w:t>via de activiteiten van bouw, renovatie, onderhoud,…).</w:t>
      </w:r>
    </w:p>
    <w:p w14:paraId="1F049459" w14:textId="77777777" w:rsidR="0023459C" w:rsidRPr="00B21FAC" w:rsidRDefault="0023459C" w:rsidP="00275FEB">
      <w:pPr>
        <w:pStyle w:val="Lijstalinea"/>
        <w:ind w:left="0"/>
        <w:jc w:val="both"/>
      </w:pPr>
    </w:p>
    <w:p w14:paraId="736AB62E" w14:textId="0E51ED92" w:rsidR="00F447D5" w:rsidRPr="00B21FAC" w:rsidRDefault="009C347B" w:rsidP="00275FEB">
      <w:pPr>
        <w:pStyle w:val="Lijstalinea"/>
        <w:ind w:left="0"/>
        <w:jc w:val="both"/>
      </w:pPr>
      <w:r>
        <w:t xml:space="preserve">Het voorgaande neemt niet weg dat er ook </w:t>
      </w:r>
      <w:r w:rsidR="00F447D5" w:rsidRPr="00B21FAC">
        <w:t xml:space="preserve">conceptueel redenen zijn om het vermoed rendement van de eigen woning </w:t>
      </w:r>
      <w:r w:rsidR="00CF4D9A">
        <w:t xml:space="preserve">principieel </w:t>
      </w:r>
      <w:r>
        <w:t xml:space="preserve">toch </w:t>
      </w:r>
      <w:r w:rsidR="00F447D5" w:rsidRPr="00B21FAC">
        <w:t>te belasten, met als logische tegenhanger dat ook de kosten gerelateerd aan deze woning aftrekbaar moeten zijn.</w:t>
      </w:r>
      <w:r w:rsidR="005C093A">
        <w:t xml:space="preserve"> De </w:t>
      </w:r>
      <w:r w:rsidR="004D3A17">
        <w:t xml:space="preserve">redenering steunt op de idee dat het in deze gaat om een “vermogensbelegging”. </w:t>
      </w:r>
      <w:r w:rsidR="00F447D5" w:rsidRPr="00B21FAC">
        <w:t xml:space="preserve">Een </w:t>
      </w:r>
      <w:r w:rsidR="00D529BC">
        <w:t>principiële</w:t>
      </w:r>
      <w:r w:rsidR="00D529BC" w:rsidRPr="00B21FAC">
        <w:t xml:space="preserve"> </w:t>
      </w:r>
      <w:r w:rsidR="00F447D5" w:rsidRPr="00B21FAC">
        <w:t xml:space="preserve">belastingheffing versterkt </w:t>
      </w:r>
      <w:r w:rsidR="001B409D">
        <w:t>voorts</w:t>
      </w:r>
      <w:r w:rsidR="00F447D5" w:rsidRPr="00B21FAC">
        <w:t xml:space="preserve"> de neutraliteit in de heffing en garandeert ook een meer neutrale behandeling t.a.v. zij die woningen huren. </w:t>
      </w:r>
    </w:p>
    <w:p w14:paraId="5FDBEB62" w14:textId="77777777" w:rsidR="00F447D5" w:rsidRPr="00B21FAC" w:rsidRDefault="00F447D5" w:rsidP="00275FEB">
      <w:pPr>
        <w:pStyle w:val="Lijstalinea"/>
        <w:ind w:left="0"/>
        <w:jc w:val="both"/>
      </w:pPr>
    </w:p>
    <w:p w14:paraId="12E2055E" w14:textId="0100AB29" w:rsidR="00F447D5" w:rsidRPr="00B21FAC" w:rsidRDefault="00F447D5" w:rsidP="00275FEB">
      <w:pPr>
        <w:pStyle w:val="Lijstalinea"/>
        <w:ind w:left="0"/>
        <w:jc w:val="both"/>
      </w:pPr>
      <w:r w:rsidRPr="00B21FAC">
        <w:t xml:space="preserve">Teneinde ongewenste effecten te vermijden, zou men </w:t>
      </w:r>
      <w:r w:rsidR="00BA7F4A">
        <w:t xml:space="preserve">in dit geval </w:t>
      </w:r>
      <w:r w:rsidRPr="00B21FAC">
        <w:t xml:space="preserve">overigens het bedrag van de algemene voetvrijstelling voldoende hoog kunnen positioneren, zodat de belastbaarstelling voor een gemiddeld gezin niet zou leiden tot een effectieve </w:t>
      </w:r>
      <w:r w:rsidR="00D529BC" w:rsidRPr="00B21FAC">
        <w:t>belasting</w:t>
      </w:r>
      <w:r w:rsidR="00D529BC">
        <w:t>heffing</w:t>
      </w:r>
      <w:r w:rsidRPr="00B21FAC">
        <w:t>.</w:t>
      </w:r>
    </w:p>
    <w:p w14:paraId="03F496CF" w14:textId="77777777" w:rsidR="00F447D5" w:rsidRPr="00B21FAC" w:rsidRDefault="00F447D5" w:rsidP="00BA7E3E">
      <w:pPr>
        <w:pStyle w:val="Lijstalinea"/>
        <w:spacing w:after="0"/>
        <w:ind w:left="0"/>
        <w:jc w:val="both"/>
      </w:pPr>
    </w:p>
    <w:p w14:paraId="594A2464" w14:textId="77777777" w:rsidR="00F447D5" w:rsidRPr="00B21FAC" w:rsidRDefault="00F447D5" w:rsidP="00BA7E3E">
      <w:pPr>
        <w:pStyle w:val="Lijstalinea"/>
        <w:spacing w:after="0"/>
        <w:ind w:left="0"/>
        <w:jc w:val="both"/>
      </w:pPr>
      <w:r w:rsidRPr="00B21FAC">
        <w:rPr>
          <w:u w:val="single"/>
        </w:rPr>
        <w:t>PM:</w:t>
      </w:r>
      <w:r w:rsidRPr="00B21FAC">
        <w:t xml:space="preserve"> Bij dit alles moet er ook rekening mee worden gehouden dat de Gewesten exclusief bevoegd zijn m.b.t. de belastingverminderingen en belastingkredieten die verband houden met “uitgaven voor het verwerven of het behouden van de eigen woning”. Ofschoon dit op zich geen afbreuk doet aan het recht van de federale overheid om de belastbare grondslag terzake vast te stellen, is het conceptueel wel duidelijk dat dergelijke uitgaven of kosten in het kader van het regionale beleid in aanmerking moeten worden genomen.</w:t>
      </w:r>
    </w:p>
    <w:p w14:paraId="0C62FC14" w14:textId="0BAD7C64" w:rsidR="00F447D5" w:rsidRPr="00B21FAC" w:rsidRDefault="00F447D5" w:rsidP="00BA7E3E">
      <w:pPr>
        <w:spacing w:after="0"/>
        <w:jc w:val="both"/>
      </w:pPr>
    </w:p>
    <w:p w14:paraId="1989B955" w14:textId="77777777" w:rsidR="00EB61BF" w:rsidRPr="00B21FAC" w:rsidRDefault="00EB61BF" w:rsidP="00BA7E3E">
      <w:pPr>
        <w:spacing w:after="0"/>
        <w:jc w:val="both"/>
      </w:pPr>
    </w:p>
    <w:p w14:paraId="4C6D4662" w14:textId="3A5AC0B4" w:rsidR="00F447D5" w:rsidRPr="00B21FAC" w:rsidRDefault="00F447D5" w:rsidP="00275FEB">
      <w:pPr>
        <w:pStyle w:val="Kop3"/>
        <w:numPr>
          <w:ilvl w:val="0"/>
          <w:numId w:val="43"/>
        </w:numPr>
      </w:pPr>
      <w:bookmarkStart w:id="207" w:name="_Toc107210933"/>
      <w:r w:rsidRPr="00B21FAC">
        <w:t>Tarief</w:t>
      </w:r>
      <w:bookmarkEnd w:id="207"/>
    </w:p>
    <w:p w14:paraId="0583D956" w14:textId="77777777" w:rsidR="00EB61BF" w:rsidRPr="00B21FAC" w:rsidRDefault="00EB61BF" w:rsidP="00BA7E3E">
      <w:pPr>
        <w:spacing w:after="0"/>
        <w:jc w:val="both"/>
        <w:rPr>
          <w:b/>
          <w:bCs/>
        </w:rPr>
      </w:pPr>
    </w:p>
    <w:p w14:paraId="50391D1F" w14:textId="77777777" w:rsidR="00EB61BF" w:rsidRPr="00B21FAC" w:rsidRDefault="00EB61BF" w:rsidP="00BA7E3E">
      <w:pPr>
        <w:spacing w:after="0"/>
        <w:jc w:val="both"/>
        <w:rPr>
          <w:b/>
          <w:bCs/>
        </w:rPr>
      </w:pPr>
    </w:p>
    <w:p w14:paraId="74BD46E6" w14:textId="2E355CE2" w:rsidR="00F447D5" w:rsidRPr="00B21FAC" w:rsidRDefault="00F447D5" w:rsidP="00BA7E3E">
      <w:pPr>
        <w:spacing w:after="0"/>
        <w:jc w:val="both"/>
      </w:pPr>
      <w:r w:rsidRPr="00B21FAC">
        <w:rPr>
          <w:b/>
          <w:bCs/>
        </w:rPr>
        <w:t>Voorstel –</w:t>
      </w:r>
      <w:r w:rsidRPr="00B21FAC">
        <w:t xml:space="preserve"> Wat de tariefbepaling betreft, wordt uitgegaan van het standaardtarief.</w:t>
      </w:r>
    </w:p>
    <w:p w14:paraId="1C55D9FF" w14:textId="77777777" w:rsidR="00F447D5" w:rsidRPr="00B21FAC" w:rsidRDefault="00F447D5" w:rsidP="00BA7E3E">
      <w:pPr>
        <w:spacing w:after="0"/>
        <w:jc w:val="both"/>
      </w:pPr>
    </w:p>
    <w:p w14:paraId="2498C99B" w14:textId="77777777" w:rsidR="00F447D5" w:rsidRPr="00B21FAC" w:rsidRDefault="00F447D5" w:rsidP="00BA7E3E">
      <w:pPr>
        <w:spacing w:after="0"/>
        <w:jc w:val="both"/>
      </w:pPr>
      <w:r w:rsidRPr="00B21FAC">
        <w:rPr>
          <w:u w:val="single"/>
        </w:rPr>
        <w:t>Toelichting</w:t>
      </w:r>
      <w:r w:rsidRPr="00B21FAC">
        <w:t>: cf. supra</w:t>
      </w:r>
    </w:p>
    <w:p w14:paraId="147AFB1B" w14:textId="1333146D" w:rsidR="00F447D5" w:rsidRDefault="00F447D5" w:rsidP="00BA7E3E">
      <w:pPr>
        <w:spacing w:after="0"/>
        <w:jc w:val="both"/>
      </w:pPr>
    </w:p>
    <w:p w14:paraId="29A34E6C" w14:textId="0D8452E8" w:rsidR="00213AEB" w:rsidRDefault="00213AEB" w:rsidP="00BA7E3E">
      <w:pPr>
        <w:spacing w:after="0"/>
        <w:jc w:val="both"/>
      </w:pPr>
      <w:r w:rsidRPr="00B523AE">
        <w:rPr>
          <w:u w:val="single"/>
        </w:rPr>
        <w:t>PM:</w:t>
      </w:r>
      <w:r>
        <w:t xml:space="preserve"> </w:t>
      </w:r>
      <w:r w:rsidR="00FB5187">
        <w:t>Zoals reeds herhaaldelijk gesteld kan een afwijking op het standaardtarief voorzien worden, voor zover een dergelijke afwijking (i) op bijzondere wijze verantwoord kan worden, (ii) doelgericht, rechtlijnig en specifiek is, en (iii) recurrent g</w:t>
      </w:r>
      <w:r w:rsidR="001D4BD5">
        <w:t>e</w:t>
      </w:r>
      <w:r w:rsidR="00FB5187">
        <w:t>herevalueerd kan worden</w:t>
      </w:r>
      <w:r w:rsidR="002769ED">
        <w:t xml:space="preserve"> (cf. bouwsteen 10)</w:t>
      </w:r>
      <w:r w:rsidR="00FB5187">
        <w:t>.</w:t>
      </w:r>
    </w:p>
    <w:p w14:paraId="2BBFEF3F" w14:textId="77777777" w:rsidR="00213AEB" w:rsidRPr="00B21FAC" w:rsidRDefault="00213AEB" w:rsidP="00BA7E3E">
      <w:pPr>
        <w:spacing w:after="0"/>
        <w:jc w:val="both"/>
      </w:pPr>
    </w:p>
    <w:p w14:paraId="2B082C58" w14:textId="739A07D4" w:rsidR="00EB61BF" w:rsidRPr="00B21FAC" w:rsidRDefault="00EB61BF" w:rsidP="00BA7E3E">
      <w:pPr>
        <w:spacing w:after="0"/>
        <w:jc w:val="both"/>
      </w:pPr>
    </w:p>
    <w:p w14:paraId="772B4460" w14:textId="3116D747" w:rsidR="00EB61BF" w:rsidRPr="00B21FAC" w:rsidRDefault="00EB61BF" w:rsidP="00275FEB">
      <w:pPr>
        <w:pStyle w:val="Kop3"/>
        <w:numPr>
          <w:ilvl w:val="0"/>
          <w:numId w:val="43"/>
        </w:numPr>
      </w:pPr>
      <w:bookmarkStart w:id="208" w:name="_Toc107210934"/>
      <w:r w:rsidRPr="00B21FAC">
        <w:t>Inning</w:t>
      </w:r>
      <w:bookmarkEnd w:id="208"/>
    </w:p>
    <w:p w14:paraId="43656610" w14:textId="77777777" w:rsidR="00EB61BF" w:rsidRPr="00B21FAC" w:rsidRDefault="00EB61BF" w:rsidP="00BA7E3E">
      <w:pPr>
        <w:spacing w:after="0"/>
        <w:jc w:val="both"/>
      </w:pPr>
    </w:p>
    <w:p w14:paraId="4CAAE837" w14:textId="62F2F050" w:rsidR="00EB61BF" w:rsidRDefault="00EB61BF">
      <w:pPr>
        <w:spacing w:after="0"/>
        <w:jc w:val="both"/>
      </w:pPr>
    </w:p>
    <w:p w14:paraId="1CFA1B36" w14:textId="7813BD79" w:rsidR="00101E34" w:rsidRDefault="00101E34">
      <w:pPr>
        <w:spacing w:after="0"/>
        <w:jc w:val="both"/>
      </w:pPr>
      <w:r w:rsidRPr="00BA7E3E">
        <w:rPr>
          <w:b/>
          <w:bCs/>
        </w:rPr>
        <w:t>Voorstel</w:t>
      </w:r>
      <w:r>
        <w:t xml:space="preserve"> – </w:t>
      </w:r>
      <w:r w:rsidR="00A916DD">
        <w:t xml:space="preserve">Teneinde een versnelde en meer effectieve inning van de </w:t>
      </w:r>
      <w:r w:rsidR="002769ED">
        <w:t>belasting</w:t>
      </w:r>
      <w:r w:rsidR="00C15BE5">
        <w:t xml:space="preserve"> op vruchten uit onroerende goederen</w:t>
      </w:r>
      <w:r w:rsidR="002769ED">
        <w:t xml:space="preserve"> </w:t>
      </w:r>
      <w:r w:rsidR="00117009">
        <w:t>te bewerkstelligen, kan overwogen worden om hiertoe het stelsel van de voorafbetalingen aan te wenden, al dan niet in combinatie met een specifiek daartoe voorziene ‘huurrekening’.</w:t>
      </w:r>
    </w:p>
    <w:p w14:paraId="6137D7AF" w14:textId="5AF26D77" w:rsidR="00101E34" w:rsidRDefault="00101E34">
      <w:pPr>
        <w:spacing w:after="0"/>
        <w:jc w:val="both"/>
      </w:pPr>
    </w:p>
    <w:p w14:paraId="215E539C" w14:textId="6174C039" w:rsidR="00A916DD" w:rsidRPr="00BA7E3E" w:rsidRDefault="00A916DD">
      <w:pPr>
        <w:spacing w:after="0"/>
        <w:jc w:val="both"/>
        <w:rPr>
          <w:u w:val="single"/>
        </w:rPr>
      </w:pPr>
      <w:r w:rsidRPr="00BA7E3E">
        <w:rPr>
          <w:u w:val="single"/>
        </w:rPr>
        <w:t>Toelichting:</w:t>
      </w:r>
    </w:p>
    <w:p w14:paraId="31A117FA" w14:textId="77777777" w:rsidR="00A916DD" w:rsidRPr="00B21FAC" w:rsidRDefault="00A916DD" w:rsidP="00BA7E3E">
      <w:pPr>
        <w:spacing w:after="0"/>
        <w:jc w:val="both"/>
      </w:pPr>
    </w:p>
    <w:p w14:paraId="1D12CA3C" w14:textId="3284F228" w:rsidR="0007674A" w:rsidRDefault="00B70FAF" w:rsidP="00BA7E3E">
      <w:pPr>
        <w:spacing w:after="0"/>
        <w:jc w:val="both"/>
      </w:pPr>
      <w:r>
        <w:t xml:space="preserve">Er kan overwogen worden om </w:t>
      </w:r>
      <w:r w:rsidR="00C15BE5">
        <w:t xml:space="preserve">genieters van de genoemde inkomsten </w:t>
      </w:r>
      <w:r>
        <w:t xml:space="preserve">ertoe aan te zetten </w:t>
      </w:r>
      <w:r w:rsidR="000045B2">
        <w:t xml:space="preserve">voldoende </w:t>
      </w:r>
      <w:r>
        <w:t>voorafbetalingen te storten</w:t>
      </w:r>
      <w:r w:rsidR="000045B2">
        <w:t xml:space="preserve">, </w:t>
      </w:r>
      <w:r w:rsidR="00F05A27">
        <w:t>op straffe van een belastingvermeerdering</w:t>
      </w:r>
      <w:r>
        <w:t>.</w:t>
      </w:r>
    </w:p>
    <w:p w14:paraId="5382A0A7" w14:textId="77777777" w:rsidR="0007674A" w:rsidRDefault="0007674A" w:rsidP="00BA7E3E">
      <w:pPr>
        <w:spacing w:after="0"/>
        <w:jc w:val="both"/>
      </w:pPr>
    </w:p>
    <w:p w14:paraId="4002C809" w14:textId="559E207F" w:rsidR="00F447D5" w:rsidRPr="00B21FAC" w:rsidRDefault="00F05A27" w:rsidP="00BA7E3E">
      <w:pPr>
        <w:spacing w:after="0"/>
        <w:jc w:val="both"/>
      </w:pPr>
      <w:r>
        <w:t>Meer verregaand</w:t>
      </w:r>
      <w:r w:rsidR="00F447D5" w:rsidRPr="00B21FAC">
        <w:t xml:space="preserve"> kan </w:t>
      </w:r>
      <w:r>
        <w:t xml:space="preserve">ook </w:t>
      </w:r>
      <w:r w:rsidR="00F447D5" w:rsidRPr="00B21FAC">
        <w:t>overwogen worden om aan de financiële instelling</w:t>
      </w:r>
      <w:r w:rsidR="003F0569">
        <w:t xml:space="preserve"> van de verhuurder en waarbij de huurvergoedingen betaald worden</w:t>
      </w:r>
      <w:r w:rsidR="00F447D5" w:rsidRPr="00B21FAC">
        <w:t xml:space="preserve">, de mogelijkheid te verlenen om op </w:t>
      </w:r>
      <w:r w:rsidR="003F0569">
        <w:t>deze</w:t>
      </w:r>
      <w:r w:rsidR="00F447D5" w:rsidRPr="00B21FAC">
        <w:t xml:space="preserve"> </w:t>
      </w:r>
      <w:r w:rsidR="003F0569">
        <w:t>huurvergoedingen</w:t>
      </w:r>
      <w:r w:rsidR="00F447D5" w:rsidRPr="00B21FAC">
        <w:t xml:space="preserve"> een (bevrijdende) voorheffing in te houden (bv. van 25,50% teneinde rekening te houden met het kostenforfait ad 15% en uitgaande van een </w:t>
      </w:r>
      <w:r w:rsidR="00D91F2B">
        <w:t xml:space="preserve">(maximaal) </w:t>
      </w:r>
      <w:r w:rsidR="00F447D5" w:rsidRPr="00B21FAC">
        <w:t xml:space="preserve">basistarief van 30%). Dit kan gemakkelijk bewerkstelligd worden, bv. op basis van een afzonderlijke dienstverlening waarbij de financiële instelling bijzondere rekeningen aanbiedt waarop uitsluitend </w:t>
      </w:r>
      <w:r w:rsidR="003F0569">
        <w:t>huurvergoedingen</w:t>
      </w:r>
      <w:r w:rsidR="00F447D5" w:rsidRPr="00B21FAC">
        <w:t xml:space="preserve"> kunnen worden </w:t>
      </w:r>
      <w:r w:rsidR="003F0569">
        <w:t>betaald</w:t>
      </w:r>
      <w:r w:rsidR="00F447D5" w:rsidRPr="00B21FAC">
        <w:t>. Deze ‘huurrekeningen’ kunnen in voorkomend geval gekoppeld worden aan de (verplicht) te registreren huurovereenkomsten.</w:t>
      </w:r>
    </w:p>
    <w:p w14:paraId="45C0C5C1" w14:textId="77777777" w:rsidR="00F447D5" w:rsidRPr="00B21FAC" w:rsidRDefault="00F447D5" w:rsidP="00BA7E3E">
      <w:pPr>
        <w:spacing w:after="0"/>
        <w:jc w:val="both"/>
      </w:pPr>
    </w:p>
    <w:p w14:paraId="0F6F57B4" w14:textId="77777777" w:rsidR="00F447D5" w:rsidRPr="00B21FAC" w:rsidRDefault="00F447D5" w:rsidP="00BA7E3E">
      <w:pPr>
        <w:spacing w:after="0"/>
        <w:jc w:val="both"/>
      </w:pPr>
      <w:r w:rsidRPr="00B21FAC">
        <w:rPr>
          <w:u w:val="single"/>
        </w:rPr>
        <w:t>PM:</w:t>
      </w:r>
      <w:r w:rsidRPr="00B21FAC">
        <w:t xml:space="preserve"> De voorheffing van 25,5% maakt abstractie van de reële kosten die mogelijkerwijze in aftrek kunnen worden gebracht. Voor zover de belastingplichtige andere vastgoedkosten heeft, zal hij deze dus moeten opnemen in zijn fiscale aangifte. Eventueel kan wel onderzocht worden in welke mate bepaalde van die kosten via de “huurrekening” kunnen betaald worden, waarbij de voorheffing van meet af aan toegepast wordt op het batig saldo (na aftrek van de via de huurrekening betaalde aftrekbare werkelijke kosten dus).</w:t>
      </w:r>
    </w:p>
    <w:p w14:paraId="16AB3F8F" w14:textId="6726D00A" w:rsidR="00301FF2" w:rsidRDefault="00301FF2">
      <w:r>
        <w:br w:type="page"/>
      </w:r>
    </w:p>
    <w:p w14:paraId="57080A24" w14:textId="77777777" w:rsidR="00F447D5" w:rsidRPr="00B21FAC" w:rsidRDefault="00F447D5" w:rsidP="00BA7E3E">
      <w:pPr>
        <w:spacing w:after="0"/>
        <w:ind w:left="709"/>
        <w:jc w:val="both"/>
      </w:pPr>
    </w:p>
    <w:p w14:paraId="1A3E195C" w14:textId="77777777" w:rsidR="00F447D5" w:rsidRPr="00B21FAC" w:rsidRDefault="00F447D5" w:rsidP="00BA7E3E">
      <w:pPr>
        <w:spacing w:after="0"/>
        <w:ind w:left="709"/>
        <w:jc w:val="both"/>
      </w:pPr>
    </w:p>
    <w:p w14:paraId="00FEE198" w14:textId="08274608" w:rsidR="00F447D5" w:rsidRPr="00B21FAC" w:rsidRDefault="00F447D5" w:rsidP="00275FEB">
      <w:pPr>
        <w:pStyle w:val="Kop2"/>
        <w:numPr>
          <w:ilvl w:val="0"/>
          <w:numId w:val="45"/>
        </w:numPr>
      </w:pPr>
      <w:bookmarkStart w:id="209" w:name="_Toc107210935"/>
      <w:r w:rsidRPr="00B21FAC">
        <w:t>Vruchten uit roerende goederen</w:t>
      </w:r>
      <w:bookmarkEnd w:id="209"/>
    </w:p>
    <w:p w14:paraId="4D2141F6" w14:textId="65B64E89" w:rsidR="00F447D5" w:rsidRPr="00B21FAC" w:rsidRDefault="00F447D5" w:rsidP="00BA7E3E">
      <w:pPr>
        <w:spacing w:after="0"/>
        <w:jc w:val="both"/>
      </w:pPr>
    </w:p>
    <w:p w14:paraId="1DEFCF5D" w14:textId="77777777" w:rsidR="003C56E3" w:rsidRPr="00B21FAC" w:rsidRDefault="003C56E3" w:rsidP="00BA7E3E">
      <w:pPr>
        <w:spacing w:after="0"/>
        <w:jc w:val="both"/>
      </w:pPr>
    </w:p>
    <w:p w14:paraId="0FEC479F" w14:textId="5D12AE6C" w:rsidR="00F447D5" w:rsidRPr="00B21FAC" w:rsidRDefault="00F447D5" w:rsidP="00275FEB">
      <w:pPr>
        <w:pStyle w:val="Kop3"/>
        <w:numPr>
          <w:ilvl w:val="0"/>
          <w:numId w:val="44"/>
        </w:numPr>
      </w:pPr>
      <w:bookmarkStart w:id="210" w:name="_Toc107210936"/>
      <w:r w:rsidRPr="00B21FAC">
        <w:t>Omschrijving van het belastbaar inkomen</w:t>
      </w:r>
      <w:bookmarkEnd w:id="210"/>
    </w:p>
    <w:p w14:paraId="7684681D" w14:textId="34E6D792" w:rsidR="00F447D5" w:rsidRPr="00B21FAC" w:rsidRDefault="00F447D5" w:rsidP="00275FEB">
      <w:pPr>
        <w:pStyle w:val="Lijstalinea"/>
        <w:spacing w:after="0"/>
        <w:ind w:left="0"/>
        <w:jc w:val="both"/>
      </w:pPr>
    </w:p>
    <w:p w14:paraId="16E8D55B" w14:textId="77777777" w:rsidR="003C56E3" w:rsidRPr="00B21FAC" w:rsidRDefault="003C56E3" w:rsidP="00275FEB">
      <w:pPr>
        <w:pStyle w:val="Lijstalinea"/>
        <w:spacing w:after="0"/>
        <w:ind w:left="0"/>
        <w:jc w:val="both"/>
      </w:pPr>
    </w:p>
    <w:p w14:paraId="509B1A11" w14:textId="2FC51BC6" w:rsidR="00F447D5" w:rsidRPr="00B21FAC" w:rsidRDefault="00F447D5" w:rsidP="00275FEB">
      <w:pPr>
        <w:pStyle w:val="Lijstalinea"/>
        <w:spacing w:after="0"/>
        <w:ind w:left="0"/>
        <w:jc w:val="both"/>
      </w:pPr>
      <w:r w:rsidRPr="00B21FAC">
        <w:rPr>
          <w:b/>
          <w:bCs/>
        </w:rPr>
        <w:t>Voorstel –</w:t>
      </w:r>
      <w:r w:rsidRPr="00B21FAC">
        <w:t xml:space="preserve"> </w:t>
      </w:r>
      <w:r w:rsidR="00B4056C">
        <w:t>R</w:t>
      </w:r>
      <w:r w:rsidRPr="00B21FAC">
        <w:t>oerende vruchten vallen grotendeels samen met de thans gekende roerende inkomsten, met dien verstande dat hieronder voortaan ook het ‘vermogensrendement’ wordt begrepen.</w:t>
      </w:r>
    </w:p>
    <w:p w14:paraId="6943EFFD" w14:textId="77777777" w:rsidR="00F447D5" w:rsidRPr="00B21FAC" w:rsidRDefault="00F447D5" w:rsidP="00275FEB">
      <w:pPr>
        <w:pStyle w:val="Lijstalinea"/>
        <w:spacing w:after="0"/>
        <w:ind w:left="0"/>
        <w:jc w:val="both"/>
      </w:pPr>
    </w:p>
    <w:p w14:paraId="6E5AB9BD" w14:textId="77777777" w:rsidR="00F447D5" w:rsidRPr="00B21FAC" w:rsidRDefault="00F447D5" w:rsidP="00275FEB">
      <w:pPr>
        <w:pStyle w:val="Lijstalinea"/>
        <w:spacing w:after="0"/>
        <w:ind w:left="0"/>
        <w:jc w:val="both"/>
        <w:rPr>
          <w:u w:val="single"/>
        </w:rPr>
      </w:pPr>
      <w:r w:rsidRPr="00B21FAC">
        <w:rPr>
          <w:u w:val="single"/>
        </w:rPr>
        <w:t>Toelichting:</w:t>
      </w:r>
    </w:p>
    <w:p w14:paraId="29947907" w14:textId="77777777" w:rsidR="00F447D5" w:rsidRPr="00B21FAC" w:rsidRDefault="00F447D5" w:rsidP="00275FEB">
      <w:pPr>
        <w:pStyle w:val="Lijstalinea"/>
        <w:spacing w:after="0"/>
        <w:ind w:left="0"/>
        <w:jc w:val="both"/>
      </w:pPr>
    </w:p>
    <w:p w14:paraId="3FF3D4A4" w14:textId="77777777" w:rsidR="00F447D5" w:rsidRPr="00B21FAC" w:rsidRDefault="00F447D5" w:rsidP="00275FEB">
      <w:pPr>
        <w:pStyle w:val="Lijstalinea"/>
        <w:spacing w:after="0"/>
        <w:ind w:left="0"/>
        <w:jc w:val="both"/>
      </w:pPr>
      <w:r w:rsidRPr="00B21FAC">
        <w:t>De ‘vruchten uit roerende goederen’ vallen in belangrijke mate samen met de thans bestaande roerende inkomsten, met dien verstande dat bepaalde kwalificaties toch best worden herzien. De meeste bedenkingen rijzen in ieder geval rond de ‘auteursrechten’, vermits deze inkomsten in heel wat gevallen rechtstreeks voortkomen uit geleverde arbeidsprestaties en bijgevolg niet als de (latere) vrucht of realisatie kunnen beschouwd worden van een opgebouwd (immaterieel) vermogen.</w:t>
      </w:r>
    </w:p>
    <w:p w14:paraId="08315BEB" w14:textId="77777777" w:rsidR="00F447D5" w:rsidRPr="00B21FAC" w:rsidRDefault="00F447D5" w:rsidP="00275FEB">
      <w:pPr>
        <w:pStyle w:val="Lijstalinea"/>
        <w:spacing w:after="0"/>
        <w:ind w:left="0"/>
        <w:jc w:val="both"/>
      </w:pPr>
    </w:p>
    <w:p w14:paraId="689FECA8" w14:textId="77777777" w:rsidR="00F447D5" w:rsidRPr="00B21FAC" w:rsidRDefault="00F447D5" w:rsidP="00275FEB">
      <w:pPr>
        <w:pStyle w:val="Lijstalinea"/>
        <w:spacing w:after="0"/>
        <w:ind w:left="0"/>
        <w:jc w:val="both"/>
      </w:pPr>
      <w:r w:rsidRPr="00B21FAC">
        <w:t>Deze categorie zou wel uitgebreid worden tot het vermogensrendement dat toegekend wordt aan de roerende goederen gebruikt in het kader van een professionele werkzaamheid (vgl. naar analogie met ‘vruchten uit onroerende goederen’).</w:t>
      </w:r>
    </w:p>
    <w:p w14:paraId="5A46E244" w14:textId="71AA31E4" w:rsidR="00F447D5" w:rsidRPr="00B21FAC" w:rsidRDefault="00F447D5" w:rsidP="00275FEB">
      <w:pPr>
        <w:pStyle w:val="Lijstalinea"/>
        <w:spacing w:after="0"/>
        <w:ind w:left="0"/>
        <w:jc w:val="both"/>
      </w:pPr>
    </w:p>
    <w:p w14:paraId="2948DA49" w14:textId="77777777" w:rsidR="003C56E3" w:rsidRPr="00B21FAC" w:rsidRDefault="003C56E3" w:rsidP="00275FEB">
      <w:pPr>
        <w:pStyle w:val="Lijstalinea"/>
        <w:spacing w:after="0"/>
        <w:ind w:left="0"/>
        <w:jc w:val="both"/>
      </w:pPr>
    </w:p>
    <w:p w14:paraId="6C63207E" w14:textId="6E8A9C31" w:rsidR="00F447D5" w:rsidRPr="00B21FAC" w:rsidRDefault="00F447D5" w:rsidP="00275FEB">
      <w:pPr>
        <w:pStyle w:val="Kop3"/>
        <w:numPr>
          <w:ilvl w:val="0"/>
          <w:numId w:val="44"/>
        </w:numPr>
      </w:pPr>
      <w:bookmarkStart w:id="211" w:name="_Toc107210937"/>
      <w:r w:rsidRPr="00B21FAC">
        <w:t>De bepaling van de netto-belastbare grondslag</w:t>
      </w:r>
      <w:bookmarkEnd w:id="211"/>
      <w:r w:rsidRPr="00B21FAC">
        <w:t xml:space="preserve"> </w:t>
      </w:r>
    </w:p>
    <w:p w14:paraId="31E28127" w14:textId="6AEAF011" w:rsidR="00F447D5" w:rsidRPr="00B21FAC" w:rsidRDefault="00F447D5" w:rsidP="00275FEB">
      <w:pPr>
        <w:spacing w:after="0"/>
        <w:jc w:val="both"/>
      </w:pPr>
    </w:p>
    <w:p w14:paraId="5208BC4D" w14:textId="77777777" w:rsidR="003C56E3" w:rsidRPr="00B21FAC" w:rsidRDefault="003C56E3" w:rsidP="00275FEB">
      <w:pPr>
        <w:spacing w:after="0"/>
        <w:jc w:val="both"/>
      </w:pPr>
    </w:p>
    <w:p w14:paraId="598186EA" w14:textId="0C72200A" w:rsidR="00F447D5" w:rsidRPr="00B21FAC" w:rsidRDefault="00F447D5" w:rsidP="00275FEB">
      <w:pPr>
        <w:pStyle w:val="Lijstalinea"/>
        <w:spacing w:after="0"/>
        <w:ind w:left="0"/>
        <w:jc w:val="both"/>
      </w:pPr>
      <w:r w:rsidRPr="00B21FAC">
        <w:rPr>
          <w:b/>
          <w:bCs/>
        </w:rPr>
        <w:t>Voorstel –</w:t>
      </w:r>
      <w:r w:rsidRPr="00B21FAC">
        <w:t xml:space="preserve"> Met het oog op de bepaling van de netto-belastbare grondslag wordt voorgesteld om in de regel te werken met forfaits, die beperkt moeten zijn. De huidige, door de Koning bepaalde, kostenforfaits moeten in voorkomend geval geherevalueerd worden. Er wordt </w:t>
      </w:r>
      <w:r w:rsidR="00D7042C">
        <w:t xml:space="preserve">in de regel </w:t>
      </w:r>
      <w:r w:rsidRPr="00B21FAC">
        <w:t>geen kostenaftrek toegestaan m.b.t. de zuivere beleggingsinkomsten (inz. dividenden en interesten).</w:t>
      </w:r>
    </w:p>
    <w:p w14:paraId="59219F5D" w14:textId="77777777" w:rsidR="00F447D5" w:rsidRPr="00B21FAC" w:rsidRDefault="00F447D5" w:rsidP="00275FEB">
      <w:pPr>
        <w:pStyle w:val="Lijstalinea"/>
        <w:spacing w:after="0"/>
        <w:ind w:left="0"/>
        <w:jc w:val="both"/>
        <w:rPr>
          <w:b/>
          <w:bCs/>
        </w:rPr>
      </w:pPr>
    </w:p>
    <w:p w14:paraId="7C95D24D" w14:textId="77777777" w:rsidR="00B4056C" w:rsidRDefault="00F447D5" w:rsidP="00275FEB">
      <w:pPr>
        <w:pStyle w:val="Lijstalinea"/>
        <w:spacing w:after="0"/>
        <w:ind w:left="0"/>
        <w:jc w:val="both"/>
      </w:pPr>
      <w:r w:rsidRPr="00B21FAC">
        <w:rPr>
          <w:u w:val="single"/>
        </w:rPr>
        <w:t>Toelichting</w:t>
      </w:r>
      <w:r w:rsidRPr="00B21FAC">
        <w:t xml:space="preserve">: </w:t>
      </w:r>
    </w:p>
    <w:p w14:paraId="4E4F580F" w14:textId="77777777" w:rsidR="00B4056C" w:rsidRDefault="00B4056C" w:rsidP="00275FEB">
      <w:pPr>
        <w:pStyle w:val="Lijstalinea"/>
        <w:spacing w:after="0"/>
        <w:ind w:left="0"/>
        <w:jc w:val="both"/>
      </w:pPr>
    </w:p>
    <w:p w14:paraId="79EBA340" w14:textId="61106DC0" w:rsidR="00F447D5" w:rsidRPr="00B21FAC" w:rsidRDefault="00F447D5" w:rsidP="00275FEB">
      <w:pPr>
        <w:pStyle w:val="Lijstalinea"/>
        <w:spacing w:after="0"/>
        <w:ind w:left="0"/>
        <w:jc w:val="both"/>
        <w:rPr>
          <w:u w:val="single"/>
        </w:rPr>
      </w:pPr>
      <w:r w:rsidRPr="00B21FAC">
        <w:t>Het bestaande stelsel wordt grotendeels behouden. De keuze voor een forfaitaire kostenaftrek wordt in deze context vooral verantwoord vanuit de keuze voor de administratieve eenvoud. De toepasselijke forfaits zullen uiteraard differentiëren in functie van het onderliggend inkomen. De huidige, door de Koning vastgelegde forfaits, dienen in ieder geval te worden herbeoordeeld.</w:t>
      </w:r>
    </w:p>
    <w:p w14:paraId="5FE2C0BD" w14:textId="505C13E3" w:rsidR="008B3094" w:rsidRDefault="008B3094">
      <w:r>
        <w:br w:type="page"/>
      </w:r>
    </w:p>
    <w:p w14:paraId="7773C7B3" w14:textId="77777777" w:rsidR="00F447D5" w:rsidRPr="00B21FAC" w:rsidRDefault="00F447D5" w:rsidP="00275FEB">
      <w:pPr>
        <w:spacing w:after="0"/>
        <w:jc w:val="both"/>
      </w:pPr>
    </w:p>
    <w:p w14:paraId="2970C8DE" w14:textId="77777777" w:rsidR="005B0248" w:rsidRPr="00B21FAC" w:rsidRDefault="005B0248" w:rsidP="00275FEB">
      <w:pPr>
        <w:spacing w:after="0"/>
        <w:jc w:val="both"/>
      </w:pPr>
    </w:p>
    <w:p w14:paraId="1909017B" w14:textId="70DAB561" w:rsidR="00F447D5" w:rsidRPr="00B21FAC" w:rsidRDefault="00F447D5" w:rsidP="00275FEB">
      <w:pPr>
        <w:pStyle w:val="Kop3"/>
        <w:numPr>
          <w:ilvl w:val="0"/>
          <w:numId w:val="44"/>
        </w:numPr>
      </w:pPr>
      <w:bookmarkStart w:id="212" w:name="_Toc107210938"/>
      <w:r w:rsidRPr="00B21FAC">
        <w:t>Vrijstellingen</w:t>
      </w:r>
      <w:bookmarkEnd w:id="212"/>
    </w:p>
    <w:p w14:paraId="098A97F7" w14:textId="765E4125" w:rsidR="00F447D5" w:rsidRPr="00B21FAC" w:rsidRDefault="00F447D5" w:rsidP="00275FEB">
      <w:pPr>
        <w:pStyle w:val="Lijstalinea"/>
        <w:ind w:left="0"/>
        <w:jc w:val="both"/>
      </w:pPr>
    </w:p>
    <w:p w14:paraId="18F62FEA" w14:textId="77777777" w:rsidR="00616045" w:rsidRPr="00B21FAC" w:rsidRDefault="00616045" w:rsidP="00275FEB">
      <w:pPr>
        <w:pStyle w:val="Lijstalinea"/>
        <w:ind w:left="0"/>
        <w:jc w:val="both"/>
      </w:pPr>
    </w:p>
    <w:p w14:paraId="24F48EC3" w14:textId="77777777" w:rsidR="00F447D5" w:rsidRPr="00B21FAC" w:rsidRDefault="00F447D5" w:rsidP="00275FEB">
      <w:pPr>
        <w:pStyle w:val="Lijstalinea"/>
        <w:ind w:left="0"/>
        <w:jc w:val="both"/>
      </w:pPr>
      <w:r w:rsidRPr="00B21FAC">
        <w:rPr>
          <w:b/>
          <w:bCs/>
        </w:rPr>
        <w:t>Voorstel –</w:t>
      </w:r>
      <w:r w:rsidRPr="00B21FAC">
        <w:t xml:space="preserve"> Specifieke vrijstellingen worden in de regel opgeheven. In de plaats komt de algemene voetvrijstelling.  </w:t>
      </w:r>
    </w:p>
    <w:p w14:paraId="551592E0" w14:textId="77777777" w:rsidR="00F447D5" w:rsidRPr="00B21FAC" w:rsidRDefault="00F447D5" w:rsidP="00275FEB">
      <w:pPr>
        <w:pStyle w:val="Lijstalinea"/>
        <w:ind w:left="0"/>
        <w:jc w:val="both"/>
      </w:pPr>
    </w:p>
    <w:p w14:paraId="3A688C24" w14:textId="77777777" w:rsidR="00B4056C" w:rsidRDefault="3683CD98" w:rsidP="00275FEB">
      <w:pPr>
        <w:pStyle w:val="Lijstalinea"/>
        <w:ind w:left="0"/>
        <w:jc w:val="both"/>
      </w:pPr>
      <w:r w:rsidRPr="00B21FAC">
        <w:rPr>
          <w:u w:val="single"/>
        </w:rPr>
        <w:t>Toelichting</w:t>
      </w:r>
      <w:r w:rsidRPr="00B21FAC">
        <w:t xml:space="preserve">: </w:t>
      </w:r>
    </w:p>
    <w:p w14:paraId="506B337E" w14:textId="77777777" w:rsidR="00B4056C" w:rsidRDefault="00B4056C" w:rsidP="00275FEB">
      <w:pPr>
        <w:pStyle w:val="Lijstalinea"/>
        <w:ind w:left="0"/>
        <w:jc w:val="both"/>
      </w:pPr>
    </w:p>
    <w:p w14:paraId="37B07284" w14:textId="11F3C8CE" w:rsidR="00F447D5" w:rsidRPr="00B21FAC" w:rsidRDefault="3683CD98" w:rsidP="00275FEB">
      <w:pPr>
        <w:pStyle w:val="Lijstalinea"/>
        <w:ind w:left="0"/>
        <w:jc w:val="both"/>
      </w:pPr>
      <w:r w:rsidRPr="00B21FAC">
        <w:t>De vraag rijst of en in welke mate nog rekening moet worden gehouden met specifieke vrijstellingen. Vele van die vrijstellingen zijn er op gericht om het beleggen in (bepaalde) producten aan te moedigen. Dit doorbreekt de neutraliteit in de beleggingskeuze en kan dus beter opgevangen worden door een algemene beleggingsvrijstelling.</w:t>
      </w:r>
    </w:p>
    <w:p w14:paraId="07261550" w14:textId="2FA497A6" w:rsidR="00F447D5" w:rsidRDefault="00F447D5" w:rsidP="00275FEB">
      <w:pPr>
        <w:pStyle w:val="Lijstalinea"/>
        <w:ind w:left="0"/>
        <w:jc w:val="both"/>
      </w:pPr>
    </w:p>
    <w:p w14:paraId="585A84CF" w14:textId="2A42BA4B" w:rsidR="002F2CA2" w:rsidRPr="00303355" w:rsidRDefault="002F2CA2" w:rsidP="00275FEB">
      <w:pPr>
        <w:pStyle w:val="Lijstalinea"/>
        <w:ind w:left="0"/>
        <w:jc w:val="both"/>
        <w:rPr>
          <w:u w:val="single"/>
        </w:rPr>
      </w:pPr>
      <w:r w:rsidRPr="00303355">
        <w:rPr>
          <w:u w:val="single"/>
        </w:rPr>
        <w:t>PM:</w:t>
      </w:r>
      <w:r w:rsidRPr="007F1BE9">
        <w:t xml:space="preserve"> </w:t>
      </w:r>
      <w:r w:rsidR="007F1BE9" w:rsidRPr="00303355">
        <w:t>De afschaffing van de vrijstelling voor de spaardeposito</w:t>
      </w:r>
      <w:r w:rsidR="00813CF3">
        <w:t>’</w:t>
      </w:r>
      <w:r w:rsidR="007F1BE9" w:rsidRPr="00303355">
        <w:t>s</w:t>
      </w:r>
      <w:r w:rsidR="00A34686">
        <w:t xml:space="preserve"> zal allicht op enig verzet stuiten. </w:t>
      </w:r>
      <w:r w:rsidR="00E97C58">
        <w:t>Er zijn nochtans overtuigende redenen om deze vrijstelling effectief op te heffen</w:t>
      </w:r>
      <w:r w:rsidR="00D92E2F">
        <w:t>, nog los van de juridische complexiteit die deze vrijstelling in de EU-context met zich meebrengt</w:t>
      </w:r>
      <w:r w:rsidR="00E97C58">
        <w:t xml:space="preserve">. </w:t>
      </w:r>
      <w:r w:rsidR="00ED5789">
        <w:t>De vrijstelling wordt soms gemotiveerd vanuit de behoeft</w:t>
      </w:r>
      <w:r w:rsidR="00D92E2F">
        <w:t>e</w:t>
      </w:r>
      <w:r w:rsidR="00ED5789">
        <w:t xml:space="preserve"> om het sparen te stimuleren. Dit argument stoot evenwel op het inzicht dat </w:t>
      </w:r>
      <w:r w:rsidR="00073031">
        <w:t>het sparen in België aanzienlijk is. Bovendien gaat deze vorm van sparen ten koste van het langetermijnsparen dat nuttig kan zijn ter financiering van investeringen op langere termijn.</w:t>
      </w:r>
      <w:r w:rsidR="00D92E2F">
        <w:t xml:space="preserve"> </w:t>
      </w:r>
      <w:r w:rsidR="00A956B9">
        <w:t xml:space="preserve">De vrijstelling veroorzaakt voorts een concentratie van spaarmiddelen bij banken, hetgeen een hinderpaal kan zijn voor een wenselijke diversificatie van financieringsvormen en de ontwikkeling van een kapitaalmarkt buiten de banken. </w:t>
      </w:r>
      <w:r w:rsidR="00EA7947">
        <w:t xml:space="preserve">Dit </w:t>
      </w:r>
      <w:r w:rsidR="00C91A19">
        <w:t xml:space="preserve">laatste </w:t>
      </w:r>
      <w:r w:rsidR="00EA7947">
        <w:t xml:space="preserve">impliceert evenwel meteen ook dat er bijzondere aandacht moet </w:t>
      </w:r>
      <w:r w:rsidR="00383141">
        <w:t xml:space="preserve">besteed </w:t>
      </w:r>
      <w:r w:rsidR="0058544C">
        <w:t xml:space="preserve">worden </w:t>
      </w:r>
      <w:r w:rsidR="00383141">
        <w:t xml:space="preserve">aan de vraag welke impact de afschaffing van de vrijstelling zal hebben op de </w:t>
      </w:r>
      <w:r w:rsidR="00B53FB7">
        <w:t>stabiliteit van de banken in de mate deze afhankelijk zijn van de spaardeposito</w:t>
      </w:r>
      <w:r w:rsidR="00813CF3">
        <w:t>’</w:t>
      </w:r>
      <w:r w:rsidR="00B53FB7">
        <w:t>s voor hun middelenwerving.</w:t>
      </w:r>
    </w:p>
    <w:p w14:paraId="753575CC" w14:textId="77777777" w:rsidR="002F2CA2" w:rsidRPr="00B21FAC" w:rsidRDefault="002F2CA2" w:rsidP="00275FEB">
      <w:pPr>
        <w:pStyle w:val="Lijstalinea"/>
        <w:ind w:left="0"/>
        <w:jc w:val="both"/>
      </w:pPr>
    </w:p>
    <w:p w14:paraId="5B0C4BFE" w14:textId="116D2F8B" w:rsidR="00F447D5" w:rsidRPr="00B21FAC" w:rsidRDefault="00F447D5" w:rsidP="00275FEB">
      <w:pPr>
        <w:pStyle w:val="Lijstalinea"/>
        <w:ind w:left="0"/>
        <w:jc w:val="both"/>
      </w:pPr>
      <w:r w:rsidRPr="00B21FAC">
        <w:rPr>
          <w:u w:val="single"/>
        </w:rPr>
        <w:t>PM:</w:t>
      </w:r>
      <w:r w:rsidRPr="00B21FAC">
        <w:t xml:space="preserve"> De vraag werd gesteld of</w:t>
      </w:r>
      <w:r w:rsidR="00974638">
        <w:t>,</w:t>
      </w:r>
      <w:r w:rsidRPr="00B21FAC">
        <w:t xml:space="preserve"> en</w:t>
      </w:r>
      <w:r w:rsidR="00241CB2">
        <w:t xml:space="preserve"> zo ja</w:t>
      </w:r>
      <w:r w:rsidRPr="00B21FAC">
        <w:t xml:space="preserve"> in welke mate</w:t>
      </w:r>
      <w:r w:rsidR="006D06A2">
        <w:t>,</w:t>
      </w:r>
      <w:r w:rsidRPr="00B21FAC">
        <w:t xml:space="preserve"> met de eigenheid van een specifiek beleggingsproduct rekening kan worden gehouden. Zo bv. leidt de onbeschikbaarheid van het rendement behaald binnen een TAK 21 of TAK 23 verzekering tot een objectief onderscheid met een effectenportefeuille waarvan het rendement (de geïnde dividenden of interesten) op een beschikbare rekening komen te staan. Vanuit juridisch oogpunt kan de bestaande vrijstellingsregel voor een TAK 21 op basis van dit onderscheid verantwoord worden, met dien verstande dat zich in voorkomend geval wel een herevaluatie opdringt teneinde te vermijden dat dit verzekeringsproduct al te zeer wordt aangewend als een eenvoudig substituut voor een termijnrekening of een vastrentend effect. In diezelfde zin kunnen ook specifieke bepalingen overwogen worden teneinde het gebruik van </w:t>
      </w:r>
      <w:r w:rsidR="006D06A2">
        <w:t xml:space="preserve">een </w:t>
      </w:r>
      <w:r w:rsidRPr="00B21FAC">
        <w:t xml:space="preserve">TAK 23 als een directe portefeuillebelegging te vermijden. </w:t>
      </w:r>
    </w:p>
    <w:p w14:paraId="01CC3661" w14:textId="77777777" w:rsidR="00F447D5" w:rsidRPr="00B21FAC" w:rsidRDefault="00F447D5" w:rsidP="00275FEB">
      <w:pPr>
        <w:pStyle w:val="Lijstalinea"/>
        <w:ind w:left="0"/>
        <w:jc w:val="both"/>
      </w:pPr>
      <w:r w:rsidRPr="00B21FAC">
        <w:t>Niettemin verdient het toch aanbeveling om ook dergelijke vrijstellingen niet langer te handhaven, en bijgevolg de algemene regels van toepassing te maken. Dit is een gevolg van de consequente toepassing van het neutraliteitsprincipe. De onbeschikbaarheid van de opbrengst heeft in dat geval het uitstel van belasting tot het ogenblik van uitbetaling aan de belegger tot gevolg.</w:t>
      </w:r>
    </w:p>
    <w:p w14:paraId="124ED852" w14:textId="77777777" w:rsidR="00F447D5" w:rsidRPr="00B21FAC" w:rsidRDefault="00F447D5" w:rsidP="00275FEB">
      <w:pPr>
        <w:pStyle w:val="Lijstalinea"/>
        <w:ind w:left="0"/>
        <w:jc w:val="both"/>
      </w:pPr>
    </w:p>
    <w:p w14:paraId="75CD744A" w14:textId="24C5B127" w:rsidR="00F447D5" w:rsidRPr="00B21FAC" w:rsidRDefault="00F447D5" w:rsidP="00275FEB">
      <w:pPr>
        <w:pStyle w:val="Lijstalinea"/>
        <w:ind w:left="0"/>
        <w:jc w:val="both"/>
      </w:pPr>
      <w:r w:rsidRPr="00B21FAC">
        <w:rPr>
          <w:u w:val="single"/>
        </w:rPr>
        <w:t>PM:</w:t>
      </w:r>
      <w:r w:rsidRPr="00B21FAC">
        <w:t xml:space="preserve"> Het is opportuun de fiscaliteit van ICB</w:t>
      </w:r>
      <w:r w:rsidR="00813CF3">
        <w:t>’</w:t>
      </w:r>
      <w:r w:rsidRPr="00B21FAC">
        <w:t>s naar particuliere beleggers toe in zijn geheel te herbekijken en dit vanuit het principe van neutraliteit ten opzicht</w:t>
      </w:r>
      <w:r w:rsidR="00241CB2">
        <w:t>e</w:t>
      </w:r>
      <w:r w:rsidRPr="00B21FAC">
        <w:t xml:space="preserve"> van de rechtstreekse belegging in het financieel product. Men kan vragen stellen bij historische vrijstellingen (met name kapitalisatieBEVEKs) die deze neutraliteit niet bereiken (dubbele niet-heffing), alsook bij latere wetswijzigingen op het niveau van de fiscaliteit van de ICB tengevolge van de rechtspraak van het Europees Hof van Justitie die dubbele heffing met zich meebrengen.</w:t>
      </w:r>
    </w:p>
    <w:p w14:paraId="65F33C0F" w14:textId="35D5CF3C" w:rsidR="00F447D5" w:rsidRPr="00B21FAC" w:rsidRDefault="00F447D5" w:rsidP="00275FEB">
      <w:pPr>
        <w:pStyle w:val="Lijstalinea"/>
        <w:spacing w:after="0"/>
        <w:ind w:left="0"/>
        <w:jc w:val="both"/>
      </w:pPr>
    </w:p>
    <w:p w14:paraId="667BFE45" w14:textId="77777777" w:rsidR="00386D95" w:rsidRPr="00B21FAC" w:rsidRDefault="00386D95" w:rsidP="00275FEB">
      <w:pPr>
        <w:pStyle w:val="Lijstalinea"/>
        <w:spacing w:after="0"/>
        <w:ind w:left="0"/>
        <w:jc w:val="both"/>
      </w:pPr>
    </w:p>
    <w:p w14:paraId="3F53EAFC" w14:textId="0BDC595A" w:rsidR="00F447D5" w:rsidRPr="00B21FAC" w:rsidRDefault="00F447D5" w:rsidP="00275FEB">
      <w:pPr>
        <w:pStyle w:val="Kop3"/>
        <w:numPr>
          <w:ilvl w:val="0"/>
          <w:numId w:val="44"/>
        </w:numPr>
      </w:pPr>
      <w:bookmarkStart w:id="213" w:name="_Toc107210939"/>
      <w:r w:rsidRPr="00B21FAC">
        <w:t>Tarief</w:t>
      </w:r>
      <w:bookmarkEnd w:id="213"/>
    </w:p>
    <w:p w14:paraId="116A8FBB" w14:textId="4D72B7AA" w:rsidR="00F447D5" w:rsidRPr="00B21FAC" w:rsidRDefault="00F447D5" w:rsidP="00BA7E3E">
      <w:pPr>
        <w:spacing w:after="0"/>
        <w:jc w:val="both"/>
      </w:pPr>
    </w:p>
    <w:p w14:paraId="44FCC6BB" w14:textId="77777777" w:rsidR="00386D95" w:rsidRPr="00B21FAC" w:rsidRDefault="00386D95" w:rsidP="00BA7E3E">
      <w:pPr>
        <w:spacing w:after="0"/>
        <w:jc w:val="both"/>
      </w:pPr>
    </w:p>
    <w:p w14:paraId="4018A5AB" w14:textId="77777777" w:rsidR="00F447D5" w:rsidRPr="00B21FAC" w:rsidRDefault="00F447D5" w:rsidP="00BA7E3E">
      <w:pPr>
        <w:pStyle w:val="Lijstalinea"/>
        <w:spacing w:after="0"/>
        <w:ind w:left="0"/>
        <w:jc w:val="both"/>
      </w:pPr>
      <w:r w:rsidRPr="00B21FAC">
        <w:rPr>
          <w:b/>
          <w:bCs/>
        </w:rPr>
        <w:t>Voorstel –</w:t>
      </w:r>
      <w:r w:rsidRPr="00B21FAC">
        <w:t xml:space="preserve"> Wat de tariefbepaling betreft, wordt uitgegaan van het standaardtarief, onverminderd de toepassing van verantwoordbare verlaagde tarieven. </w:t>
      </w:r>
    </w:p>
    <w:p w14:paraId="0C985576" w14:textId="77777777" w:rsidR="00F447D5" w:rsidRPr="00B21FAC" w:rsidRDefault="00F447D5" w:rsidP="00BA7E3E">
      <w:pPr>
        <w:pStyle w:val="Lijstalinea"/>
        <w:spacing w:after="0"/>
        <w:ind w:left="0"/>
        <w:jc w:val="both"/>
      </w:pPr>
    </w:p>
    <w:p w14:paraId="41D40D97" w14:textId="77777777" w:rsidR="00B4056C" w:rsidRDefault="00F447D5">
      <w:pPr>
        <w:pStyle w:val="Lijstalinea"/>
        <w:spacing w:after="0"/>
        <w:ind w:left="0"/>
        <w:jc w:val="both"/>
      </w:pPr>
      <w:r w:rsidRPr="00B21FAC">
        <w:rPr>
          <w:u w:val="single"/>
        </w:rPr>
        <w:t>Toelichting:</w:t>
      </w:r>
      <w:r w:rsidRPr="00B21FAC">
        <w:t xml:space="preserve"> </w:t>
      </w:r>
    </w:p>
    <w:p w14:paraId="339BF699" w14:textId="77777777" w:rsidR="00B4056C" w:rsidRDefault="00B4056C">
      <w:pPr>
        <w:pStyle w:val="Lijstalinea"/>
        <w:spacing w:after="0"/>
        <w:ind w:left="0"/>
        <w:jc w:val="both"/>
      </w:pPr>
    </w:p>
    <w:p w14:paraId="4B133628" w14:textId="27383D7F" w:rsidR="00F447D5" w:rsidRPr="00B21FAC" w:rsidRDefault="00F447D5" w:rsidP="00BA7E3E">
      <w:pPr>
        <w:pStyle w:val="Lijstalinea"/>
        <w:spacing w:after="0"/>
        <w:ind w:left="0"/>
        <w:jc w:val="both"/>
        <w:rPr>
          <w:u w:val="single"/>
        </w:rPr>
      </w:pPr>
      <w:r w:rsidRPr="00B21FAC">
        <w:t xml:space="preserve">Er kan grotendeels verwezen worden naar hetgeen </w:t>
      </w:r>
      <w:r w:rsidRPr="005749AB">
        <w:rPr>
          <w:i/>
          <w:iCs/>
        </w:rPr>
        <w:t>supra</w:t>
      </w:r>
      <w:r w:rsidRPr="00B21FAC">
        <w:t xml:space="preserve"> omtrent de tarieven werd gesteld.</w:t>
      </w:r>
    </w:p>
    <w:p w14:paraId="0EA628E2" w14:textId="47D28CCE" w:rsidR="00386D95" w:rsidRDefault="00386D95" w:rsidP="00BA7E3E">
      <w:pPr>
        <w:pStyle w:val="Lijstalinea"/>
        <w:spacing w:after="0"/>
        <w:ind w:left="0"/>
        <w:jc w:val="both"/>
      </w:pPr>
    </w:p>
    <w:p w14:paraId="73709499" w14:textId="30F22B3E" w:rsidR="00DC003E" w:rsidRDefault="00DC003E" w:rsidP="00DC003E">
      <w:pPr>
        <w:spacing w:after="0"/>
        <w:jc w:val="both"/>
      </w:pPr>
      <w:r w:rsidRPr="00DC003E">
        <w:rPr>
          <w:u w:val="single"/>
        </w:rPr>
        <w:t>PM:</w:t>
      </w:r>
      <w:r w:rsidRPr="00DC003E">
        <w:t xml:space="preserve"> Zoals reeds herhaaldelijk gesteld kan een afwijking op het standaardtarief voorzien worden, voor zover een dergelijke afwijking (i) op bijzondere wijze verantwoord kan worden, (ii) doelgericht, rechtlijnig en specifiek is, en (iii) recurrent geherevalueerd kan worden (cf. bouwsteen 10).</w:t>
      </w:r>
      <w:r w:rsidR="00007513">
        <w:t xml:space="preserve"> </w:t>
      </w:r>
      <w:r w:rsidR="00BC5BDB">
        <w:t>Dit geldt dus ook</w:t>
      </w:r>
      <w:r w:rsidR="007075A4">
        <w:t xml:space="preserve"> en onder meer </w:t>
      </w:r>
      <w:r w:rsidR="00BC5BDB">
        <w:t>m.b.t. eventueel</w:t>
      </w:r>
      <w:r w:rsidR="007075A4">
        <w:t xml:space="preserve"> (meer)</w:t>
      </w:r>
      <w:r w:rsidR="00BC5BDB">
        <w:t xml:space="preserve"> verlaagde tarieven voor </w:t>
      </w:r>
      <w:r w:rsidR="003015AB">
        <w:t xml:space="preserve">de (i) rente op spaardeposito’s en voor </w:t>
      </w:r>
      <w:r w:rsidR="007075A4">
        <w:t xml:space="preserve">(i) </w:t>
      </w:r>
      <w:r w:rsidR="00BC5BDB">
        <w:t xml:space="preserve">dividenden uitgekeerd door </w:t>
      </w:r>
      <w:r w:rsidR="006C2A80">
        <w:t>een vastgoedbevak of gereglementeerde vastgoedvennootschap die subst</w:t>
      </w:r>
      <w:r w:rsidR="008302EF">
        <w:t>antieel invest</w:t>
      </w:r>
      <w:r w:rsidR="00DA468E">
        <w:t xml:space="preserve">eert in </w:t>
      </w:r>
      <w:r w:rsidR="00927B34">
        <w:t xml:space="preserve">onroerende goederen die uitsluitend of hoofzakelijk voor aan woonzorg of gezondheidszorg aangepaste wooneenheden aangewend worden of bestemd zijn. </w:t>
      </w:r>
    </w:p>
    <w:p w14:paraId="76C997E3" w14:textId="1F40B277" w:rsidR="00DC003E" w:rsidRDefault="00DC003E" w:rsidP="00BA7E3E">
      <w:pPr>
        <w:pStyle w:val="Lijstalinea"/>
        <w:spacing w:after="0"/>
        <w:ind w:left="0"/>
        <w:jc w:val="both"/>
      </w:pPr>
    </w:p>
    <w:p w14:paraId="100B345C" w14:textId="77777777" w:rsidR="00DC003E" w:rsidRPr="00B21FAC" w:rsidRDefault="00DC003E" w:rsidP="00BA7E3E">
      <w:pPr>
        <w:pStyle w:val="Lijstalinea"/>
        <w:spacing w:after="0"/>
        <w:ind w:left="0"/>
        <w:jc w:val="both"/>
      </w:pPr>
    </w:p>
    <w:p w14:paraId="69F58466" w14:textId="7B15F3F3" w:rsidR="00386D95" w:rsidRPr="00B21FAC" w:rsidRDefault="00386D95" w:rsidP="00275FEB">
      <w:pPr>
        <w:pStyle w:val="Kop3"/>
        <w:numPr>
          <w:ilvl w:val="0"/>
          <w:numId w:val="44"/>
        </w:numPr>
      </w:pPr>
      <w:bookmarkStart w:id="214" w:name="_Toc107210940"/>
      <w:r w:rsidRPr="00B21FAC">
        <w:t>Inning</w:t>
      </w:r>
      <w:bookmarkEnd w:id="214"/>
    </w:p>
    <w:p w14:paraId="26EB9836" w14:textId="2766CED3" w:rsidR="00F447D5" w:rsidRDefault="00F447D5">
      <w:pPr>
        <w:pStyle w:val="Lijstalinea"/>
        <w:spacing w:after="0"/>
        <w:ind w:left="0"/>
        <w:jc w:val="both"/>
      </w:pPr>
    </w:p>
    <w:p w14:paraId="2E1941D4" w14:textId="77777777" w:rsidR="0029423C" w:rsidRPr="00B21FAC" w:rsidRDefault="0029423C" w:rsidP="00BA7E3E">
      <w:pPr>
        <w:pStyle w:val="Lijstalinea"/>
        <w:spacing w:after="0"/>
        <w:ind w:left="0"/>
        <w:jc w:val="both"/>
      </w:pPr>
    </w:p>
    <w:p w14:paraId="373B28A2" w14:textId="6ABA9BC0" w:rsidR="00F447D5" w:rsidRPr="00B21FAC" w:rsidRDefault="005D6765" w:rsidP="00BA7E3E">
      <w:pPr>
        <w:spacing w:after="0"/>
        <w:jc w:val="both"/>
      </w:pPr>
      <w:r w:rsidRPr="00BA7E3E">
        <w:rPr>
          <w:b/>
          <w:bCs/>
        </w:rPr>
        <w:t>Voorstel</w:t>
      </w:r>
      <w:r>
        <w:t xml:space="preserve"> – </w:t>
      </w:r>
      <w:r w:rsidR="00F447D5" w:rsidRPr="00B21FAC">
        <w:t xml:space="preserve">Met het oog op </w:t>
      </w:r>
      <w:r w:rsidR="00F447D5" w:rsidRPr="005D6765">
        <w:t xml:space="preserve">de </w:t>
      </w:r>
      <w:r w:rsidR="00F447D5" w:rsidRPr="00BA7E3E">
        <w:t>efficiënte inning</w:t>
      </w:r>
      <w:r w:rsidR="00F447D5" w:rsidRPr="00B21FAC">
        <w:t xml:space="preserve">, wordt blijvend uitgegaan van een inning aan de bron, </w:t>
      </w:r>
      <w:r w:rsidR="006D06A2">
        <w:t xml:space="preserve">weliswaar </w:t>
      </w:r>
      <w:r w:rsidR="00F447D5" w:rsidRPr="00B21FAC">
        <w:t>gecombineerd met een aangifteverplichting.</w:t>
      </w:r>
    </w:p>
    <w:p w14:paraId="7392A098" w14:textId="5A048384" w:rsidR="00F447D5" w:rsidRDefault="00F447D5">
      <w:pPr>
        <w:spacing w:after="0"/>
        <w:jc w:val="both"/>
      </w:pPr>
    </w:p>
    <w:p w14:paraId="7A364A06" w14:textId="242B24C2" w:rsidR="005D6765" w:rsidRPr="00BA7E3E" w:rsidRDefault="005D6765">
      <w:pPr>
        <w:spacing w:after="0"/>
        <w:jc w:val="both"/>
        <w:rPr>
          <w:u w:val="single"/>
        </w:rPr>
      </w:pPr>
      <w:r w:rsidRPr="00BA7E3E">
        <w:rPr>
          <w:u w:val="single"/>
        </w:rPr>
        <w:t>Toelichting:</w:t>
      </w:r>
    </w:p>
    <w:p w14:paraId="262DFEBF" w14:textId="354C7E08" w:rsidR="005D6765" w:rsidRDefault="005D6765">
      <w:pPr>
        <w:spacing w:after="0"/>
        <w:jc w:val="both"/>
      </w:pPr>
    </w:p>
    <w:p w14:paraId="528BCCE6" w14:textId="209E6337" w:rsidR="005D6765" w:rsidRPr="00B21FAC" w:rsidRDefault="00060F84" w:rsidP="00BA7E3E">
      <w:pPr>
        <w:spacing w:after="0"/>
        <w:jc w:val="both"/>
      </w:pPr>
      <w:r>
        <w:t>De bestaande voorheffingsmechanisme</w:t>
      </w:r>
      <w:r w:rsidR="0084109B">
        <w:t xml:space="preserve">n worden bestendigd en (waar nodig) verstrekt. Anders dan voorheen zou de inning van de voorheffing niet langer ‘bevrijdend’ werken, gelet op de veralgemeende aangifteverplichting (cf. </w:t>
      </w:r>
      <w:r w:rsidR="0084109B" w:rsidRPr="00303355">
        <w:rPr>
          <w:i/>
          <w:iCs/>
        </w:rPr>
        <w:t>supra</w:t>
      </w:r>
      <w:r w:rsidR="0084109B">
        <w:t>).</w:t>
      </w:r>
    </w:p>
    <w:p w14:paraId="5B27EDF0" w14:textId="3B0FAF51" w:rsidR="00301FF2" w:rsidRDefault="00301FF2">
      <w:r>
        <w:br w:type="page"/>
      </w:r>
    </w:p>
    <w:p w14:paraId="63C57D3B" w14:textId="77777777" w:rsidR="00F447D5" w:rsidRDefault="00F447D5">
      <w:pPr>
        <w:spacing w:after="0"/>
        <w:jc w:val="both"/>
      </w:pPr>
    </w:p>
    <w:p w14:paraId="60028C89" w14:textId="77777777" w:rsidR="00815DCF" w:rsidRPr="00B21FAC" w:rsidRDefault="00815DCF" w:rsidP="00BA7E3E">
      <w:pPr>
        <w:spacing w:after="0"/>
        <w:jc w:val="both"/>
      </w:pPr>
    </w:p>
    <w:p w14:paraId="25E000CE" w14:textId="45FA2BE0" w:rsidR="00F447D5" w:rsidRPr="00B21FAC" w:rsidRDefault="00F447D5" w:rsidP="00275FEB">
      <w:pPr>
        <w:pStyle w:val="Kop2"/>
        <w:numPr>
          <w:ilvl w:val="0"/>
          <w:numId w:val="45"/>
        </w:numPr>
      </w:pPr>
      <w:bookmarkStart w:id="215" w:name="_Toc107210941"/>
      <w:r w:rsidRPr="00B21FAC">
        <w:t>Inkomsten uit overdracht – vestiging</w:t>
      </w:r>
      <w:bookmarkEnd w:id="215"/>
    </w:p>
    <w:p w14:paraId="1D8BB8E7" w14:textId="77777777" w:rsidR="00F447D5" w:rsidRPr="00B21FAC" w:rsidRDefault="00F447D5" w:rsidP="00BA7E3E">
      <w:pPr>
        <w:spacing w:after="0"/>
        <w:jc w:val="both"/>
      </w:pPr>
    </w:p>
    <w:p w14:paraId="14413622" w14:textId="77777777" w:rsidR="00F447D5" w:rsidRPr="00B21FAC" w:rsidRDefault="00F447D5" w:rsidP="00BA7E3E">
      <w:pPr>
        <w:spacing w:after="0"/>
        <w:jc w:val="both"/>
      </w:pPr>
    </w:p>
    <w:p w14:paraId="24C68361" w14:textId="349E439F" w:rsidR="00F447D5" w:rsidRPr="00B21FAC" w:rsidRDefault="00F447D5" w:rsidP="00275FEB">
      <w:pPr>
        <w:pStyle w:val="Kop3"/>
        <w:numPr>
          <w:ilvl w:val="0"/>
          <w:numId w:val="50"/>
        </w:numPr>
      </w:pPr>
      <w:bookmarkStart w:id="216" w:name="_Toc107210942"/>
      <w:r w:rsidRPr="00B21FAC">
        <w:t>Omschrijving van het belastbaar inkomen</w:t>
      </w:r>
      <w:bookmarkEnd w:id="216"/>
    </w:p>
    <w:p w14:paraId="6EAAEF96" w14:textId="2E098C4C" w:rsidR="00F447D5" w:rsidRPr="00B21FAC" w:rsidRDefault="00F447D5" w:rsidP="00BA7E3E">
      <w:pPr>
        <w:spacing w:after="0"/>
        <w:jc w:val="both"/>
      </w:pPr>
    </w:p>
    <w:p w14:paraId="3F5807B1" w14:textId="77777777" w:rsidR="00C407AC" w:rsidRPr="00B21FAC" w:rsidRDefault="00C407AC" w:rsidP="00BA7E3E">
      <w:pPr>
        <w:spacing w:after="0"/>
        <w:jc w:val="both"/>
      </w:pPr>
    </w:p>
    <w:p w14:paraId="2EB6350B" w14:textId="52663CB8" w:rsidR="00F447D5" w:rsidRPr="00B21FAC" w:rsidRDefault="00F447D5" w:rsidP="00BA7E3E">
      <w:pPr>
        <w:pStyle w:val="Lijstalinea"/>
        <w:spacing w:after="0"/>
        <w:ind w:left="0"/>
        <w:jc w:val="both"/>
      </w:pPr>
      <w:r w:rsidRPr="00B21FAC">
        <w:rPr>
          <w:b/>
          <w:bCs/>
        </w:rPr>
        <w:t>Voorstel –</w:t>
      </w:r>
      <w:r w:rsidRPr="00B21FAC">
        <w:t xml:space="preserve"> Er wordt een veralgemeende meerwaardebelasting ingevoerd </w:t>
      </w:r>
      <w:r w:rsidR="00CD1A44">
        <w:t>m.b.t.</w:t>
      </w:r>
      <w:r w:rsidRPr="00B21FAC">
        <w:t xml:space="preserve"> de vestiging en overdracht van zakelijke rechten, andere dan zakelijke zekerheden (eigendom, mede-eigendom en zakelijke gebruiksrechten)</w:t>
      </w:r>
      <w:r w:rsidR="00440289" w:rsidRPr="00B21FAC">
        <w:t>.</w:t>
      </w:r>
    </w:p>
    <w:p w14:paraId="1F1DC209" w14:textId="77777777" w:rsidR="00F447D5" w:rsidRPr="00B21FAC" w:rsidRDefault="00F447D5" w:rsidP="00BA7E3E">
      <w:pPr>
        <w:pStyle w:val="Lijstalinea"/>
        <w:spacing w:after="0"/>
        <w:ind w:left="0"/>
        <w:jc w:val="both"/>
      </w:pPr>
    </w:p>
    <w:p w14:paraId="53A9A158" w14:textId="4F29EDD9" w:rsidR="00F447D5" w:rsidRPr="00B21FAC" w:rsidRDefault="00F447D5" w:rsidP="00BA7E3E">
      <w:pPr>
        <w:pStyle w:val="Lijstalinea"/>
        <w:spacing w:after="0"/>
        <w:ind w:left="0"/>
        <w:jc w:val="both"/>
      </w:pPr>
      <w:r w:rsidRPr="00B21FAC">
        <w:t xml:space="preserve">Deze meerwaardebelasting treft principieel alle </w:t>
      </w:r>
      <w:r w:rsidR="007D0E1A">
        <w:t>beleggings</w:t>
      </w:r>
      <w:r w:rsidRPr="00B21FAC">
        <w:t xml:space="preserve">goederen die deel uitmaken van het vermogen van </w:t>
      </w:r>
      <w:r w:rsidR="00900EEC">
        <w:t xml:space="preserve">de </w:t>
      </w:r>
      <w:r w:rsidRPr="00B21FAC">
        <w:t>belastingplichtige.</w:t>
      </w:r>
    </w:p>
    <w:p w14:paraId="2D9F9126" w14:textId="77777777" w:rsidR="00F447D5" w:rsidRPr="00B21FAC" w:rsidRDefault="00F447D5" w:rsidP="00BA7E3E">
      <w:pPr>
        <w:pStyle w:val="Lijstalinea"/>
        <w:spacing w:after="0"/>
        <w:ind w:left="0"/>
        <w:jc w:val="both"/>
      </w:pPr>
    </w:p>
    <w:p w14:paraId="59FC4292" w14:textId="77777777" w:rsidR="00815DCF" w:rsidRDefault="00F447D5">
      <w:pPr>
        <w:pStyle w:val="Lijstalinea"/>
        <w:spacing w:after="0"/>
        <w:ind w:left="0"/>
        <w:jc w:val="both"/>
      </w:pPr>
      <w:r w:rsidRPr="00B21FAC">
        <w:rPr>
          <w:u w:val="single"/>
        </w:rPr>
        <w:t>Toelichting</w:t>
      </w:r>
      <w:r w:rsidRPr="00B21FAC">
        <w:t xml:space="preserve">: </w:t>
      </w:r>
    </w:p>
    <w:p w14:paraId="1E9127A8" w14:textId="77777777" w:rsidR="00815DCF" w:rsidRDefault="00815DCF">
      <w:pPr>
        <w:pStyle w:val="Lijstalinea"/>
        <w:spacing w:after="0"/>
        <w:ind w:left="0"/>
        <w:jc w:val="both"/>
      </w:pPr>
    </w:p>
    <w:p w14:paraId="5D903306" w14:textId="27B324A2" w:rsidR="00F447D5" w:rsidRPr="00B21FAC" w:rsidRDefault="00F447D5" w:rsidP="00BA7E3E">
      <w:pPr>
        <w:pStyle w:val="Lijstalinea"/>
        <w:spacing w:after="0"/>
        <w:ind w:left="0"/>
        <w:jc w:val="both"/>
        <w:rPr>
          <w:u w:val="single"/>
        </w:rPr>
      </w:pPr>
      <w:r w:rsidRPr="00B21FAC">
        <w:t>Er kan verwezen worden naar het algemene kader, hoger uiteengezet.</w:t>
      </w:r>
    </w:p>
    <w:p w14:paraId="475EB4C0" w14:textId="77777777" w:rsidR="001E4BA3" w:rsidRDefault="001E4BA3" w:rsidP="00BA7E3E">
      <w:pPr>
        <w:pStyle w:val="Lijstalinea"/>
        <w:spacing w:after="0"/>
        <w:ind w:left="0"/>
        <w:jc w:val="both"/>
        <w:rPr>
          <w:u w:val="single"/>
        </w:rPr>
      </w:pPr>
    </w:p>
    <w:p w14:paraId="3A823333" w14:textId="6A3F3B71" w:rsidR="00A1589E" w:rsidRDefault="001E4BA3" w:rsidP="00BA7E3E">
      <w:pPr>
        <w:pStyle w:val="Lijstalinea"/>
        <w:spacing w:after="0"/>
        <w:ind w:left="0"/>
        <w:jc w:val="both"/>
        <w:rPr>
          <w:u w:val="single"/>
        </w:rPr>
      </w:pPr>
      <w:r>
        <w:rPr>
          <w:u w:val="single"/>
        </w:rPr>
        <w:t>PM:</w:t>
      </w:r>
      <w:r w:rsidRPr="00303355">
        <w:t xml:space="preserve"> Een meerwaardebelasting impliceert in principe dat elke verrichting als een aparte relevante verrichting moet worden </w:t>
      </w:r>
      <w:r w:rsidR="00CF5D1F" w:rsidRPr="00303355">
        <w:t xml:space="preserve">aangemerkt. </w:t>
      </w:r>
      <w:r w:rsidR="006778F9">
        <w:t xml:space="preserve">Dit sluit niet uit dat men t.a.v. een feitelijke universaliteit of ‘generieke goederen’ </w:t>
      </w:r>
      <w:r w:rsidR="008C3B8A">
        <w:t>(bv. beleggings</w:t>
      </w:r>
      <w:r w:rsidR="003216A4">
        <w:t>- of crypto</w:t>
      </w:r>
      <w:r w:rsidR="008C3B8A">
        <w:t xml:space="preserve">portefeuilles) </w:t>
      </w:r>
      <w:r w:rsidR="006778F9">
        <w:t xml:space="preserve">de regel kan invoeren dat </w:t>
      </w:r>
      <w:r w:rsidR="00E26B45">
        <w:t xml:space="preserve">de belasting geheven wordt op de waardestijging </w:t>
      </w:r>
      <w:r w:rsidR="00266A17">
        <w:t xml:space="preserve">gedurende een belastbaar tijdperk. </w:t>
      </w:r>
      <w:r w:rsidR="004D1161">
        <w:t>In voorkomend geval worden de gerealiseerde meer- en minderwaard</w:t>
      </w:r>
      <w:r w:rsidR="004D1161" w:rsidRPr="0048678B">
        <w:t xml:space="preserve">en dan ook met elkaar gecompenseerd. </w:t>
      </w:r>
      <w:r w:rsidR="008C3B8A" w:rsidRPr="00303355">
        <w:t>Een dergelijke piste verond</w:t>
      </w:r>
      <w:r w:rsidR="002D0257" w:rsidRPr="00303355">
        <w:t xml:space="preserve">erstelt wel </w:t>
      </w:r>
      <w:r w:rsidR="003216A4">
        <w:t xml:space="preserve">idealiter </w:t>
      </w:r>
      <w:r w:rsidR="0048678B" w:rsidRPr="00303355">
        <w:t>een uniform onderliggend tarief.</w:t>
      </w:r>
    </w:p>
    <w:p w14:paraId="16BDBFDA" w14:textId="77777777" w:rsidR="00F447D5" w:rsidRPr="00B21FAC" w:rsidRDefault="00F447D5" w:rsidP="00BA7E3E">
      <w:pPr>
        <w:pStyle w:val="Lijstalinea"/>
        <w:spacing w:after="0"/>
        <w:ind w:left="0"/>
        <w:jc w:val="both"/>
      </w:pPr>
    </w:p>
    <w:p w14:paraId="0875DA8D" w14:textId="2DA3E14B" w:rsidR="00F447D5" w:rsidRPr="00B21FAC" w:rsidRDefault="00F447D5" w:rsidP="00BA7E3E">
      <w:pPr>
        <w:pStyle w:val="Lijstalinea"/>
        <w:spacing w:after="0"/>
        <w:ind w:left="0"/>
        <w:jc w:val="both"/>
      </w:pPr>
      <w:r w:rsidRPr="00B21FAC">
        <w:rPr>
          <w:u w:val="single"/>
        </w:rPr>
        <w:t>PM:</w:t>
      </w:r>
      <w:r w:rsidRPr="00B21FAC">
        <w:t xml:space="preserve"> Het kan niet de bedoeling zijn de historische meerwaarden te belasten (of historische minderwaarden in aanmerking te nemen). Dit leidt uiteraard tot een bijkomende complexiteit vermits de waarde van de vermogensbestanddelen zal moeten worden vastgesteld op datum van inwerkingtreding. </w:t>
      </w:r>
      <w:r w:rsidR="00FC44CF" w:rsidRPr="00FC44CF">
        <w:t xml:space="preserve">Idealiter wordt daarbij uitgegaan van de marktwaarde. Daarbij kunnen ook een aantal forfaitaire waarderingsmethoden aangereikt worden waarop de belastingplichtige kan terugvallen </w:t>
      </w:r>
      <w:r w:rsidRPr="00B21FAC">
        <w:t>In het licht van de rechtszekerheid lijkt het ook aangewezen om hieromtrent voorafgaande beslissingen te kunnen uitlokken.</w:t>
      </w:r>
    </w:p>
    <w:p w14:paraId="2C4E0A39" w14:textId="2C5EE943" w:rsidR="00F447D5" w:rsidRPr="00B21FAC" w:rsidRDefault="00F447D5" w:rsidP="00BA7E3E">
      <w:pPr>
        <w:pStyle w:val="Lijstalinea"/>
        <w:spacing w:after="0"/>
        <w:ind w:left="0"/>
        <w:jc w:val="both"/>
      </w:pPr>
      <w:r w:rsidRPr="00B21FAC">
        <w:t>Wat genoteerde en publiek verhandelbare effecten en instrumenten betreft, lijkt de beurswaarde een passend startpunt, met eventuele invoering van een gemiddelde waarde over een referentieperiode die de datum van inwerkingtreding bevat om een al te grote impact van korte termijn waardeschommelingen (evenals speculatieve verrichtingen terzake) te vermijden. Wat niet genoteerde instrumenten betreft</w:t>
      </w:r>
      <w:r w:rsidR="005B34E3" w:rsidRPr="00B21FAC">
        <w:t>,</w:t>
      </w:r>
      <w:r w:rsidRPr="00B21FAC">
        <w:t xml:space="preserve"> wordt wellicht best voorzien in een combinatie van enkele forfaitaire waarderingsregels, aangevuld met de mogelijkheid een hogere/lagere vertrekwaarde te bewijzen. De forfaitaire waarderingsregels kunnen verwijzen naar een nominale waarde als minimum, met voor aandelen een “intrinsieke waarde” gelijk aan de boekwaarde aangevuld met bewezen onderschattingen op het actief en een goodwill component in functie van de gemiddelde winst van de laatste jaren (cfr de huidige 4x4 regel inzake de tariefbepaling bij realisatie van goodwill).</w:t>
      </w:r>
      <w:r w:rsidR="00717664">
        <w:t xml:space="preserve"> </w:t>
      </w:r>
    </w:p>
    <w:p w14:paraId="48EAEC9F" w14:textId="1F80FADE" w:rsidR="004E3DD0" w:rsidRDefault="004E3DD0">
      <w:r>
        <w:br w:type="page"/>
      </w:r>
    </w:p>
    <w:p w14:paraId="3224D1EB" w14:textId="77777777" w:rsidR="00F447D5" w:rsidRPr="00B21FAC" w:rsidRDefault="00F447D5" w:rsidP="00BA7E3E">
      <w:pPr>
        <w:spacing w:after="0"/>
        <w:jc w:val="both"/>
      </w:pPr>
    </w:p>
    <w:p w14:paraId="41676714" w14:textId="77777777" w:rsidR="00C407AC" w:rsidRPr="00B21FAC" w:rsidRDefault="00C407AC" w:rsidP="00BA7E3E">
      <w:pPr>
        <w:spacing w:after="0"/>
        <w:jc w:val="both"/>
      </w:pPr>
    </w:p>
    <w:p w14:paraId="77846746" w14:textId="4DA8EFEC" w:rsidR="00F447D5" w:rsidRPr="00B21FAC" w:rsidRDefault="00F447D5" w:rsidP="00275FEB">
      <w:pPr>
        <w:pStyle w:val="Kop3"/>
        <w:numPr>
          <w:ilvl w:val="0"/>
          <w:numId w:val="50"/>
        </w:numPr>
      </w:pPr>
      <w:bookmarkStart w:id="217" w:name="_Toc107210943"/>
      <w:r w:rsidRPr="00B21FAC">
        <w:t>De bepaling van de netto-belastbare grondslag</w:t>
      </w:r>
      <w:bookmarkEnd w:id="217"/>
    </w:p>
    <w:p w14:paraId="67C857F9" w14:textId="77777777" w:rsidR="00C407AC" w:rsidRPr="00B21FAC" w:rsidRDefault="00C407AC" w:rsidP="00BA7E3E">
      <w:pPr>
        <w:spacing w:after="0"/>
        <w:jc w:val="both"/>
      </w:pPr>
    </w:p>
    <w:p w14:paraId="3F05E466" w14:textId="77777777" w:rsidR="00C407AC" w:rsidRPr="00B21FAC" w:rsidRDefault="00C407AC" w:rsidP="00BA7E3E">
      <w:pPr>
        <w:spacing w:after="0"/>
        <w:jc w:val="both"/>
      </w:pPr>
    </w:p>
    <w:p w14:paraId="60215640" w14:textId="0BE3D8EE" w:rsidR="00F447D5" w:rsidRPr="00B21FAC" w:rsidRDefault="00F447D5" w:rsidP="00BA7E3E">
      <w:pPr>
        <w:spacing w:after="0"/>
        <w:jc w:val="both"/>
      </w:pPr>
      <w:r w:rsidRPr="00B21FAC">
        <w:rPr>
          <w:b/>
          <w:bCs/>
        </w:rPr>
        <w:t>Voorstel –</w:t>
      </w:r>
      <w:r w:rsidRPr="00B21FAC">
        <w:t xml:space="preserve"> De meerwaarde, die meteen ook samenvalt met de</w:t>
      </w:r>
      <w:r w:rsidRPr="00B21FAC">
        <w:rPr>
          <w:b/>
          <w:bCs/>
        </w:rPr>
        <w:t xml:space="preserve"> netto belastbare grondslag</w:t>
      </w:r>
      <w:r w:rsidRPr="00B21FAC">
        <w:t xml:space="preserve"> kan gedefinieerd worden als: </w:t>
      </w:r>
    </w:p>
    <w:p w14:paraId="79F6C531" w14:textId="77777777" w:rsidR="00F447D5" w:rsidRPr="00B21FAC" w:rsidRDefault="00F447D5" w:rsidP="00BA7E3E">
      <w:pPr>
        <w:spacing w:after="0"/>
        <w:jc w:val="both"/>
      </w:pPr>
    </w:p>
    <w:p w14:paraId="0AF7D0E1" w14:textId="6D438FAB" w:rsidR="00F447D5" w:rsidRPr="00B21FAC" w:rsidRDefault="00F447D5" w:rsidP="00BA7E3E">
      <w:pPr>
        <w:pStyle w:val="Lijstalinea"/>
        <w:spacing w:after="0"/>
        <w:ind w:left="993"/>
        <w:jc w:val="both"/>
      </w:pPr>
      <w:r w:rsidRPr="00B21FAC">
        <w:t xml:space="preserve">[verkoopprijs – kosten vervreemding] – [aanschaffingswaarde + kosten verkrijging + kosten </w:t>
      </w:r>
      <w:r w:rsidR="0058544C">
        <w:t xml:space="preserve">m.b.t. </w:t>
      </w:r>
      <w:r w:rsidRPr="00B21FAC">
        <w:t>werk in onroerende staat</w:t>
      </w:r>
      <w:r w:rsidR="0058544C">
        <w:t xml:space="preserve"> (</w:t>
      </w:r>
      <w:r w:rsidR="0058544C" w:rsidRPr="0058544C">
        <w:t>investerings- en uitbreidingskosten</w:t>
      </w:r>
      <w:r w:rsidR="0058544C">
        <w:t>)</w:t>
      </w:r>
      <w:r w:rsidRPr="00B21FAC">
        <w:t xml:space="preserve">] </w:t>
      </w:r>
    </w:p>
    <w:p w14:paraId="601506C0" w14:textId="77777777" w:rsidR="00F447D5" w:rsidRPr="00B21FAC" w:rsidRDefault="00F447D5" w:rsidP="00BA7E3E">
      <w:pPr>
        <w:spacing w:after="0"/>
        <w:jc w:val="both"/>
      </w:pPr>
    </w:p>
    <w:p w14:paraId="6DD0EB12" w14:textId="77777777" w:rsidR="00815DCF" w:rsidRDefault="00F447D5">
      <w:pPr>
        <w:spacing w:after="0"/>
        <w:jc w:val="both"/>
      </w:pPr>
      <w:r w:rsidRPr="00B21FAC">
        <w:rPr>
          <w:u w:val="single"/>
        </w:rPr>
        <w:t>Toelichting:</w:t>
      </w:r>
      <w:r w:rsidRPr="00B21FAC">
        <w:t xml:space="preserve"> </w:t>
      </w:r>
    </w:p>
    <w:p w14:paraId="0BE70FD4" w14:textId="77777777" w:rsidR="00815DCF" w:rsidRDefault="00815DCF">
      <w:pPr>
        <w:spacing w:after="0"/>
        <w:jc w:val="both"/>
      </w:pPr>
    </w:p>
    <w:p w14:paraId="21B0EABD" w14:textId="79FD77BA" w:rsidR="00F447D5" w:rsidRPr="00B21FAC" w:rsidRDefault="00F447D5" w:rsidP="00BA7E3E">
      <w:pPr>
        <w:spacing w:after="0"/>
        <w:jc w:val="both"/>
      </w:pPr>
      <w:r w:rsidRPr="00B21FAC">
        <w:t>Het is de bedoeling de effectieve meerwaarde te belasten. De voorgestelde definitie sluit hier op aan.</w:t>
      </w:r>
    </w:p>
    <w:p w14:paraId="1B2A1939" w14:textId="77777777" w:rsidR="00F447D5" w:rsidRPr="00B21FAC" w:rsidRDefault="00F447D5" w:rsidP="00BA7E3E">
      <w:pPr>
        <w:spacing w:after="0"/>
        <w:jc w:val="both"/>
      </w:pPr>
    </w:p>
    <w:p w14:paraId="39165AE7" w14:textId="4C8D59BA" w:rsidR="00F447D5" w:rsidRPr="00B21FAC" w:rsidRDefault="00F447D5" w:rsidP="00BA7E3E">
      <w:pPr>
        <w:spacing w:after="0"/>
        <w:jc w:val="both"/>
      </w:pPr>
      <w:r w:rsidRPr="00B21FAC">
        <w:t xml:space="preserve">Onder de aanschaffingswaarde van een goed, wordt in voorkomend geval </w:t>
      </w:r>
      <w:r w:rsidR="00037A85">
        <w:t xml:space="preserve">en in principe </w:t>
      </w:r>
      <w:r w:rsidRPr="00B21FAC">
        <w:t>de fiscale waarde begrepen, zoals opgenomen in de verkrijgingsakte (</w:t>
      </w:r>
      <w:r w:rsidR="00E077B7">
        <w:t xml:space="preserve">bv. bij </w:t>
      </w:r>
      <w:r w:rsidRPr="00B21FAC">
        <w:t>verkoop</w:t>
      </w:r>
      <w:r w:rsidR="00E077B7">
        <w:t xml:space="preserve"> of</w:t>
      </w:r>
      <w:r w:rsidRPr="00B21FAC">
        <w:t xml:space="preserve"> verdeling). Hieronder vallen ook de </w:t>
      </w:r>
      <w:r w:rsidR="00E15AFA">
        <w:t xml:space="preserve">gebeurlijke </w:t>
      </w:r>
      <w:r w:rsidRPr="00B21FAC">
        <w:t xml:space="preserve">kosten voor de oprichting van een nieuwbouw of de kosten voor een renovatie. Er kan daarbij overigens overwogen worden hier enkel die werken te viseren waarvoor een stedenbouwkundige vergunnings- of meldingsplicht bestaat. </w:t>
      </w:r>
    </w:p>
    <w:p w14:paraId="29AA166D" w14:textId="77777777" w:rsidR="00F447D5" w:rsidRPr="00B21FAC" w:rsidRDefault="00F447D5" w:rsidP="00BA7E3E">
      <w:pPr>
        <w:spacing w:after="0"/>
        <w:jc w:val="both"/>
      </w:pPr>
    </w:p>
    <w:p w14:paraId="7D2B2A83" w14:textId="6EE0BFD7" w:rsidR="00F447D5" w:rsidRPr="00B21FAC" w:rsidRDefault="00F447D5" w:rsidP="00BA7E3E">
      <w:pPr>
        <w:spacing w:after="0"/>
        <w:jc w:val="both"/>
      </w:pPr>
      <w:r w:rsidRPr="00B21FAC">
        <w:t xml:space="preserve">Bij de vestiging of overdracht van zakelijke gebruiksrechten moet in voorkomend geval verduidelijkt worden dat de ‘aanschaffingswaarde’ overeenstemt met het pro rata van de volle eigendom dat blijkens de notariële akte betrekking heeft op het afgesplitste zakelijk gebruiksrecht. Desgevallend moet een </w:t>
      </w:r>
      <w:r w:rsidRPr="00B21FAC">
        <w:rPr>
          <w:i/>
          <w:iCs/>
        </w:rPr>
        <w:t>pro fisco</w:t>
      </w:r>
      <w:r w:rsidRPr="00B21FAC">
        <w:t xml:space="preserve"> waardering gebeuren van de vestigings- of overdrachtsprijs– meest relevant voor erfpacht/opstal/vruchtgebruik, waarbij ook vaak een gunstige natrekkingsregeling aan de orde is. Desgevallend moet hier ook voorzien worden dat het belastbaar tijdstip samenvalt met de effectieve inning van het geviseerde inkomen.</w:t>
      </w:r>
    </w:p>
    <w:p w14:paraId="7C0AD866" w14:textId="77777777" w:rsidR="00F447D5" w:rsidRPr="00B21FAC" w:rsidRDefault="00F447D5" w:rsidP="00BA7E3E">
      <w:pPr>
        <w:spacing w:after="0"/>
        <w:jc w:val="both"/>
      </w:pPr>
    </w:p>
    <w:p w14:paraId="01A4F183" w14:textId="6EE3E976" w:rsidR="00F447D5" w:rsidRPr="00B21FAC" w:rsidRDefault="00F447D5" w:rsidP="00BA7E3E">
      <w:pPr>
        <w:spacing w:after="0"/>
        <w:jc w:val="both"/>
      </w:pPr>
      <w:r w:rsidRPr="00B21FAC">
        <w:rPr>
          <w:u w:val="single"/>
        </w:rPr>
        <w:t>PM:</w:t>
      </w:r>
      <w:r w:rsidRPr="00B21FAC">
        <w:t xml:space="preserve"> Onder economen is er een vrij brede consensus dat op datum </w:t>
      </w:r>
      <w:r w:rsidR="00224648">
        <w:t xml:space="preserve">van </w:t>
      </w:r>
      <w:r w:rsidRPr="00B21FAC">
        <w:t xml:space="preserve">overlijden de niet gerealiseerde meerwaarden best belast worden. Een dergelijke benadering lijkt evenwel weinig realistisch en zal allicht stoten op veel maatschappelijke weerstand. Er zal worden aangevoerd dat een dergelijke ingreep zal leiden tot het verkopen van ondernemingen om de heffing te betalen, tot een demotivatie bij de uitbouw van familiale ondernemingen en tot een </w:t>
      </w:r>
      <w:r w:rsidR="00B46C75">
        <w:t>belastingheffing</w:t>
      </w:r>
      <w:r w:rsidRPr="00B21FAC">
        <w:t xml:space="preserve"> van vermogen dat blijvend productief in de onderneming geïnvesteerd wordt. Voorts kan men er ook niet om heen dat een dergelijke regeling zou interfereren met de successierechten/erfbelasting en het regionale beleid dat ertoe strekt de continuïteit van de familiale ondernemingen/vennootschappen aan te moedigen.</w:t>
      </w:r>
      <w:r w:rsidR="00B31DE5" w:rsidRPr="00B21FAC">
        <w:t xml:space="preserve"> </w:t>
      </w:r>
      <w:r w:rsidR="004568D5" w:rsidRPr="00B21FAC">
        <w:t>Een overleg met de deelentiteiten op dit vlak is in ieder geval aangewezen.</w:t>
      </w:r>
      <w:r w:rsidR="00193E6E">
        <w:t xml:space="preserve"> Eenzelfde benadering kan overigens gevolg</w:t>
      </w:r>
      <w:r w:rsidR="00B4095D">
        <w:t>d</w:t>
      </w:r>
      <w:r w:rsidR="00193E6E">
        <w:t xml:space="preserve"> worden in geval van een </w:t>
      </w:r>
      <w:r w:rsidR="004D786D">
        <w:t>schenking.</w:t>
      </w:r>
    </w:p>
    <w:p w14:paraId="2FD1CE70" w14:textId="498076D9" w:rsidR="00D143E9" w:rsidRDefault="00D143E9">
      <w:r>
        <w:br w:type="page"/>
      </w:r>
    </w:p>
    <w:p w14:paraId="605C2D9C" w14:textId="77777777" w:rsidR="00F447D5" w:rsidRPr="00B21FAC" w:rsidRDefault="00F447D5" w:rsidP="00BA7E3E">
      <w:pPr>
        <w:spacing w:after="0"/>
        <w:jc w:val="both"/>
      </w:pPr>
    </w:p>
    <w:p w14:paraId="24480A14" w14:textId="77777777" w:rsidR="00B31DE5" w:rsidRPr="00B21FAC" w:rsidRDefault="00B31DE5" w:rsidP="00BA7E3E">
      <w:pPr>
        <w:spacing w:after="0"/>
        <w:jc w:val="both"/>
      </w:pPr>
    </w:p>
    <w:p w14:paraId="1EE959BC" w14:textId="1E3AF8A7" w:rsidR="00F447D5" w:rsidRPr="00B21FAC" w:rsidRDefault="00F447D5" w:rsidP="00275FEB">
      <w:pPr>
        <w:pStyle w:val="Kop3"/>
        <w:numPr>
          <w:ilvl w:val="0"/>
          <w:numId w:val="50"/>
        </w:numPr>
      </w:pPr>
      <w:bookmarkStart w:id="218" w:name="_Toc107210944"/>
      <w:r w:rsidRPr="00B21FAC">
        <w:t>Minderwaarden</w:t>
      </w:r>
      <w:bookmarkEnd w:id="218"/>
    </w:p>
    <w:p w14:paraId="6EE38B15" w14:textId="77777777" w:rsidR="00B31DE5" w:rsidRPr="00B21FAC" w:rsidRDefault="00B31DE5" w:rsidP="00275FEB">
      <w:pPr>
        <w:spacing w:after="0"/>
        <w:jc w:val="both"/>
        <w:rPr>
          <w:b/>
          <w:bCs/>
        </w:rPr>
      </w:pPr>
    </w:p>
    <w:p w14:paraId="18E3704C" w14:textId="77777777" w:rsidR="00B31DE5" w:rsidRPr="00B21FAC" w:rsidRDefault="00B31DE5" w:rsidP="00275FEB">
      <w:pPr>
        <w:spacing w:after="0"/>
        <w:jc w:val="both"/>
        <w:rPr>
          <w:b/>
          <w:bCs/>
        </w:rPr>
      </w:pPr>
    </w:p>
    <w:p w14:paraId="55DEC927" w14:textId="097DD3EE" w:rsidR="00F447D5" w:rsidRPr="00B21FAC" w:rsidRDefault="00F447D5" w:rsidP="00275FEB">
      <w:pPr>
        <w:spacing w:after="0"/>
        <w:jc w:val="both"/>
      </w:pPr>
      <w:r w:rsidRPr="00B21FAC">
        <w:rPr>
          <w:b/>
          <w:bCs/>
        </w:rPr>
        <w:t xml:space="preserve">Voorstel – </w:t>
      </w:r>
      <w:r w:rsidRPr="00B21FAC">
        <w:t>De gerealiseerde minderwaarden moeten fiscaal in aanmerking worden genomen.</w:t>
      </w:r>
    </w:p>
    <w:p w14:paraId="6AFCFF22" w14:textId="77777777" w:rsidR="00B31DE5" w:rsidRPr="00B21FAC" w:rsidRDefault="00B31DE5" w:rsidP="00BA7E3E">
      <w:pPr>
        <w:spacing w:after="0"/>
        <w:jc w:val="both"/>
      </w:pPr>
    </w:p>
    <w:p w14:paraId="5ED7C864" w14:textId="314F7D8C" w:rsidR="00F447D5" w:rsidRPr="00B21FAC" w:rsidRDefault="00F447D5" w:rsidP="00BA7E3E">
      <w:pPr>
        <w:spacing w:after="0"/>
        <w:jc w:val="both"/>
      </w:pPr>
      <w:r w:rsidRPr="00B21FAC">
        <w:t xml:space="preserve">Er zijn redenen om aan te nemen dat dergelijke minderwaarden integraal en onbeperkt in de tijd fiscaal in aanmerking moeten worden genomen. </w:t>
      </w:r>
      <w:r w:rsidR="00625672">
        <w:t>D</w:t>
      </w:r>
      <w:r w:rsidR="00625672" w:rsidRPr="00625672">
        <w:t>e belasting van meerwaarden met een integrale verrekening van minderwaarden</w:t>
      </w:r>
      <w:r w:rsidR="00B97BDA">
        <w:t>,</w:t>
      </w:r>
      <w:r w:rsidR="0076253D">
        <w:t xml:space="preserve"> beïnvloedt</w:t>
      </w:r>
      <w:r w:rsidR="00625672" w:rsidRPr="00625672">
        <w:t xml:space="preserve"> op (zeer) lange termijn bekeken alvas</w:t>
      </w:r>
      <w:r w:rsidR="0076253D">
        <w:t>t</w:t>
      </w:r>
      <w:r w:rsidR="00625672" w:rsidRPr="00625672">
        <w:t xml:space="preserve"> enkel de ‘timing’ van de bela</w:t>
      </w:r>
      <w:r w:rsidR="00B97BDA">
        <w:t>s</w:t>
      </w:r>
      <w:r w:rsidR="00625672" w:rsidRPr="00625672">
        <w:t>tin</w:t>
      </w:r>
      <w:r w:rsidR="00B97BDA">
        <w:t>gin</w:t>
      </w:r>
      <w:r w:rsidR="00625672" w:rsidRPr="00625672">
        <w:t>ning</w:t>
      </w:r>
      <w:r w:rsidR="0076253D">
        <w:t xml:space="preserve">, doch niet de totale belastingopbrengst. </w:t>
      </w:r>
      <w:r w:rsidRPr="00B21FAC">
        <w:t>Budgettaire waakzaamheid is niettemin aangewezen.</w:t>
      </w:r>
    </w:p>
    <w:p w14:paraId="172F7B66" w14:textId="77777777" w:rsidR="00F447D5" w:rsidRPr="00B21FAC" w:rsidRDefault="00F447D5" w:rsidP="00BA7E3E">
      <w:pPr>
        <w:spacing w:after="0"/>
        <w:jc w:val="both"/>
      </w:pPr>
    </w:p>
    <w:p w14:paraId="139DAE15" w14:textId="7AA26CA6" w:rsidR="00F447D5" w:rsidRPr="00B21FAC" w:rsidRDefault="00F447D5" w:rsidP="00BA7E3E">
      <w:pPr>
        <w:spacing w:after="0"/>
        <w:jc w:val="both"/>
      </w:pPr>
      <w:r w:rsidRPr="00B21FAC">
        <w:t xml:space="preserve">Voor zover er voorts beslist zou worden om t.a.v. meerwaarden verlaagde tarieven te hanteren, moet </w:t>
      </w:r>
      <w:r w:rsidR="00A677C4">
        <w:t xml:space="preserve">best overwogen worden </w:t>
      </w:r>
      <w:r w:rsidRPr="00B21FAC">
        <w:t xml:space="preserve">de aanrekenbaarheid en overdraagbaarheid in de tijd </w:t>
      </w:r>
      <w:r w:rsidR="00A677C4">
        <w:t xml:space="preserve">te </w:t>
      </w:r>
      <w:r w:rsidRPr="00B21FAC">
        <w:t>beperk</w:t>
      </w:r>
      <w:r w:rsidR="00A677C4">
        <w:t>en.</w:t>
      </w:r>
    </w:p>
    <w:p w14:paraId="6C15B2EF" w14:textId="77777777" w:rsidR="00F447D5" w:rsidRPr="00B21FAC" w:rsidRDefault="00F447D5" w:rsidP="00BA7E3E">
      <w:pPr>
        <w:spacing w:after="0"/>
        <w:jc w:val="both"/>
      </w:pPr>
    </w:p>
    <w:p w14:paraId="5FDF7753" w14:textId="77777777" w:rsidR="00815DCF" w:rsidRDefault="00F447D5">
      <w:pPr>
        <w:spacing w:after="0"/>
        <w:jc w:val="both"/>
      </w:pPr>
      <w:r w:rsidRPr="00B21FAC">
        <w:rPr>
          <w:u w:val="single"/>
        </w:rPr>
        <w:t>Toelichting:</w:t>
      </w:r>
      <w:r w:rsidRPr="00B21FAC">
        <w:t xml:space="preserve"> </w:t>
      </w:r>
    </w:p>
    <w:p w14:paraId="27B0A7A7" w14:textId="77777777" w:rsidR="00815DCF" w:rsidRDefault="00815DCF">
      <w:pPr>
        <w:spacing w:after="0"/>
        <w:jc w:val="both"/>
      </w:pPr>
    </w:p>
    <w:p w14:paraId="177E7C27" w14:textId="442F19F6" w:rsidR="00F447D5" w:rsidRPr="00B21FAC" w:rsidRDefault="00F447D5" w:rsidP="00BA7E3E">
      <w:pPr>
        <w:spacing w:after="0"/>
        <w:jc w:val="both"/>
      </w:pPr>
      <w:r w:rsidRPr="00B21FAC">
        <w:t xml:space="preserve">Met het oog op de </w:t>
      </w:r>
      <w:r w:rsidR="00B46C75">
        <w:t>belastingheffing</w:t>
      </w:r>
      <w:r w:rsidRPr="00B21FAC">
        <w:t xml:space="preserve"> van het reële inkomen, moeten ook de gerealiseerde minderwaarden fiscaal in aanmerking worden genomen</w:t>
      </w:r>
      <w:r w:rsidR="00BA7FC2">
        <w:t xml:space="preserve"> (zie reeds </w:t>
      </w:r>
      <w:r w:rsidR="00BA7FC2" w:rsidRPr="00303355">
        <w:rPr>
          <w:i/>
          <w:iCs/>
        </w:rPr>
        <w:t>supra</w:t>
      </w:r>
      <w:r w:rsidR="00BA7FC2">
        <w:t>)</w:t>
      </w:r>
      <w:r w:rsidRPr="00B21FAC">
        <w:t xml:space="preserve">. In een ideaal scenario moet het eventuele verlies voor het betrokken belastbaar tijdperk zelf omgezet kunnen worden in een </w:t>
      </w:r>
      <w:r w:rsidR="008F6521">
        <w:t xml:space="preserve">bestanddeel </w:t>
      </w:r>
      <w:r w:rsidRPr="00B21FAC">
        <w:t>dat verrekenbaar is met de desgevallend op de activiteitsinkomsten verschuldigde belasting. Het niet-gebruikte saldo moet in ieder geval overdraagbaar zijn naar latere belastbare tijdperken.</w:t>
      </w:r>
    </w:p>
    <w:p w14:paraId="6A6DAB6C" w14:textId="77777777" w:rsidR="00F447D5" w:rsidRPr="00B21FAC" w:rsidRDefault="00F447D5" w:rsidP="00BA7E3E">
      <w:pPr>
        <w:spacing w:after="0"/>
        <w:jc w:val="both"/>
      </w:pPr>
    </w:p>
    <w:p w14:paraId="0C56447A" w14:textId="60F3375B" w:rsidR="00F447D5" w:rsidRPr="00B21FAC" w:rsidRDefault="00F447D5" w:rsidP="00275FEB">
      <w:pPr>
        <w:spacing w:after="0"/>
        <w:jc w:val="both"/>
      </w:pPr>
      <w:r w:rsidRPr="00B21FAC">
        <w:rPr>
          <w:u w:val="single"/>
        </w:rPr>
        <w:t>PM:</w:t>
      </w:r>
      <w:r w:rsidRPr="00B21FAC">
        <w:t xml:space="preserve"> Er wordt al eens opgemerkt dat aanrekenbaarheid en overdraagbaarheid van minderwaarden beperkt moet worden, vermits, – zeker m.b.t. beleggingen in roerende waarden – de </w:t>
      </w:r>
      <w:r w:rsidR="003560F6">
        <w:t>ontvang</w:t>
      </w:r>
      <w:r w:rsidR="003560F6" w:rsidRPr="00B21FAC">
        <w:t xml:space="preserve">sten </w:t>
      </w:r>
      <w:r w:rsidRPr="00B21FAC">
        <w:t xml:space="preserve">van de Staat al te zeer zouden worden beïnvloed door de soms volatiele beurskoersen. Zo ook voorziet de huidige wetgeving dat </w:t>
      </w:r>
      <w:r w:rsidR="00E15B97">
        <w:t xml:space="preserve">bepaalde </w:t>
      </w:r>
      <w:r w:rsidRPr="00B21FAC">
        <w:t xml:space="preserve">minderwaarden kunnen aangerekend worden op de gerealiseerde meerwaarden binnen hetzelfde belastbare tijdperk (zonder invoering van enig </w:t>
      </w:r>
      <w:r w:rsidR="00E14A5C">
        <w:t>verrekenbaar bestanddeel</w:t>
      </w:r>
      <w:r w:rsidRPr="00B21FAC">
        <w:t xml:space="preserve">), met een tijdelijke overdraagbaarheid gedurende 5 belastbare tijdperken (vgl. het huidige art. 103 WIB92)). </w:t>
      </w:r>
    </w:p>
    <w:p w14:paraId="24DF26E9" w14:textId="3B681106" w:rsidR="00E15109" w:rsidRDefault="00E15109" w:rsidP="00275FEB">
      <w:pPr>
        <w:spacing w:after="0"/>
        <w:jc w:val="both"/>
      </w:pPr>
    </w:p>
    <w:p w14:paraId="648DA18F" w14:textId="05CD0255" w:rsidR="00F447D5" w:rsidRPr="00B21FAC" w:rsidRDefault="00F447D5" w:rsidP="00275FEB">
      <w:pPr>
        <w:spacing w:after="0"/>
        <w:jc w:val="both"/>
      </w:pPr>
      <w:r w:rsidRPr="00B21FAC">
        <w:t>De correctheid van deze stelling wordt evenwel in vraag gesteld vanuit macro-economische inzichten.</w:t>
      </w:r>
    </w:p>
    <w:p w14:paraId="1B8FF65B" w14:textId="77777777" w:rsidR="00E15109" w:rsidRPr="00B21FAC" w:rsidRDefault="00E15109" w:rsidP="00275FEB">
      <w:pPr>
        <w:spacing w:after="0"/>
        <w:jc w:val="both"/>
      </w:pPr>
    </w:p>
    <w:p w14:paraId="287BCF5B" w14:textId="095B36D0" w:rsidR="00F447D5" w:rsidRPr="00B21FAC" w:rsidRDefault="00F447D5" w:rsidP="00275FEB">
      <w:pPr>
        <w:spacing w:after="0"/>
        <w:jc w:val="both"/>
      </w:pPr>
      <w:r w:rsidRPr="00B21FAC">
        <w:t xml:space="preserve">Ten eerste wordt de duurzaamheid van een begroting bepaald op basis van de structurele tekorten, </w:t>
      </w:r>
      <w:r w:rsidR="00B013AF">
        <w:t xml:space="preserve">die </w:t>
      </w:r>
      <w:r w:rsidR="003245AC">
        <w:t>bepaald worden door het niveau van</w:t>
      </w:r>
      <w:r w:rsidRPr="00B21FAC">
        <w:t xml:space="preserve"> de </w:t>
      </w:r>
      <w:r w:rsidR="008F0981">
        <w:t>potentiële</w:t>
      </w:r>
      <w:r w:rsidR="008F0981" w:rsidRPr="00B21FAC">
        <w:t xml:space="preserve"> </w:t>
      </w:r>
      <w:r w:rsidRPr="00B21FAC">
        <w:t xml:space="preserve">economische </w:t>
      </w:r>
      <w:r w:rsidR="0044703A">
        <w:t>activiteit</w:t>
      </w:r>
      <w:r w:rsidR="003245AC">
        <w:t xml:space="preserve"> (conjunctuur uitgezuiverd)</w:t>
      </w:r>
      <w:r w:rsidRPr="00B21FAC">
        <w:t>. Schokken t.g.v. de conjunctuur doen daarbij niet ter zake, zolang de toegang tot de obligatiemarkten niet in het gedrang komt.</w:t>
      </w:r>
    </w:p>
    <w:p w14:paraId="1E8A048F" w14:textId="77777777" w:rsidR="00E15109" w:rsidRPr="00B21FAC" w:rsidRDefault="00E15109" w:rsidP="00275FEB">
      <w:pPr>
        <w:spacing w:after="0"/>
        <w:jc w:val="both"/>
      </w:pPr>
    </w:p>
    <w:p w14:paraId="30CE98D2" w14:textId="4B5F353B" w:rsidR="00F447D5" w:rsidRPr="00B21FAC" w:rsidRDefault="00F447D5" w:rsidP="00275FEB">
      <w:pPr>
        <w:spacing w:after="0"/>
        <w:jc w:val="both"/>
      </w:pPr>
      <w:r w:rsidRPr="00B21FAC">
        <w:t>Ten tweede is het vanuit macro-economisch perspectief goed om meer te belasten tijdens economisch goede jaren, en minder te belasten tijdens de slechte jaren. Op die manier verzekert de overheid ten eerste tegen systemische schokken (grote fluctuaties van het beschikbaar inkomen voor de gezinnen hebben een welvaartskost). Voorts zorgt het op peil houden van de vraag tijdens recessies ervoor dat er minder werkloosheid ontstaat, en wordt verdere vraaguitval voorkomen. Voorzichtigheid is niettemin aangewezen. Er moet in ieder geval vermeden worden dat bij een heropleving van de economische groei de budgettaire opbrengsten achterwege zouden blijven. De financiële crisis van 2009 heeft aangetoond dat ondernemingen talloze overdraagbare verliezen hebben opgestapeld, hetgeen (zonder wijzigend beleid) ertoe zou geleid hebben dat ook na de crisis de budgettaire opbrengst van de vennootschapsbelasting ondermaats zou geweest zijn.</w:t>
      </w:r>
    </w:p>
    <w:p w14:paraId="38CC80EE" w14:textId="77777777" w:rsidR="00E15109" w:rsidRPr="00B21FAC" w:rsidRDefault="00E15109" w:rsidP="00275FEB">
      <w:pPr>
        <w:spacing w:after="0"/>
        <w:jc w:val="both"/>
      </w:pPr>
    </w:p>
    <w:p w14:paraId="0E63DCA5" w14:textId="03397A8E" w:rsidR="00F447D5" w:rsidRPr="00B21FAC" w:rsidRDefault="00F447D5" w:rsidP="00275FEB">
      <w:pPr>
        <w:spacing w:after="0"/>
        <w:jc w:val="both"/>
      </w:pPr>
      <w:r w:rsidRPr="00B21FAC">
        <w:rPr>
          <w:u w:val="single"/>
        </w:rPr>
        <w:t>PM:</w:t>
      </w:r>
      <w:r w:rsidRPr="00B21FAC">
        <w:t xml:space="preserve"> Hoger werd er reeds op gewezen dat meerwaarden idealiter belast worden aan de ‘standaardtarieven’ (te weten het basistarief van 30% in het algemeen of </w:t>
      </w:r>
      <w:r w:rsidR="00B4095D">
        <w:t xml:space="preserve">(desgevallend) </w:t>
      </w:r>
      <w:r w:rsidRPr="00B21FAC">
        <w:t xml:space="preserve">het verlaagd tarief van 15% t.a.v. meerwaarden op aandelen). In de mate om </w:t>
      </w:r>
      <w:r w:rsidR="00A057B9">
        <w:t xml:space="preserve">doorslaggevend </w:t>
      </w:r>
      <w:r w:rsidRPr="00B21FAC">
        <w:t>politieke redenen beslist zou worden om afwijkende tarieven te voorzien m.b.t. meerwaarden, moet overwogen worden om (ook om die reden) de aanrekenbaarheid en overdraagbaarheid te beperken.</w:t>
      </w:r>
    </w:p>
    <w:p w14:paraId="28146149" w14:textId="11A15FA8" w:rsidR="00F447D5" w:rsidRPr="00B21FAC" w:rsidRDefault="00F447D5" w:rsidP="00275FEB">
      <w:pPr>
        <w:spacing w:after="0"/>
      </w:pPr>
    </w:p>
    <w:p w14:paraId="76DF7C01" w14:textId="77777777" w:rsidR="00E15109" w:rsidRPr="00B21FAC" w:rsidRDefault="00E15109" w:rsidP="00275FEB">
      <w:pPr>
        <w:spacing w:after="0"/>
      </w:pPr>
    </w:p>
    <w:p w14:paraId="30E501F7" w14:textId="12258C69" w:rsidR="00F447D5" w:rsidRPr="00B21FAC" w:rsidRDefault="00F447D5" w:rsidP="00275FEB">
      <w:pPr>
        <w:pStyle w:val="Kop3"/>
        <w:numPr>
          <w:ilvl w:val="0"/>
          <w:numId w:val="50"/>
        </w:numPr>
      </w:pPr>
      <w:bookmarkStart w:id="219" w:name="_Toc107210945"/>
      <w:r w:rsidRPr="00B21FAC">
        <w:t>Vrijstellingen</w:t>
      </w:r>
      <w:bookmarkEnd w:id="219"/>
    </w:p>
    <w:p w14:paraId="0645B4E3" w14:textId="7E7D5A63" w:rsidR="006409C9" w:rsidRPr="00B21FAC" w:rsidRDefault="006409C9" w:rsidP="00BA7E3E">
      <w:pPr>
        <w:spacing w:after="0"/>
        <w:jc w:val="both"/>
      </w:pPr>
    </w:p>
    <w:p w14:paraId="2A0178E2" w14:textId="77777777" w:rsidR="006409C9" w:rsidRPr="00B21FAC" w:rsidRDefault="006409C9" w:rsidP="00BA7E3E">
      <w:pPr>
        <w:spacing w:after="0"/>
        <w:jc w:val="both"/>
      </w:pPr>
    </w:p>
    <w:p w14:paraId="15EC77FC" w14:textId="5E03BD5E" w:rsidR="00F447D5" w:rsidRPr="00B21FAC" w:rsidRDefault="00F447D5" w:rsidP="00BA7E3E">
      <w:pPr>
        <w:spacing w:after="0"/>
        <w:jc w:val="both"/>
      </w:pPr>
      <w:r w:rsidRPr="00B21FAC">
        <w:rPr>
          <w:b/>
          <w:bCs/>
        </w:rPr>
        <w:t>Voorstel –</w:t>
      </w:r>
      <w:r w:rsidRPr="00B21FAC">
        <w:t xml:space="preserve"> </w:t>
      </w:r>
      <w:r w:rsidR="00933D7D">
        <w:t xml:space="preserve">Onverminderd de algemene voetvrijstelling, wordt in de wetgeving </w:t>
      </w:r>
      <w:r w:rsidR="00510DD3">
        <w:t>ook duidelijk ingeschreven dat g</w:t>
      </w:r>
      <w:r w:rsidRPr="00B21FAC">
        <w:t>oederen die niet als een vorm van belegging of investering worden aangehouden, worden vrijgesteld.</w:t>
      </w:r>
    </w:p>
    <w:p w14:paraId="2BC3B1CD" w14:textId="77777777" w:rsidR="00F447D5" w:rsidRPr="00B21FAC" w:rsidRDefault="00F447D5" w:rsidP="00BA7E3E">
      <w:pPr>
        <w:spacing w:after="0"/>
        <w:jc w:val="both"/>
      </w:pPr>
    </w:p>
    <w:p w14:paraId="3E300505" w14:textId="77777777" w:rsidR="00815DCF" w:rsidRDefault="00F447D5">
      <w:pPr>
        <w:spacing w:after="0"/>
        <w:jc w:val="both"/>
      </w:pPr>
      <w:r w:rsidRPr="00B21FAC">
        <w:rPr>
          <w:u w:val="single"/>
        </w:rPr>
        <w:t>Toelichting:</w:t>
      </w:r>
      <w:r w:rsidRPr="00B21FAC">
        <w:t xml:space="preserve"> </w:t>
      </w:r>
    </w:p>
    <w:p w14:paraId="382509FD" w14:textId="77777777" w:rsidR="00815DCF" w:rsidRDefault="00815DCF">
      <w:pPr>
        <w:spacing w:after="0"/>
        <w:jc w:val="both"/>
      </w:pPr>
    </w:p>
    <w:p w14:paraId="0D88C23E" w14:textId="5084B888" w:rsidR="00F447D5" w:rsidRPr="00B21FAC" w:rsidRDefault="00F447D5" w:rsidP="00BA7E3E">
      <w:pPr>
        <w:spacing w:after="0"/>
        <w:jc w:val="both"/>
      </w:pPr>
      <w:r w:rsidRPr="00B21FAC">
        <w:t xml:space="preserve">Het </w:t>
      </w:r>
      <w:r w:rsidR="00AB36D4">
        <w:t>belasten</w:t>
      </w:r>
      <w:r w:rsidR="00AB36D4" w:rsidRPr="00B21FAC">
        <w:t xml:space="preserve"> </w:t>
      </w:r>
      <w:r w:rsidRPr="00B21FAC">
        <w:t xml:space="preserve">van meerwaarden is (althans wat betreft de goederen die niet professioneel geaffecteerd zijn) in België een trendbreuk (onverminderd het feit dat er toch ook heel wat ‘meerwaarden’ zijn die effectief nu reeds belast worden). De algemene stelregel luidt </w:t>
      </w:r>
      <w:r w:rsidR="00351B27">
        <w:t xml:space="preserve">op vandaag </w:t>
      </w:r>
      <w:r w:rsidRPr="00B21FAC">
        <w:t>inderdaad dat meerwaarden die voortkomen uit een normaal beheer van een privévermogen niet belastbaar zijn. Men kan deze uitsluiting dan ook zien als een vrij brede vrijstelling.</w:t>
      </w:r>
    </w:p>
    <w:p w14:paraId="529083E9" w14:textId="77777777" w:rsidR="00F447D5" w:rsidRPr="00B21FAC" w:rsidRDefault="00F447D5" w:rsidP="00BA7E3E">
      <w:pPr>
        <w:spacing w:after="0"/>
        <w:jc w:val="both"/>
      </w:pPr>
    </w:p>
    <w:p w14:paraId="452563D7" w14:textId="46959094" w:rsidR="00F447D5" w:rsidRPr="00B21FAC" w:rsidRDefault="00F447D5" w:rsidP="00BA7E3E">
      <w:pPr>
        <w:spacing w:after="0"/>
        <w:jc w:val="both"/>
      </w:pPr>
      <w:r w:rsidRPr="00B21FAC">
        <w:t xml:space="preserve">De vrijstelling (in die ruime termen, die overigens tot veel, zelfs grondwettelijke, betwistingen en rechtsonzekerheid aanleiding </w:t>
      </w:r>
      <w:r w:rsidR="007214FD">
        <w:t>geeft</w:t>
      </w:r>
      <w:r w:rsidRPr="00B21FAC">
        <w:t xml:space="preserve">) zou dus verdwijnen en vervangen worden door </w:t>
      </w:r>
      <w:r w:rsidR="00510DD3">
        <w:t xml:space="preserve">de algemene voetvrijstelling, aangevuld met </w:t>
      </w:r>
      <w:r w:rsidRPr="00B21FAC">
        <w:t>een limitatief aangeduide lijst van specifieke vrijstellingen</w:t>
      </w:r>
      <w:r w:rsidR="00CA3352">
        <w:t xml:space="preserve"> die ertoe strekt te verduidelijken dat alle goederen die niet als een </w:t>
      </w:r>
      <w:r w:rsidR="000F79E1">
        <w:t xml:space="preserve">belegging of investering kunnen beschouwd worden, </w:t>
      </w:r>
      <w:r w:rsidR="003B42F6">
        <w:t xml:space="preserve">ook daadwerkelijk vrijgesteld zijn (bv. </w:t>
      </w:r>
      <w:r w:rsidRPr="00B21FAC">
        <w:t>huisraad, roerende goederen zonder beleggingswaarde,…</w:t>
      </w:r>
      <w:r w:rsidR="004745DF">
        <w:t>).</w:t>
      </w:r>
      <w:r w:rsidRPr="00B21FAC">
        <w:t xml:space="preserve"> In essentie leidt dit er dus toe dat (naast de onroerende goederen) inzonderheid de roerende waarden geviseerd worden (goud, effecten, oldtimers, kunstcollecties,…).</w:t>
      </w:r>
    </w:p>
    <w:p w14:paraId="46740A5E" w14:textId="77777777" w:rsidR="00F447D5" w:rsidRPr="00B21FAC" w:rsidRDefault="00F447D5" w:rsidP="00BA7E3E">
      <w:pPr>
        <w:spacing w:after="0"/>
        <w:jc w:val="both"/>
      </w:pPr>
    </w:p>
    <w:p w14:paraId="6CBE9B20" w14:textId="69644A0C" w:rsidR="00F447D5" w:rsidRPr="00B21FAC" w:rsidRDefault="00F447D5" w:rsidP="00BA7E3E">
      <w:pPr>
        <w:spacing w:after="0"/>
        <w:jc w:val="both"/>
      </w:pPr>
      <w:r w:rsidRPr="00B21FAC">
        <w:rPr>
          <w:u w:val="single"/>
        </w:rPr>
        <w:t>PM:</w:t>
      </w:r>
      <w:r w:rsidRPr="00B21FAC">
        <w:t xml:space="preserve"> </w:t>
      </w:r>
      <w:r w:rsidR="001158F5">
        <w:t>Voor zover men de eigen woning als een vermogensbelegging aanmerkt</w:t>
      </w:r>
      <w:r w:rsidR="004C1191">
        <w:t xml:space="preserve"> (zie hierover reeds </w:t>
      </w:r>
      <w:r w:rsidR="004C1191" w:rsidRPr="00303355">
        <w:rPr>
          <w:i/>
          <w:iCs/>
        </w:rPr>
        <w:t>supra</w:t>
      </w:r>
      <w:r w:rsidR="004C1191">
        <w:t>)</w:t>
      </w:r>
      <w:r w:rsidR="001158F5">
        <w:t xml:space="preserve">, </w:t>
      </w:r>
      <w:r w:rsidR="00330D4D">
        <w:t xml:space="preserve">zou </w:t>
      </w:r>
      <w:r w:rsidR="00944E64">
        <w:t xml:space="preserve">ook de realisatie ervan principieel aanleiding moeten geven tot een </w:t>
      </w:r>
      <w:r w:rsidRPr="00B21FAC">
        <w:t>meerwaardebelasting</w:t>
      </w:r>
      <w:r w:rsidR="00813CF3">
        <w:t xml:space="preserve"> (of een aftrek van de gerealiseerde minderwaarden)</w:t>
      </w:r>
      <w:r w:rsidRPr="00B21FAC">
        <w:t>.</w:t>
      </w:r>
      <w:r w:rsidR="00581602">
        <w:t xml:space="preserve"> De effectieve belastingheffing </w:t>
      </w:r>
      <w:r w:rsidR="00436D5E">
        <w:t>vermijdt ook overinvesteringen in de eigen woning, ten koste van andere (meer) productieve investeringen.</w:t>
      </w:r>
    </w:p>
    <w:p w14:paraId="675218CD" w14:textId="1A0EB31D" w:rsidR="00F447D5" w:rsidRDefault="3683CD98" w:rsidP="00275FEB">
      <w:pPr>
        <w:spacing w:after="0"/>
        <w:jc w:val="both"/>
      </w:pPr>
      <w:r w:rsidRPr="00B21FAC">
        <w:t xml:space="preserve">Zoals hoger aangegeven zou dit een trendbreuk betekenen, gelet op het feit dat de vrijstelling van meerwaardebelasting op de eigen woning toch sterk maatschappelijk verankerd lijkt. Dit houdt </w:t>
      </w:r>
      <w:r w:rsidR="00AB73E5">
        <w:t xml:space="preserve">(zoals hoger aangehaald) ook </w:t>
      </w:r>
      <w:r w:rsidRPr="00B21FAC">
        <w:t xml:space="preserve">verband met het inzicht dat het in deze niet gaat om een “vermogensbelegging”, maar wel om de verwerving van een basisgoed van een gezin. </w:t>
      </w:r>
      <w:r w:rsidR="002501DC">
        <w:t xml:space="preserve">Daarnaast wordt ook verwezen naar </w:t>
      </w:r>
      <w:r w:rsidRPr="00B21FAC">
        <w:t xml:space="preserve">de mobiliteit t.o.v. de plaats tewerkstelling, alsook de hypothese waarbij ouderen hun woonhuis verkopen om de kost van het woonzorgcentrum te kunnen dragen. </w:t>
      </w:r>
    </w:p>
    <w:p w14:paraId="758B1EBB" w14:textId="21057C77" w:rsidR="006114D2" w:rsidRDefault="006114D2" w:rsidP="00275FEB">
      <w:pPr>
        <w:spacing w:after="0"/>
        <w:jc w:val="both"/>
      </w:pPr>
      <w:r>
        <w:t xml:space="preserve">Voor zover het beleid de keuze zou maken om de meerwaarde op de eigen woning </w:t>
      </w:r>
      <w:r w:rsidR="00BE0A74">
        <w:t>in ieder geval van belasting vrij te stellen, zal ook moeten verduidelijkt worden dat de desgevallend erop geleden minderwaarde niet aangerekend kan worden op de andere inkomsten.</w:t>
      </w:r>
    </w:p>
    <w:p w14:paraId="6F64BB9A" w14:textId="2128563D" w:rsidR="007603D4" w:rsidRDefault="00B01542" w:rsidP="00BA7E3E">
      <w:pPr>
        <w:spacing w:after="0"/>
        <w:jc w:val="both"/>
      </w:pPr>
      <w:r>
        <w:t xml:space="preserve">Een mogelijke tussenweg zou erin kunnen bestaan dat een </w:t>
      </w:r>
      <w:r w:rsidR="00B456AE">
        <w:t>vrijstelling wordt voorzien in de mate van herinvestering</w:t>
      </w:r>
      <w:r w:rsidR="002B6E4B">
        <w:t xml:space="preserve"> in een nieuwe eigen woning.</w:t>
      </w:r>
    </w:p>
    <w:p w14:paraId="5368C454" w14:textId="46C67567" w:rsidR="007603D4" w:rsidRDefault="007603D4" w:rsidP="00BA7E3E">
      <w:pPr>
        <w:spacing w:after="0"/>
        <w:jc w:val="both"/>
      </w:pPr>
    </w:p>
    <w:p w14:paraId="1694725A" w14:textId="563197F1" w:rsidR="00D943A1" w:rsidRPr="00B21FAC" w:rsidRDefault="00D943A1" w:rsidP="00BA7E3E">
      <w:pPr>
        <w:spacing w:after="0"/>
        <w:jc w:val="both"/>
      </w:pPr>
      <w:r w:rsidRPr="00303355">
        <w:rPr>
          <w:u w:val="single"/>
        </w:rPr>
        <w:t>PM:</w:t>
      </w:r>
      <w:r>
        <w:t xml:space="preserve"> De beleidsmatige</w:t>
      </w:r>
      <w:r w:rsidR="0080184D">
        <w:t xml:space="preserve"> </w:t>
      </w:r>
      <w:r w:rsidR="00C008FD">
        <w:t>redenen</w:t>
      </w:r>
      <w:r w:rsidR="0080184D">
        <w:t xml:space="preserve"> om t.a.v. bepaalde meerwaarden </w:t>
      </w:r>
      <w:r w:rsidR="00042A15">
        <w:t xml:space="preserve">voor </w:t>
      </w:r>
      <w:r w:rsidR="0080184D">
        <w:t xml:space="preserve">lagere tarieven te kiezen, </w:t>
      </w:r>
      <w:r w:rsidR="00C008FD">
        <w:t>kunne</w:t>
      </w:r>
      <w:r w:rsidR="00042A15">
        <w:t>n</w:t>
      </w:r>
      <w:r w:rsidR="0035435A">
        <w:t xml:space="preserve"> uiteraard ook ingeroepen worden om voor een (al dan niet gedeeltelijke) vrijstelling te pleiten. Dit kan bv. het geval zijn t.a.v. meerwaarden gerealiseerd door de aandeelhouder-ondernemer. </w:t>
      </w:r>
      <w:r w:rsidR="00465AB7">
        <w:t xml:space="preserve">Zoals hoger aangehaald kan een dergelijke differentiatie juridisch verantwoord worden. De vraag rijst of </w:t>
      </w:r>
      <w:r w:rsidR="00ED3AB7">
        <w:t xml:space="preserve">het niet meer opportuun is om </w:t>
      </w:r>
      <w:r w:rsidR="00042A15">
        <w:t xml:space="preserve">te kiezen voor </w:t>
      </w:r>
      <w:r w:rsidR="00651A6E">
        <w:t xml:space="preserve">meer gerichte maatregelen (bv. t.a.v. </w:t>
      </w:r>
      <w:r w:rsidR="00651A6E" w:rsidRPr="00651A6E">
        <w:t>innovatie en kleine groeibedrijven</w:t>
      </w:r>
      <w:r w:rsidR="00651A6E">
        <w:t>)</w:t>
      </w:r>
      <w:r w:rsidR="00042A15">
        <w:t>.</w:t>
      </w:r>
    </w:p>
    <w:p w14:paraId="16658344" w14:textId="65F8381F" w:rsidR="006409C9" w:rsidRDefault="006409C9" w:rsidP="00BA7E3E">
      <w:pPr>
        <w:spacing w:after="0"/>
        <w:jc w:val="both"/>
      </w:pPr>
    </w:p>
    <w:p w14:paraId="7E8DDF7D" w14:textId="77777777" w:rsidR="00042A15" w:rsidRPr="00B21FAC" w:rsidRDefault="00042A15" w:rsidP="00BA7E3E">
      <w:pPr>
        <w:spacing w:after="0"/>
        <w:jc w:val="both"/>
      </w:pPr>
    </w:p>
    <w:p w14:paraId="19D8F648" w14:textId="4D642B46" w:rsidR="00F447D5" w:rsidRPr="00B21FAC" w:rsidRDefault="00F447D5" w:rsidP="00275FEB">
      <w:pPr>
        <w:pStyle w:val="Kop3"/>
        <w:numPr>
          <w:ilvl w:val="0"/>
          <w:numId w:val="50"/>
        </w:numPr>
      </w:pPr>
      <w:bookmarkStart w:id="220" w:name="_Toc107210946"/>
      <w:r w:rsidRPr="00B21FAC">
        <w:t>Tarief</w:t>
      </w:r>
      <w:bookmarkEnd w:id="220"/>
    </w:p>
    <w:p w14:paraId="336CEC44" w14:textId="4F697974" w:rsidR="00F447D5" w:rsidRPr="00B21FAC" w:rsidRDefault="00F447D5" w:rsidP="00BA7E3E">
      <w:pPr>
        <w:spacing w:after="0"/>
        <w:jc w:val="both"/>
      </w:pPr>
    </w:p>
    <w:p w14:paraId="1C65485C" w14:textId="77777777" w:rsidR="006409C9" w:rsidRPr="00B21FAC" w:rsidRDefault="006409C9" w:rsidP="00BA7E3E">
      <w:pPr>
        <w:spacing w:after="0"/>
        <w:jc w:val="both"/>
      </w:pPr>
    </w:p>
    <w:p w14:paraId="74B0CACF" w14:textId="217F3092" w:rsidR="00F447D5" w:rsidRPr="00B21FAC" w:rsidRDefault="00F447D5" w:rsidP="00BA7E3E">
      <w:pPr>
        <w:pStyle w:val="Lijstalinea"/>
        <w:spacing w:after="0"/>
        <w:ind w:left="0"/>
        <w:jc w:val="both"/>
      </w:pPr>
      <w:r w:rsidRPr="00B21FAC">
        <w:rPr>
          <w:b/>
          <w:bCs/>
        </w:rPr>
        <w:t>Voorstel –</w:t>
      </w:r>
      <w:r w:rsidRPr="00B21FAC">
        <w:t xml:space="preserve"> </w:t>
      </w:r>
      <w:r w:rsidR="002F4082">
        <w:t>M</w:t>
      </w:r>
      <w:r w:rsidRPr="00B21FAC">
        <w:t>eerwaarden worden belast aan het standaardtarief, onverminderd de gebeurlijke toepassing van een verlaagd tarief op meerwaarden op aandelen.</w:t>
      </w:r>
    </w:p>
    <w:p w14:paraId="3D616CCC" w14:textId="77777777" w:rsidR="00F447D5" w:rsidRPr="00B21FAC" w:rsidRDefault="00F447D5" w:rsidP="00BA7E3E">
      <w:pPr>
        <w:pStyle w:val="Lijstalinea"/>
        <w:spacing w:after="0"/>
        <w:ind w:left="0"/>
        <w:jc w:val="both"/>
      </w:pPr>
    </w:p>
    <w:p w14:paraId="5D97A2DA" w14:textId="77777777" w:rsidR="00F447D5" w:rsidRPr="00B21FAC" w:rsidRDefault="00F447D5" w:rsidP="00275FEB">
      <w:pPr>
        <w:pStyle w:val="Lijstalinea"/>
        <w:ind w:left="0"/>
        <w:jc w:val="both"/>
      </w:pPr>
      <w:r w:rsidRPr="00B21FAC">
        <w:t>De beleidsgerichte keuze om t.a.v. meerwaarden gebeurlijk voor lagere tarieven te kiezen, vertaalt zich best in de ‘uitsluiting’ van de meerwaarden uit de algemene voetvrijstelling en de (verdere) beperking van de aanrekenbaarheid en overdraagbaarheid van minderwaarden.</w:t>
      </w:r>
    </w:p>
    <w:p w14:paraId="1D4F6FBF" w14:textId="77777777" w:rsidR="00F447D5" w:rsidRPr="00B21FAC" w:rsidRDefault="00F447D5" w:rsidP="00275FEB">
      <w:pPr>
        <w:pStyle w:val="Lijstalinea"/>
        <w:ind w:left="0"/>
        <w:jc w:val="both"/>
      </w:pPr>
    </w:p>
    <w:p w14:paraId="56378A2C" w14:textId="77777777" w:rsidR="002F4082" w:rsidRDefault="00F447D5">
      <w:pPr>
        <w:pStyle w:val="Lijstalinea"/>
        <w:spacing w:after="0"/>
        <w:ind w:left="0"/>
        <w:jc w:val="both"/>
      </w:pPr>
      <w:r w:rsidRPr="00B21FAC">
        <w:rPr>
          <w:u w:val="single"/>
        </w:rPr>
        <w:t>Toelichting:</w:t>
      </w:r>
      <w:r w:rsidRPr="00B21FAC">
        <w:t xml:space="preserve"> </w:t>
      </w:r>
    </w:p>
    <w:p w14:paraId="214CFFFB" w14:textId="77777777" w:rsidR="002F4082" w:rsidRDefault="002F4082">
      <w:pPr>
        <w:pStyle w:val="Lijstalinea"/>
        <w:spacing w:after="0"/>
        <w:ind w:left="0"/>
        <w:jc w:val="both"/>
      </w:pPr>
    </w:p>
    <w:p w14:paraId="0B7EB11B" w14:textId="7D6A43AA" w:rsidR="00F447D5" w:rsidRPr="00B21FAC" w:rsidRDefault="00D07688" w:rsidP="00BA7E3E">
      <w:pPr>
        <w:pStyle w:val="Lijstalinea"/>
        <w:spacing w:after="0"/>
        <w:ind w:left="0"/>
        <w:jc w:val="both"/>
      </w:pPr>
      <w:r>
        <w:t>Er kan verwezen worden naar de algemene uiteenzetting. Ook d</w:t>
      </w:r>
      <w:r w:rsidR="00F447D5" w:rsidRPr="00B21FAC">
        <w:t xml:space="preserve">e ratio </w:t>
      </w:r>
      <w:r w:rsidR="00396F8C">
        <w:t>van</w:t>
      </w:r>
      <w:r w:rsidR="00396F8C" w:rsidRPr="00B21FAC">
        <w:t xml:space="preserve"> </w:t>
      </w:r>
      <w:r>
        <w:t>een</w:t>
      </w:r>
      <w:r w:rsidRPr="00B21FAC">
        <w:t xml:space="preserve"> </w:t>
      </w:r>
      <w:r w:rsidR="00396F8C">
        <w:t xml:space="preserve">(gebeurlijk) </w:t>
      </w:r>
      <w:r w:rsidR="00F447D5" w:rsidRPr="00B21FAC">
        <w:t>verlaagd tarief</w:t>
      </w:r>
      <w:r>
        <w:t xml:space="preserve"> op </w:t>
      </w:r>
      <w:r w:rsidR="00081451">
        <w:t>meerwaarden op aandelen</w:t>
      </w:r>
      <w:r w:rsidR="00D364D9">
        <w:t>, als mogelijke beleidsoptie,</w:t>
      </w:r>
      <w:r w:rsidR="00F447D5" w:rsidRPr="00B21FAC">
        <w:t xml:space="preserve"> werd hoger toegelicht. </w:t>
      </w:r>
    </w:p>
    <w:p w14:paraId="165D0D90" w14:textId="0A3EA06D" w:rsidR="00F447D5" w:rsidRDefault="00F447D5" w:rsidP="00BA7E3E">
      <w:pPr>
        <w:spacing w:after="0"/>
        <w:jc w:val="both"/>
      </w:pPr>
    </w:p>
    <w:p w14:paraId="046FB2E2" w14:textId="77777777" w:rsidR="002637F2" w:rsidRPr="002637F2" w:rsidRDefault="002637F2" w:rsidP="002637F2">
      <w:pPr>
        <w:spacing w:after="0"/>
        <w:jc w:val="both"/>
      </w:pPr>
      <w:r w:rsidRPr="002637F2">
        <w:rPr>
          <w:u w:val="single"/>
        </w:rPr>
        <w:t>PM:</w:t>
      </w:r>
      <w:r w:rsidRPr="002637F2">
        <w:t xml:space="preserve"> In geval van de invoering van een meerwaardebelasting lijkt het logisch de federale transactie- of vermogensbelastingen, die veelal werden gemotiveerd vanuit het gebrek aan een meerwaardebelasting, af te schaffen. Men denkt hierbij o.m. aan de taks op de effectenrekeningen, alsook de beurstaksen. </w:t>
      </w:r>
    </w:p>
    <w:p w14:paraId="4C2E44DE" w14:textId="77777777" w:rsidR="002637F2" w:rsidRPr="002637F2" w:rsidRDefault="002637F2" w:rsidP="002637F2">
      <w:pPr>
        <w:spacing w:after="0"/>
        <w:jc w:val="both"/>
      </w:pPr>
      <w:r w:rsidRPr="002637F2">
        <w:t>Transactiebelastingen op het regionale niveau kunnen in het kader van de voorliggende hervorming uiteraard niet worden afgeschaft. Dit neemt niet weg dat met het bestaan van deze heffingen op zijn minst rekening moet worden gehouden bij het vaststellen van de belastbare grondslag. Een overleg met de deelentiteiten is in elk geval meer dan aangewezen teneinde een disproportionele belastingdruk op onroerende goederen te vermijden.</w:t>
      </w:r>
    </w:p>
    <w:p w14:paraId="152FF369" w14:textId="644210CF" w:rsidR="00404A41" w:rsidRDefault="00404A41">
      <w:r>
        <w:br w:type="page"/>
      </w:r>
    </w:p>
    <w:p w14:paraId="558BCE22" w14:textId="77777777" w:rsidR="002637F2" w:rsidRPr="00B21FAC" w:rsidRDefault="002637F2" w:rsidP="00BA7E3E">
      <w:pPr>
        <w:spacing w:after="0"/>
        <w:jc w:val="both"/>
      </w:pPr>
    </w:p>
    <w:p w14:paraId="26E9028E" w14:textId="77777777" w:rsidR="006549F0" w:rsidRPr="00B21FAC" w:rsidRDefault="006549F0" w:rsidP="00BA7E3E">
      <w:pPr>
        <w:spacing w:after="0"/>
        <w:jc w:val="both"/>
      </w:pPr>
    </w:p>
    <w:p w14:paraId="51E21213" w14:textId="5EE46EB4" w:rsidR="00924A2E" w:rsidRPr="00B21FAC" w:rsidRDefault="00924A2E" w:rsidP="00275FEB">
      <w:pPr>
        <w:pStyle w:val="Kop3"/>
        <w:numPr>
          <w:ilvl w:val="0"/>
          <w:numId w:val="50"/>
        </w:numPr>
      </w:pPr>
      <w:bookmarkStart w:id="221" w:name="_Toc107210947"/>
      <w:r w:rsidRPr="00B21FAC">
        <w:t>Inning</w:t>
      </w:r>
      <w:bookmarkEnd w:id="221"/>
    </w:p>
    <w:p w14:paraId="6585E603" w14:textId="5413B822" w:rsidR="00924A2E" w:rsidRPr="00B21FAC" w:rsidRDefault="00924A2E" w:rsidP="00BA7E3E">
      <w:pPr>
        <w:spacing w:after="0"/>
        <w:jc w:val="both"/>
      </w:pPr>
    </w:p>
    <w:p w14:paraId="138BD32F" w14:textId="635CFF08" w:rsidR="006549F0" w:rsidRDefault="006549F0">
      <w:pPr>
        <w:spacing w:after="0"/>
        <w:jc w:val="both"/>
      </w:pPr>
    </w:p>
    <w:p w14:paraId="01B0B00D" w14:textId="643AD3A1" w:rsidR="009F7D62" w:rsidRDefault="009F7D62">
      <w:pPr>
        <w:spacing w:after="0"/>
        <w:jc w:val="both"/>
      </w:pPr>
      <w:r w:rsidRPr="00BA7E3E">
        <w:rPr>
          <w:b/>
          <w:bCs/>
        </w:rPr>
        <w:t>Voorstel</w:t>
      </w:r>
      <w:r>
        <w:t xml:space="preserve"> </w:t>
      </w:r>
      <w:r w:rsidR="00856DEF">
        <w:t>–</w:t>
      </w:r>
      <w:r>
        <w:t xml:space="preserve"> </w:t>
      </w:r>
      <w:r w:rsidR="00856DEF">
        <w:t>De inning van de belasting op de meerwaarde gebeurt maximaal via tussenpersonen.</w:t>
      </w:r>
      <w:r w:rsidR="007F15B7">
        <w:t xml:space="preserve"> </w:t>
      </w:r>
      <w:r w:rsidR="0081188A">
        <w:t>Met het oog op een correcte afrekening van de meerwaarde op onroerende goederen kan overwogen worden een digitaal platform op punt te zetten.</w:t>
      </w:r>
    </w:p>
    <w:p w14:paraId="7DE67D17" w14:textId="1DD0E5E0" w:rsidR="007F15B7" w:rsidRDefault="007F15B7">
      <w:pPr>
        <w:spacing w:after="0"/>
        <w:jc w:val="both"/>
      </w:pPr>
    </w:p>
    <w:p w14:paraId="720F8715" w14:textId="2D52F938" w:rsidR="007F15B7" w:rsidRPr="00BA7E3E" w:rsidRDefault="007F15B7">
      <w:pPr>
        <w:spacing w:after="0"/>
        <w:jc w:val="both"/>
        <w:rPr>
          <w:u w:val="single"/>
        </w:rPr>
      </w:pPr>
      <w:r w:rsidRPr="00BA7E3E">
        <w:rPr>
          <w:u w:val="single"/>
        </w:rPr>
        <w:t>Toelichting:</w:t>
      </w:r>
    </w:p>
    <w:p w14:paraId="194B2FE6" w14:textId="77777777" w:rsidR="007F15B7" w:rsidRPr="00B21FAC" w:rsidRDefault="007F15B7" w:rsidP="00BA7E3E">
      <w:pPr>
        <w:spacing w:after="0"/>
        <w:jc w:val="both"/>
      </w:pPr>
    </w:p>
    <w:p w14:paraId="464BBBB6" w14:textId="005ADCA7" w:rsidR="0049452C" w:rsidRDefault="00F447D5">
      <w:pPr>
        <w:spacing w:after="0"/>
        <w:jc w:val="both"/>
      </w:pPr>
      <w:r w:rsidRPr="00B21FAC">
        <w:t xml:space="preserve">Met het oog op </w:t>
      </w:r>
      <w:r w:rsidRPr="007F15B7">
        <w:t xml:space="preserve">een </w:t>
      </w:r>
      <w:r w:rsidRPr="00BA7E3E">
        <w:t>efficiënte inning</w:t>
      </w:r>
      <w:r w:rsidRPr="007F15B7">
        <w:t xml:space="preserve"> kan</w:t>
      </w:r>
      <w:r w:rsidRPr="00B21FAC">
        <w:t xml:space="preserve"> verder ingezet worden op de uitbouw van het stelsel van voorheffingen (bv. voor de </w:t>
      </w:r>
      <w:r w:rsidR="00B46C75">
        <w:t>belastingheffing</w:t>
      </w:r>
      <w:r w:rsidRPr="00B21FAC">
        <w:t xml:space="preserve"> van de meerwaarde op beursgenoteerde aandelen). Voorts kan er overwogen worden om via een digitaal platform en op een voor de burger gemakkelijk toegankelijke wijze het volledig Belgisch onroerend goed in te kaart te brengen (zie reeds via MyMinfin). Het moet mogelijk zijn om via een dergelijke applicatie de kosten van de werken in onroerende staat ‘in te dienen’. De meerwaarde-afrekening moet plaatsvinden bij de latere realisatie van het onroerend goed (notariële tussenkomst).</w:t>
      </w:r>
    </w:p>
    <w:p w14:paraId="1CB35F0F" w14:textId="7864C343" w:rsidR="0049452C" w:rsidRDefault="0049452C">
      <w:r>
        <w:br w:type="page"/>
      </w:r>
    </w:p>
    <w:p w14:paraId="5BCA594E" w14:textId="68507F31" w:rsidR="0049452C" w:rsidRDefault="0049452C">
      <w:pPr>
        <w:spacing w:after="0"/>
        <w:jc w:val="both"/>
      </w:pPr>
    </w:p>
    <w:p w14:paraId="732C5995" w14:textId="77777777" w:rsidR="0049452C" w:rsidRPr="00B21FAC" w:rsidRDefault="0049452C" w:rsidP="00BA7E3E">
      <w:pPr>
        <w:spacing w:after="0"/>
        <w:jc w:val="both"/>
      </w:pPr>
    </w:p>
    <w:p w14:paraId="01BA4870" w14:textId="6FEE9EE5" w:rsidR="00797BB8" w:rsidRPr="00B21FAC" w:rsidRDefault="001A6EAB" w:rsidP="00BA7E3E">
      <w:pPr>
        <w:pStyle w:val="Kop1"/>
        <w:numPr>
          <w:ilvl w:val="0"/>
          <w:numId w:val="32"/>
        </w:numPr>
        <w:spacing w:before="0"/>
        <w:ind w:left="1077"/>
        <w:rPr>
          <w:smallCaps/>
        </w:rPr>
      </w:pPr>
      <w:bookmarkStart w:id="222" w:name="_Toc107210948"/>
      <w:r w:rsidRPr="00B21FAC">
        <w:rPr>
          <w:smallCaps/>
        </w:rPr>
        <w:t>Lasten op consumptie</w:t>
      </w:r>
      <w:r w:rsidR="00A44F1E">
        <w:rPr>
          <w:smallCaps/>
        </w:rPr>
        <w:t xml:space="preserve"> / vervuiling</w:t>
      </w:r>
      <w:bookmarkEnd w:id="222"/>
    </w:p>
    <w:p w14:paraId="5155392C" w14:textId="4D7F362F" w:rsidR="001A6EAB" w:rsidRPr="00B21FAC" w:rsidRDefault="001A6EAB" w:rsidP="00275FEB">
      <w:pPr>
        <w:spacing w:after="0"/>
      </w:pPr>
    </w:p>
    <w:p w14:paraId="2C5BA957" w14:textId="2D2F023B" w:rsidR="00B4324A" w:rsidRDefault="00B4324A">
      <w:pPr>
        <w:spacing w:after="0"/>
        <w:jc w:val="both"/>
      </w:pPr>
    </w:p>
    <w:p w14:paraId="2EA19078" w14:textId="77777777" w:rsidR="00896505" w:rsidRDefault="00B4324A" w:rsidP="00E530F2">
      <w:pPr>
        <w:spacing w:after="0"/>
        <w:jc w:val="both"/>
      </w:pPr>
      <w:r>
        <w:t xml:space="preserve">Onder deze hoofding wordt nader ingegaan op </w:t>
      </w:r>
      <w:r w:rsidR="000251D2">
        <w:t xml:space="preserve">enkele aspecten gerelateerd aan </w:t>
      </w:r>
      <w:r>
        <w:t xml:space="preserve">de </w:t>
      </w:r>
      <w:r w:rsidR="009E3C74">
        <w:t>consumptiefiscaliteit</w:t>
      </w:r>
      <w:r w:rsidR="00896505">
        <w:t xml:space="preserve">, zijnde </w:t>
      </w:r>
      <w:r w:rsidR="009E3C74">
        <w:t xml:space="preserve">het geheel </w:t>
      </w:r>
      <w:r w:rsidRPr="00B21FAC">
        <w:t xml:space="preserve">aan </w:t>
      </w:r>
      <w:r w:rsidR="00E530F2">
        <w:t>heffingen op de (finale) consumptieve bestedingen van (vooral) particulieren.</w:t>
      </w:r>
      <w:r w:rsidR="009E3C74">
        <w:t xml:space="preserve"> </w:t>
      </w:r>
      <w:r w:rsidR="00896505">
        <w:t xml:space="preserve">Hierin zit ook een belangrijk luik gerelateerd aan de duurzaamheidsfiscaliteit. </w:t>
      </w:r>
    </w:p>
    <w:p w14:paraId="4DCD42ED" w14:textId="7D35410A" w:rsidR="009E3C74" w:rsidRDefault="009E3C74" w:rsidP="00E530F2">
      <w:pPr>
        <w:spacing w:after="0"/>
        <w:jc w:val="both"/>
      </w:pPr>
    </w:p>
    <w:p w14:paraId="4AD23D67" w14:textId="6771AD57" w:rsidR="00B4324A" w:rsidRDefault="002D2379" w:rsidP="00B4324A">
      <w:pPr>
        <w:spacing w:after="0"/>
        <w:jc w:val="both"/>
      </w:pPr>
      <w:r>
        <w:t>Hierbij</w:t>
      </w:r>
      <w:r w:rsidR="001D0562">
        <w:t xml:space="preserve"> wordt </w:t>
      </w:r>
      <w:r>
        <w:t xml:space="preserve">uitgegaan </w:t>
      </w:r>
      <w:r w:rsidR="001D0562">
        <w:t xml:space="preserve">van de hoger aangehaalde bouwstenen, waarvan de volgende specifiek betrekking hebben op </w:t>
      </w:r>
      <w:r w:rsidR="00067FDB">
        <w:t>de consumptie:</w:t>
      </w:r>
    </w:p>
    <w:p w14:paraId="57F96B9C" w14:textId="77777777" w:rsidR="00067FDB" w:rsidRDefault="00067FDB" w:rsidP="00BA7E3E">
      <w:pPr>
        <w:spacing w:after="0"/>
        <w:jc w:val="both"/>
      </w:pPr>
    </w:p>
    <w:p w14:paraId="6BD6C049" w14:textId="30982613" w:rsidR="00B4324A" w:rsidRPr="00A421CB" w:rsidRDefault="00B4324A" w:rsidP="00B4324A">
      <w:pPr>
        <w:spacing w:after="0"/>
        <w:ind w:left="284"/>
        <w:jc w:val="both"/>
        <w:rPr>
          <w:u w:val="single"/>
        </w:rPr>
      </w:pPr>
      <w:r>
        <w:rPr>
          <w:u w:val="single"/>
        </w:rPr>
        <w:t>Belaste elementen</w:t>
      </w:r>
      <w:r w:rsidRPr="00A421CB">
        <w:rPr>
          <w:u w:val="single"/>
        </w:rPr>
        <w:t>:</w:t>
      </w:r>
    </w:p>
    <w:p w14:paraId="04065429" w14:textId="77777777" w:rsidR="00FD6F5B" w:rsidRPr="00FD6F5B" w:rsidRDefault="00FD6F5B" w:rsidP="00BA7E3E">
      <w:pPr>
        <w:numPr>
          <w:ilvl w:val="0"/>
          <w:numId w:val="115"/>
        </w:numPr>
        <w:spacing w:after="0"/>
        <w:ind w:left="709"/>
        <w:jc w:val="both"/>
      </w:pPr>
      <w:r w:rsidRPr="00FD6F5B">
        <w:t>Er moet zoveel als mogelijk een gelijke consumptiebelasting nagestreefd worden op verschillende goederen en diensten, onder voorbehoud van indirecte belastingen die indirecte effecten neutraliseren (bv. milieubelastingen, tabak, alcohol,…).</w:t>
      </w:r>
    </w:p>
    <w:p w14:paraId="7AD3F857" w14:textId="77777777" w:rsidR="00B4324A" w:rsidRDefault="00B4324A" w:rsidP="00B4324A">
      <w:pPr>
        <w:spacing w:after="0"/>
        <w:jc w:val="both"/>
      </w:pPr>
    </w:p>
    <w:p w14:paraId="30EB25B5" w14:textId="77777777" w:rsidR="00B4324A" w:rsidRPr="00A421CB" w:rsidRDefault="00B4324A" w:rsidP="00B4324A">
      <w:pPr>
        <w:spacing w:after="0"/>
        <w:ind w:left="284"/>
        <w:jc w:val="both"/>
        <w:rPr>
          <w:u w:val="single"/>
        </w:rPr>
      </w:pPr>
      <w:r w:rsidRPr="00A421CB">
        <w:rPr>
          <w:u w:val="single"/>
        </w:rPr>
        <w:t>Tariefstructuur:</w:t>
      </w:r>
    </w:p>
    <w:p w14:paraId="0B981EE8" w14:textId="77777777" w:rsidR="007C2B4F" w:rsidRPr="007C2B4F" w:rsidRDefault="007C2B4F" w:rsidP="00BA7E3E">
      <w:pPr>
        <w:numPr>
          <w:ilvl w:val="0"/>
          <w:numId w:val="117"/>
        </w:numPr>
        <w:spacing w:after="0"/>
        <w:ind w:left="709"/>
        <w:jc w:val="both"/>
      </w:pPr>
      <w:r w:rsidRPr="007C2B4F">
        <w:t>Een evenredige tariefstructuur, die (voor zover van toepassing) toelaat om de externe effecten van productie en consumptie door te rekenen in de prijzen.</w:t>
      </w:r>
    </w:p>
    <w:p w14:paraId="6FDFB124" w14:textId="2F2269C7" w:rsidR="00B4324A" w:rsidRDefault="00B4324A">
      <w:pPr>
        <w:spacing w:after="0"/>
        <w:jc w:val="both"/>
      </w:pPr>
    </w:p>
    <w:p w14:paraId="5640B63B" w14:textId="7DFF5BEF" w:rsidR="006850DF" w:rsidRDefault="00EC1DC1">
      <w:pPr>
        <w:spacing w:after="0"/>
        <w:jc w:val="both"/>
      </w:pPr>
      <w:r>
        <w:t>In d</w:t>
      </w:r>
      <w:r w:rsidR="00987F8E">
        <w:t xml:space="preserve">e </w:t>
      </w:r>
      <w:r w:rsidR="009B4665">
        <w:t>A</w:t>
      </w:r>
      <w:r w:rsidR="00987F8E">
        <w:t xml:space="preserve">lgemene </w:t>
      </w:r>
      <w:r w:rsidR="009B4665">
        <w:t>V</w:t>
      </w:r>
      <w:r w:rsidR="00987F8E">
        <w:t xml:space="preserve">isienota wordt de focus gelegd op de </w:t>
      </w:r>
      <w:r w:rsidR="00393809">
        <w:t xml:space="preserve">algemene lijnen van de Belgische </w:t>
      </w:r>
      <w:r w:rsidR="00987F8E">
        <w:t>btw</w:t>
      </w:r>
      <w:r w:rsidR="001F50AF">
        <w:t>-regelgeving.</w:t>
      </w:r>
      <w:r w:rsidR="000B00F9">
        <w:t xml:space="preserve"> De </w:t>
      </w:r>
      <w:r w:rsidR="00A242BB">
        <w:t xml:space="preserve">in dit kader gemaakte voorstellen, worden aangevuld met enkele algemene beschouwingen aangaande de </w:t>
      </w:r>
      <w:r w:rsidR="00E6673B">
        <w:t>mogelijke inzet van indirecte belastingen met het oog op</w:t>
      </w:r>
      <w:r w:rsidR="00F75EFC">
        <w:t xml:space="preserve"> het behalen van de milieudoelstellingen. </w:t>
      </w:r>
    </w:p>
    <w:p w14:paraId="371BC718" w14:textId="402BD57B" w:rsidR="00B4324A" w:rsidRDefault="00B4324A">
      <w:pPr>
        <w:spacing w:after="0"/>
        <w:jc w:val="both"/>
      </w:pPr>
    </w:p>
    <w:p w14:paraId="6CA99C2F" w14:textId="77777777" w:rsidR="00987F8E" w:rsidRPr="00B21FAC" w:rsidRDefault="00987F8E" w:rsidP="00BA7E3E">
      <w:pPr>
        <w:spacing w:after="0"/>
        <w:jc w:val="both"/>
      </w:pPr>
    </w:p>
    <w:p w14:paraId="42039CF1" w14:textId="38AA6FD6" w:rsidR="00302D56" w:rsidRPr="00B21FAC" w:rsidRDefault="00302D56" w:rsidP="00275FEB">
      <w:pPr>
        <w:pStyle w:val="Kop2"/>
        <w:numPr>
          <w:ilvl w:val="0"/>
          <w:numId w:val="48"/>
        </w:numPr>
      </w:pPr>
      <w:bookmarkStart w:id="223" w:name="_Toc88822080"/>
      <w:bookmarkStart w:id="224" w:name="_Toc107210949"/>
      <w:r w:rsidRPr="00B21FAC">
        <w:t>Algemene duiding</w:t>
      </w:r>
      <w:bookmarkEnd w:id="223"/>
      <w:bookmarkEnd w:id="224"/>
    </w:p>
    <w:p w14:paraId="1442853D" w14:textId="77777777" w:rsidR="00302D56" w:rsidRPr="00B21FAC" w:rsidRDefault="00302D56" w:rsidP="00BA7E3E">
      <w:pPr>
        <w:spacing w:after="0"/>
        <w:jc w:val="both"/>
      </w:pPr>
    </w:p>
    <w:p w14:paraId="224673E0" w14:textId="77777777" w:rsidR="00302D56" w:rsidRPr="00B21FAC" w:rsidRDefault="00302D56" w:rsidP="00BA7E3E">
      <w:pPr>
        <w:spacing w:after="0"/>
        <w:jc w:val="both"/>
      </w:pPr>
    </w:p>
    <w:p w14:paraId="5DE3997F" w14:textId="2F88180F" w:rsidR="007F29C8" w:rsidRPr="00B21FAC" w:rsidRDefault="00001B41" w:rsidP="00BA7E3E">
      <w:pPr>
        <w:spacing w:after="0"/>
        <w:jc w:val="both"/>
      </w:pPr>
      <w:r w:rsidRPr="00B21FAC">
        <w:t>M</w:t>
      </w:r>
      <w:r w:rsidR="00EE5629" w:rsidRPr="00B21FAC">
        <w:t>ede in acht genomen dat de personenbelasting een meer geëigend instrument vormt om rekening te houden met de draagkracht</w:t>
      </w:r>
      <w:r w:rsidRPr="00B21FAC">
        <w:t>,</w:t>
      </w:r>
      <w:r w:rsidR="00DC4D85" w:rsidRPr="00B21FAC">
        <w:t xml:space="preserve"> verdient het aanbeveling om een grondige </w:t>
      </w:r>
      <w:r w:rsidR="00EE5629" w:rsidRPr="00B21FAC">
        <w:t xml:space="preserve">evaluatie </w:t>
      </w:r>
      <w:r w:rsidR="00DC4D85" w:rsidRPr="00B21FAC">
        <w:t xml:space="preserve">door te voeren </w:t>
      </w:r>
      <w:r w:rsidR="00EE5629" w:rsidRPr="00B21FAC">
        <w:t>van het nut en de opportuniteit van bestaande vrijstellingen / verlaagde tarieven</w:t>
      </w:r>
      <w:r w:rsidR="00821796" w:rsidRPr="00B21FAC">
        <w:t>, o.m. in het BTW-stelsel.</w:t>
      </w:r>
      <w:r w:rsidR="00914CDB" w:rsidRPr="00B21FAC">
        <w:t xml:space="preserve"> </w:t>
      </w:r>
    </w:p>
    <w:p w14:paraId="7DE4E194" w14:textId="77777777" w:rsidR="007F29C8" w:rsidRPr="00B21FAC" w:rsidRDefault="007F29C8" w:rsidP="00BA7E3E">
      <w:pPr>
        <w:spacing w:after="0"/>
        <w:jc w:val="both"/>
      </w:pPr>
    </w:p>
    <w:p w14:paraId="3444C03A" w14:textId="130FBF29" w:rsidR="00EE5629" w:rsidRPr="00B21FAC" w:rsidRDefault="00914CDB" w:rsidP="00BA7E3E">
      <w:pPr>
        <w:spacing w:after="0"/>
        <w:jc w:val="both"/>
      </w:pPr>
      <w:r w:rsidRPr="00B21FAC">
        <w:t xml:space="preserve">In wat volgt, worden alvast enkele denkpistes aangereikt om het Belgische BTW-stelsel te hervormen. Het verdient </w:t>
      </w:r>
      <w:r w:rsidR="0024442E" w:rsidRPr="00B21FAC">
        <w:t xml:space="preserve">daarbij </w:t>
      </w:r>
      <w:r w:rsidRPr="00B21FAC">
        <w:t>in ieder geval aanbeveling om d</w:t>
      </w:r>
      <w:r w:rsidR="00EE5629" w:rsidRPr="00B21FAC">
        <w:t xml:space="preserve">uidelijke anomalieën op korte termijn </w:t>
      </w:r>
      <w:r w:rsidRPr="00B21FAC">
        <w:t>aan te pakken</w:t>
      </w:r>
      <w:r w:rsidR="00EE5629" w:rsidRPr="00B21FAC">
        <w:t>. Zo bv. is het niet langer verantwoordb</w:t>
      </w:r>
      <w:r w:rsidR="0025482E">
        <w:t>aar</w:t>
      </w:r>
      <w:r w:rsidR="00EE5629" w:rsidRPr="00B21FAC">
        <w:t xml:space="preserve"> dat sterk vervuilende en achterhaalde brandstoffen, zoals brandhout en steenkool aan een verlaagd tarief van 6% of 12% worden onderworpen. Dit staat ook haaks op de duurzaamheid die de fiscaliteit voortaan zeer expliciet </w:t>
      </w:r>
      <w:r w:rsidR="0024442E" w:rsidRPr="00B21FAC">
        <w:t xml:space="preserve">zou </w:t>
      </w:r>
      <w:r w:rsidR="00EE5629" w:rsidRPr="00B21FAC">
        <w:t>nastreven.</w:t>
      </w:r>
    </w:p>
    <w:p w14:paraId="4C8F33C2" w14:textId="77777777" w:rsidR="00EE5629" w:rsidRPr="00B21FAC" w:rsidRDefault="00EE5629" w:rsidP="00BA7E3E">
      <w:pPr>
        <w:spacing w:after="0"/>
        <w:jc w:val="both"/>
      </w:pPr>
    </w:p>
    <w:p w14:paraId="2CC171C8" w14:textId="62DEF05D" w:rsidR="00EE5629" w:rsidRPr="00B21FAC" w:rsidRDefault="0002531F" w:rsidP="00BA7E3E">
      <w:pPr>
        <w:spacing w:after="0"/>
        <w:jc w:val="both"/>
      </w:pPr>
      <w:r w:rsidRPr="00B21FAC">
        <w:t>Voorts</w:t>
      </w:r>
      <w:r w:rsidR="00EE5629" w:rsidRPr="00B21FAC">
        <w:t xml:space="preserve"> </w:t>
      </w:r>
      <w:r w:rsidR="00DC4588" w:rsidRPr="00B21FAC">
        <w:t xml:space="preserve">kunnen </w:t>
      </w:r>
      <w:r w:rsidR="00EE5629" w:rsidRPr="00B21FAC">
        <w:t xml:space="preserve">indirecte belastingen </w:t>
      </w:r>
      <w:r w:rsidR="00DC4588" w:rsidRPr="00B21FAC">
        <w:t>i</w:t>
      </w:r>
      <w:r w:rsidR="00EE5629" w:rsidRPr="00B21FAC">
        <w:t xml:space="preserve">ngezet worden om externe effecten van productie en consumptie door te rekenen in de prijzen. De verschuiving naar milieugerelateerde fiscaliteit maakt hier een belangrijk aanvullend onderdeel van uit. Deze verschuiving </w:t>
      </w:r>
      <w:r w:rsidR="00FC2CCF" w:rsidRPr="00B21FAC">
        <w:t xml:space="preserve">kan </w:t>
      </w:r>
      <w:r w:rsidR="00EE5629" w:rsidRPr="00B21FAC">
        <w:t xml:space="preserve">zich uiten in het schrappen van allerhande fiscale uitgaven die verband houden met het gebruik van fossiele brandstoffen, en </w:t>
      </w:r>
      <w:r w:rsidR="00FC2CCF" w:rsidRPr="00B21FAC">
        <w:t xml:space="preserve">zou </w:t>
      </w:r>
      <w:r w:rsidR="00EE5629" w:rsidRPr="00B21FAC">
        <w:t xml:space="preserve">ook de invoering </w:t>
      </w:r>
      <w:r w:rsidR="00FC2CCF" w:rsidRPr="00B21FAC">
        <w:t xml:space="preserve">kunnen </w:t>
      </w:r>
      <w:r w:rsidR="00EE5629" w:rsidRPr="00B21FAC">
        <w:t>impliceren van nieuwe milieuheffingen. Deze oefening gebeurt uiteraard niet geïsoleerd, maar sluit aan bij internationale en Europese evoluties op dit vlak (cf. de Green Deal en het ‘Fit for 55’-programma). Binnen de FOD Financiën, wordt momenteel – samen met een externe partner – verder onderzocht hoe deze verschuiving naar duurzaamheidsfiscaliteit het best kan georganiseerd worden.</w:t>
      </w:r>
    </w:p>
    <w:p w14:paraId="1436CECA" w14:textId="77777777" w:rsidR="00EE5629" w:rsidRPr="00B21FAC" w:rsidRDefault="00EE5629" w:rsidP="00BA7E3E">
      <w:pPr>
        <w:spacing w:after="0"/>
        <w:jc w:val="both"/>
      </w:pPr>
    </w:p>
    <w:p w14:paraId="15A7D9A7" w14:textId="5E2534DA" w:rsidR="00EE5629" w:rsidRPr="00B21FAC" w:rsidRDefault="00EE5629" w:rsidP="00BA7E3E">
      <w:pPr>
        <w:spacing w:after="0"/>
        <w:jc w:val="both"/>
      </w:pPr>
      <w:r w:rsidRPr="00B21FAC">
        <w:t>Deze shift noodzaakt voorts een flankerend beleid dat ertoe strekt de concurrentiepositie van bedrijven en de koopkracht van gezinnen te vrijwaren.</w:t>
      </w:r>
    </w:p>
    <w:p w14:paraId="63558CF8" w14:textId="77777777" w:rsidR="00EE5629" w:rsidRPr="00B21FAC" w:rsidRDefault="00EE5629" w:rsidP="00BA7E3E">
      <w:pPr>
        <w:spacing w:after="0"/>
        <w:jc w:val="both"/>
      </w:pPr>
    </w:p>
    <w:p w14:paraId="640DF3DD" w14:textId="037EB204" w:rsidR="00EE5629" w:rsidRPr="00B21FAC" w:rsidRDefault="00EE5629" w:rsidP="00BA7E3E">
      <w:pPr>
        <w:spacing w:after="0"/>
        <w:jc w:val="both"/>
      </w:pPr>
      <w:r w:rsidRPr="00B21FAC">
        <w:t xml:space="preserve">Bijzondere aandacht is daarbij nodig voor de </w:t>
      </w:r>
      <w:r w:rsidR="006A3B87">
        <w:t xml:space="preserve">mogelijke </w:t>
      </w:r>
      <w:r w:rsidRPr="00B21FAC">
        <w:t xml:space="preserve">effecten van de verhoging van indirecte belastingen op arbeids- en andere kosten via de talrijke indexeringsmechanismen, alsook voor de invloed daarvan op de loonnorm. </w:t>
      </w:r>
      <w:r w:rsidR="006A1BDE">
        <w:t>Een dergelijk prijseffect kan negatief zijn voor de economische groei en de werkgele</w:t>
      </w:r>
      <w:r w:rsidR="000B6B2D">
        <w:t>genheid</w:t>
      </w:r>
      <w:r w:rsidR="009D6130">
        <w:t xml:space="preserve"> en impacteert dus ook </w:t>
      </w:r>
      <w:r w:rsidR="0069306C">
        <w:t>het overheidstekort</w:t>
      </w:r>
      <w:r w:rsidR="000C51C6">
        <w:t xml:space="preserve">. </w:t>
      </w:r>
      <w:r w:rsidRPr="00B21FAC">
        <w:t xml:space="preserve">In voorkomend geval kan dit niet gewenst effect opgevangen worden door een deel van de opbrengsten aan te wenden voor de verlaging van de </w:t>
      </w:r>
      <w:r w:rsidR="00644E1E">
        <w:t>werkgevers</w:t>
      </w:r>
      <w:r w:rsidRPr="00B21FAC">
        <w:t>bijdragen</w:t>
      </w:r>
      <w:r w:rsidR="00FB499C">
        <w:t xml:space="preserve"> in de sociale zekerheid</w:t>
      </w:r>
      <w:r w:rsidRPr="00B21FAC">
        <w:t>.</w:t>
      </w:r>
    </w:p>
    <w:p w14:paraId="06514319" w14:textId="77777777" w:rsidR="00EE5629" w:rsidRPr="00B21FAC" w:rsidRDefault="00EE5629" w:rsidP="00BA7E3E">
      <w:pPr>
        <w:spacing w:after="0"/>
        <w:jc w:val="both"/>
      </w:pPr>
    </w:p>
    <w:p w14:paraId="7687D971" w14:textId="2F5F80B2" w:rsidR="00EE5629" w:rsidRPr="00B21FAC" w:rsidRDefault="006C2335" w:rsidP="00BA7E3E">
      <w:pPr>
        <w:spacing w:after="0"/>
        <w:jc w:val="both"/>
      </w:pPr>
      <w:r>
        <w:t>I</w:t>
      </w:r>
      <w:r w:rsidR="00EE5629" w:rsidRPr="00B21FAC">
        <w:t>ndexeringsmechanismen compenseren voorts de modale gezinnen voor het koopkrachtverlies veroorzaakt door de verhoging van indirecte belastingen</w:t>
      </w:r>
      <w:r>
        <w:t xml:space="preserve">, met dien verstande dat uiteindelijk de loonnorm </w:t>
      </w:r>
      <w:r w:rsidR="005C264D">
        <w:t>in rekening moet worden gebracht</w:t>
      </w:r>
      <w:r w:rsidR="00EE5629" w:rsidRPr="00B21FAC">
        <w:t xml:space="preserve">. Specifieke belastingverhogingen kunnen echter sommige inkomenscategorieën meer treffen dan de modale gezinnen. Onderzocht moet worden of specifieke maatregelen van inkomens- en armoedebeleid zich daarvoor opdringen. </w:t>
      </w:r>
    </w:p>
    <w:p w14:paraId="0B8D68C1" w14:textId="0632DBF5" w:rsidR="00EE5629" w:rsidRDefault="00EE5629" w:rsidP="00BA7E3E">
      <w:pPr>
        <w:spacing w:after="0"/>
        <w:jc w:val="both"/>
      </w:pPr>
    </w:p>
    <w:p w14:paraId="682CEBD7" w14:textId="6D9F9292" w:rsidR="000116BA" w:rsidRDefault="000116BA" w:rsidP="00BA7E3E">
      <w:pPr>
        <w:spacing w:after="0"/>
        <w:jc w:val="both"/>
      </w:pPr>
      <w:r>
        <w:t>Bij dit alles moet er ook rekening mee worden gehouden dat</w:t>
      </w:r>
      <w:r w:rsidR="00462891">
        <w:t xml:space="preserve">, </w:t>
      </w:r>
      <w:r w:rsidR="00CD549A">
        <w:t>in acht genomen</w:t>
      </w:r>
      <w:r w:rsidR="00462891">
        <w:t xml:space="preserve"> de doelstelling van duurzaamheid, de prijsprikkels middels </w:t>
      </w:r>
      <w:r w:rsidR="003F1A68">
        <w:t xml:space="preserve">bv. accijnzen of een CO2-heffing </w:t>
      </w:r>
      <w:r w:rsidR="006A67F5">
        <w:t>z</w:t>
      </w:r>
      <w:r w:rsidR="00CD549A">
        <w:t>ul</w:t>
      </w:r>
      <w:r w:rsidR="006A67F5">
        <w:t>l</w:t>
      </w:r>
      <w:r w:rsidR="00CD549A">
        <w:t>en</w:t>
      </w:r>
      <w:r w:rsidR="006A67F5">
        <w:t xml:space="preserve"> leiden tot een subst</w:t>
      </w:r>
      <w:r w:rsidR="009E50E9">
        <w:t>it</w:t>
      </w:r>
      <w:r w:rsidR="006A67F5">
        <w:t>utie binnen de particuliere consumptie</w:t>
      </w:r>
      <w:r w:rsidR="009E50E9">
        <w:t xml:space="preserve"> (inzonderheid minder energieverbruik). Hierdoor wordt de belastbare materie zelf dus aangetast, met een evident negatief effect op de fiscale </w:t>
      </w:r>
      <w:r w:rsidR="006C7703">
        <w:t>ontvangsten</w:t>
      </w:r>
      <w:r w:rsidR="009E50E9">
        <w:t>.</w:t>
      </w:r>
    </w:p>
    <w:p w14:paraId="1E70793F" w14:textId="023E87A0" w:rsidR="00301FF2" w:rsidRDefault="00301FF2">
      <w:r>
        <w:br w:type="page"/>
      </w:r>
    </w:p>
    <w:p w14:paraId="33E5B8E7" w14:textId="77777777" w:rsidR="000116BA" w:rsidRPr="00B21FAC" w:rsidRDefault="000116BA" w:rsidP="00BA7E3E">
      <w:pPr>
        <w:spacing w:after="0"/>
        <w:jc w:val="both"/>
      </w:pPr>
    </w:p>
    <w:p w14:paraId="38030F4A" w14:textId="686E5CAD" w:rsidR="001A6EAB" w:rsidRPr="00B21FAC" w:rsidRDefault="001A6EAB" w:rsidP="00275FEB">
      <w:pPr>
        <w:spacing w:after="0"/>
      </w:pPr>
    </w:p>
    <w:p w14:paraId="6CE64E08" w14:textId="2FCBA25B" w:rsidR="001A6EAB" w:rsidRPr="00B21FAC" w:rsidRDefault="00AB15AB" w:rsidP="00275FEB">
      <w:pPr>
        <w:pStyle w:val="Kop2"/>
        <w:numPr>
          <w:ilvl w:val="0"/>
          <w:numId w:val="48"/>
        </w:numPr>
      </w:pPr>
      <w:bookmarkStart w:id="225" w:name="_Toc88822166"/>
      <w:bookmarkStart w:id="226" w:name="_Toc107210950"/>
      <w:r w:rsidRPr="00B21FAC">
        <w:t>Een meer neutra</w:t>
      </w:r>
      <w:r w:rsidR="00856CB1" w:rsidRPr="00B21FAC">
        <w:t>al btw-stelsel</w:t>
      </w:r>
      <w:bookmarkEnd w:id="225"/>
      <w:bookmarkEnd w:id="226"/>
    </w:p>
    <w:p w14:paraId="1A644CB4" w14:textId="77777777" w:rsidR="002B3E85" w:rsidRPr="00B21FAC" w:rsidRDefault="002B3E85" w:rsidP="00275FEB">
      <w:pPr>
        <w:spacing w:after="0"/>
      </w:pPr>
    </w:p>
    <w:p w14:paraId="1A6CF1DE" w14:textId="2A5517A7" w:rsidR="002B3E85" w:rsidRPr="00B21FAC" w:rsidRDefault="002B3E85" w:rsidP="00275FEB">
      <w:pPr>
        <w:spacing w:after="0"/>
      </w:pPr>
    </w:p>
    <w:p w14:paraId="1D791C1D" w14:textId="27101AE3" w:rsidR="00122C85" w:rsidRPr="00B21FAC" w:rsidRDefault="00CE3327" w:rsidP="00275FEB">
      <w:pPr>
        <w:pStyle w:val="Kop3"/>
        <w:numPr>
          <w:ilvl w:val="0"/>
          <w:numId w:val="49"/>
        </w:numPr>
      </w:pPr>
      <w:bookmarkStart w:id="227" w:name="_Toc107210951"/>
      <w:r w:rsidRPr="00B21FAC">
        <w:t>De btw-</w:t>
      </w:r>
      <w:r w:rsidR="000F5493" w:rsidRPr="00B21FAC">
        <w:t>(in)</w:t>
      </w:r>
      <w:r w:rsidRPr="00B21FAC">
        <w:t>efficiëntie</w:t>
      </w:r>
      <w:bookmarkEnd w:id="227"/>
    </w:p>
    <w:p w14:paraId="7F3EB24B" w14:textId="69E3767D" w:rsidR="00122C85" w:rsidRPr="00B21FAC" w:rsidRDefault="00122C85" w:rsidP="00275FEB">
      <w:pPr>
        <w:spacing w:after="0"/>
      </w:pPr>
    </w:p>
    <w:p w14:paraId="56459B43" w14:textId="77777777" w:rsidR="00122C85" w:rsidRPr="00B21FAC" w:rsidRDefault="00122C85" w:rsidP="00275FEB">
      <w:pPr>
        <w:spacing w:after="0"/>
      </w:pPr>
    </w:p>
    <w:p w14:paraId="41B2C0F1" w14:textId="07A75AD2" w:rsidR="002B3E85" w:rsidRPr="00B21FAC" w:rsidRDefault="002B3E85" w:rsidP="00275FEB">
      <w:pPr>
        <w:spacing w:after="0"/>
        <w:jc w:val="both"/>
      </w:pPr>
      <w:r w:rsidRPr="00B21FAC">
        <w:t xml:space="preserve">De BTW-efficiëntie in België ligt </w:t>
      </w:r>
      <w:r w:rsidR="00D8519D" w:rsidRPr="00B21FAC">
        <w:t xml:space="preserve">alvast </w:t>
      </w:r>
      <w:r w:rsidRPr="00B21FAC">
        <w:t xml:space="preserve">zeer laag. Er is dus veel ruimte om hieraan </w:t>
      </w:r>
      <w:r w:rsidR="00FB499C">
        <w:t>te remediëren</w:t>
      </w:r>
      <w:r w:rsidRPr="00B21FAC">
        <w:t xml:space="preserve"> middels </w:t>
      </w:r>
      <w:r w:rsidR="00CC4637" w:rsidRPr="00B21FAC">
        <w:t xml:space="preserve">bv. </w:t>
      </w:r>
      <w:r w:rsidRPr="00B21FAC">
        <w:t xml:space="preserve">het opheffen van bestaande vrijstellingen en het optrekken en convergeren van de verlaagde tarieven. Ook een algemene tariefverhoging kan niet </w:t>
      </w:r>
      <w:r w:rsidRPr="00B21FAC">
        <w:rPr>
          <w:i/>
          <w:iCs/>
        </w:rPr>
        <w:t>a priori</w:t>
      </w:r>
      <w:r w:rsidRPr="00B21FAC">
        <w:t xml:space="preserve"> uitgesloten worden. </w:t>
      </w:r>
    </w:p>
    <w:p w14:paraId="01A0A7E2" w14:textId="6B3C39F7" w:rsidR="002B3E85" w:rsidRPr="00B21FAC" w:rsidRDefault="002B3E85" w:rsidP="00275FEB">
      <w:pPr>
        <w:spacing w:after="0"/>
        <w:jc w:val="both"/>
      </w:pPr>
    </w:p>
    <w:p w14:paraId="0088A29C" w14:textId="7B1FCBC9" w:rsidR="00665D5C" w:rsidRPr="00B21FAC" w:rsidRDefault="00665D5C" w:rsidP="00275FEB">
      <w:pPr>
        <w:spacing w:after="0"/>
        <w:jc w:val="both"/>
      </w:pPr>
      <w:r w:rsidRPr="00B21FAC">
        <w:t xml:space="preserve">Deze inefficiëntie blijkt inzonderheid </w:t>
      </w:r>
      <w:r w:rsidR="00D40ADF" w:rsidRPr="00B21FAC">
        <w:t xml:space="preserve">uit </w:t>
      </w:r>
      <w:r w:rsidR="003559C4" w:rsidRPr="00B21FAC">
        <w:t>de ‘VAT-revenu</w:t>
      </w:r>
      <w:r w:rsidR="00194EA6" w:rsidRPr="00B21FAC">
        <w:t>e</w:t>
      </w:r>
      <w:r w:rsidR="003559C4" w:rsidRPr="00B21FAC">
        <w:t xml:space="preserve"> ratio’.</w:t>
      </w:r>
    </w:p>
    <w:p w14:paraId="0D6B4CF4" w14:textId="77777777" w:rsidR="000E6FAE" w:rsidRPr="00B21FAC" w:rsidRDefault="000E6FAE" w:rsidP="00275FEB">
      <w:pPr>
        <w:spacing w:after="0"/>
        <w:jc w:val="both"/>
      </w:pPr>
    </w:p>
    <w:p w14:paraId="26890696" w14:textId="3A53CF3B" w:rsidR="00CA6C1F" w:rsidRPr="00B21FAC" w:rsidRDefault="00CA6C1F" w:rsidP="00275FEB">
      <w:pPr>
        <w:spacing w:after="0"/>
        <w:jc w:val="both"/>
      </w:pPr>
      <w:r w:rsidRPr="00B21FAC">
        <w:t>Jaarlijks berekent de OESO de</w:t>
      </w:r>
      <w:r w:rsidR="00C95A0F">
        <w:t>ze</w:t>
      </w:r>
      <w:r w:rsidRPr="00B21FAC">
        <w:t xml:space="preserve"> zogenaamde VAT revenue ratio. De</w:t>
      </w:r>
      <w:r w:rsidR="00E0143E">
        <w:t xml:space="preserve">ze geeft </w:t>
      </w:r>
      <w:r w:rsidRPr="00B21FAC">
        <w:t>de verhouding tussen enerzijds de werkelijk geïnde btw en anderzijds de theoretisch inbare btw, mochten alle verkopen van goederen en diensten worden onderworpen aan het normale btw-tarief en alle btw over deze verkopen daadwerkelijk worden geïnd (i.e. de maximale theoretische btw-opbrengst bij veralgemeende belastingheffing aan het normale btw-tarief).</w:t>
      </w:r>
    </w:p>
    <w:p w14:paraId="4DD66BB3" w14:textId="77777777" w:rsidR="00CA6C1F" w:rsidRPr="00B21FAC" w:rsidRDefault="00CA6C1F" w:rsidP="00275FEB">
      <w:pPr>
        <w:spacing w:after="0"/>
        <w:jc w:val="both"/>
      </w:pPr>
    </w:p>
    <w:p w14:paraId="71CE6B7A" w14:textId="43B8B96B" w:rsidR="00CA6C1F" w:rsidRPr="00B21FAC" w:rsidRDefault="00CA6C1F" w:rsidP="00275FEB">
      <w:pPr>
        <w:spacing w:after="0"/>
        <w:jc w:val="both"/>
      </w:pPr>
      <w:r w:rsidRPr="00B21FAC">
        <w:t>België heeft een VAT revenue ratio van slechts 47% (2018, laatst bekend cijfer, in 1980 was dit 61%, in 2006 was dit 51%). Dit betekent dat op elke 100 euro verkochte goederen en diensten waarop in een zuiver btw-systeem 21 euro btw zou moeten drukken, de consument gemiddeld slechts 10 euro btw betaalt. In andere Europese landen is de VAT revenue ratio beduidend hoger: NL: 53%, DE: 57%, SE: 59%, DK: 62%. Het OESO-gemiddelde blijft sinds 2016 stabiel op 56%.</w:t>
      </w:r>
    </w:p>
    <w:p w14:paraId="20AE28F2" w14:textId="77777777" w:rsidR="00BE5A1D" w:rsidRPr="00B21FAC" w:rsidRDefault="00BE5A1D" w:rsidP="00275FEB">
      <w:pPr>
        <w:spacing w:after="0"/>
        <w:jc w:val="both"/>
      </w:pPr>
    </w:p>
    <w:p w14:paraId="16FE0FFF" w14:textId="71A30220" w:rsidR="00CA6C1F" w:rsidRPr="00B21FAC" w:rsidRDefault="009208DF" w:rsidP="00275FEB">
      <w:pPr>
        <w:spacing w:after="0"/>
        <w:jc w:val="both"/>
      </w:pPr>
      <w:r>
        <w:t>Onverminderd het nemen van maatregelen die de compliance verhogen, kan d</w:t>
      </w:r>
      <w:r w:rsidR="00CA6C1F" w:rsidRPr="00B21FAC">
        <w:t>e VAT revenue ratio worden verbeterd door het aantal goederen en diensten onderworpen aan verlaagde btw-tarieven en btw-vrijstellingen te verminderen, doch niet door een verhoging van het normale btw-tarief.</w:t>
      </w:r>
    </w:p>
    <w:p w14:paraId="7707FF87" w14:textId="4108B37F" w:rsidR="003559C4" w:rsidRPr="00B21FAC" w:rsidRDefault="003559C4" w:rsidP="00275FEB">
      <w:pPr>
        <w:spacing w:after="0"/>
        <w:jc w:val="both"/>
      </w:pPr>
    </w:p>
    <w:p w14:paraId="6292F430" w14:textId="4876CB7F" w:rsidR="00A86BE4" w:rsidRPr="000E6FAE" w:rsidRDefault="00A86BE4" w:rsidP="00275FEB">
      <w:pPr>
        <w:spacing w:after="0"/>
        <w:jc w:val="both"/>
      </w:pPr>
      <w:bookmarkStart w:id="228" w:name="_Hlk85374115"/>
      <w:r w:rsidRPr="00E669D6">
        <w:rPr>
          <w:u w:val="single"/>
        </w:rPr>
        <w:t>PM:</w:t>
      </w:r>
      <w:r w:rsidRPr="00E669D6">
        <w:t xml:space="preserve"> De VAT revenue ratio</w:t>
      </w:r>
      <w:r w:rsidR="00A41815">
        <w:t>, zoals berekend door de OESO,</w:t>
      </w:r>
      <w:r w:rsidRPr="00E669D6">
        <w:t xml:space="preserve"> moet </w:t>
      </w:r>
      <w:r w:rsidR="0080429C">
        <w:t xml:space="preserve">methodologisch </w:t>
      </w:r>
      <w:r w:rsidRPr="00E669D6">
        <w:t>wo</w:t>
      </w:r>
      <w:r>
        <w:t xml:space="preserve">rden onderscheiden van </w:t>
      </w:r>
      <w:r w:rsidRPr="00E669D6">
        <w:t xml:space="preserve">de VAT </w:t>
      </w:r>
      <w:r w:rsidR="00B5051E">
        <w:t>(</w:t>
      </w:r>
      <w:r>
        <w:t>compliance</w:t>
      </w:r>
      <w:r w:rsidR="00B5051E">
        <w:t>)</w:t>
      </w:r>
      <w:r w:rsidRPr="00E669D6">
        <w:t xml:space="preserve"> gap</w:t>
      </w:r>
      <w:r w:rsidR="00AC3A13">
        <w:t xml:space="preserve"> die </w:t>
      </w:r>
      <w:r>
        <w:t>s</w:t>
      </w:r>
      <w:r w:rsidRPr="000E6FAE">
        <w:t xml:space="preserve">inds 2013 </w:t>
      </w:r>
      <w:r>
        <w:t xml:space="preserve">in opdracht van de </w:t>
      </w:r>
      <w:r w:rsidRPr="000E6FAE">
        <w:t xml:space="preserve">Europese Commissie </w:t>
      </w:r>
      <w:r w:rsidR="00011CBD">
        <w:t xml:space="preserve">wordt </w:t>
      </w:r>
      <w:r>
        <w:t>berekend</w:t>
      </w:r>
      <w:r w:rsidRPr="000E6FAE">
        <w:t xml:space="preserve">. </w:t>
      </w:r>
      <w:r w:rsidRPr="000E6FAE">
        <w:rPr>
          <w:lang w:val="nl-NL"/>
        </w:rPr>
        <w:t xml:space="preserve">De VAT </w:t>
      </w:r>
      <w:r>
        <w:rPr>
          <w:lang w:val="nl-NL"/>
        </w:rPr>
        <w:t xml:space="preserve">compliance </w:t>
      </w:r>
      <w:r w:rsidRPr="000E6FAE">
        <w:rPr>
          <w:lang w:val="nl-NL"/>
        </w:rPr>
        <w:t xml:space="preserve">gap wordt </w:t>
      </w:r>
      <w:r>
        <w:rPr>
          <w:lang w:val="nl-NL"/>
        </w:rPr>
        <w:t>gedefinieerd</w:t>
      </w:r>
      <w:r w:rsidRPr="000E6FAE">
        <w:rPr>
          <w:lang w:val="nl-NL"/>
        </w:rPr>
        <w:t xml:space="preserve"> als het verschil tussen het daadwerkelijk geïnde btw-bedrag en de zogenaamde VAT Total Tax Liability (VTTL) </w:t>
      </w:r>
      <w:r w:rsidR="004E1F37">
        <w:rPr>
          <w:lang w:val="nl-NL"/>
        </w:rPr>
        <w:t>(</w:t>
      </w:r>
      <w:r w:rsidRPr="000E6FAE">
        <w:rPr>
          <w:lang w:val="nl-NL"/>
        </w:rPr>
        <w:t>namelijk de totale theoretische btw-opbrengsten volgens de vigerende btw-regelgeving</w:t>
      </w:r>
      <w:r w:rsidR="004E1F37">
        <w:rPr>
          <w:lang w:val="nl-NL"/>
        </w:rPr>
        <w:t>)</w:t>
      </w:r>
      <w:r w:rsidRPr="000E6FAE">
        <w:rPr>
          <w:lang w:val="nl-NL"/>
        </w:rPr>
        <w:t>.</w:t>
      </w:r>
      <w:r w:rsidRPr="000E6FAE">
        <w:t xml:space="preserve"> De VAT </w:t>
      </w:r>
      <w:r>
        <w:t xml:space="preserve">compliance </w:t>
      </w:r>
      <w:r w:rsidRPr="000E6FAE">
        <w:t>gap weerspiegelt dus de verhouding tussen enerzijds de werkelijke btw-ontvangsten en anderzijds de theoretisch netto verschuldigde btw, rekening houdend met de categorieën van uitgaven waarover niet-aftrekbare btw wordt geheven.</w:t>
      </w:r>
    </w:p>
    <w:p w14:paraId="3AAECA54" w14:textId="1069A1BA" w:rsidR="00A86BE4" w:rsidRPr="000E6FAE" w:rsidRDefault="00A86BE4" w:rsidP="00275FEB">
      <w:pPr>
        <w:spacing w:after="0"/>
        <w:jc w:val="both"/>
      </w:pPr>
      <w:r w:rsidRPr="000E6FAE">
        <w:t xml:space="preserve">De VAT </w:t>
      </w:r>
      <w:r>
        <w:t xml:space="preserve">compliance </w:t>
      </w:r>
      <w:r w:rsidRPr="000E6FAE">
        <w:t>gap voor België wordt geschat op 1</w:t>
      </w:r>
      <w:r w:rsidR="006C19C9">
        <w:t>2,3</w:t>
      </w:r>
      <w:r w:rsidRPr="000E6FAE">
        <w:t>% (201</w:t>
      </w:r>
      <w:r w:rsidR="006C19C9">
        <w:t>9</w:t>
      </w:r>
      <w:r w:rsidRPr="000E6FAE">
        <w:t>, laatst bekend cijfer, tussen 201</w:t>
      </w:r>
      <w:r w:rsidR="006C19C9">
        <w:t>5</w:t>
      </w:r>
      <w:r w:rsidRPr="000E6FAE">
        <w:t xml:space="preserve"> en 201</w:t>
      </w:r>
      <w:r w:rsidR="00393173">
        <w:t>9</w:t>
      </w:r>
      <w:r w:rsidRPr="000E6FAE">
        <w:t xml:space="preserve"> schommelende het cijfer steeds tussen </w:t>
      </w:r>
      <w:r w:rsidR="00393173">
        <w:t>10,</w:t>
      </w:r>
      <w:r w:rsidRPr="000E6FAE">
        <w:t xml:space="preserve">9% en </w:t>
      </w:r>
      <w:r w:rsidR="00393173">
        <w:t>12,6</w:t>
      </w:r>
      <w:r w:rsidRPr="000E6FAE">
        <w:t xml:space="preserve">%). Dit betekent dat </w:t>
      </w:r>
      <w:r w:rsidR="00393173">
        <w:t>12,3</w:t>
      </w:r>
      <w:r w:rsidRPr="000E6FAE">
        <w:t xml:space="preserve">% van de potentiële btw-ontvangsten niet terecht komt in de Schatkist. In sommige buurlanden en Scandinavische landen is de VAT </w:t>
      </w:r>
      <w:r>
        <w:t xml:space="preserve">compliance </w:t>
      </w:r>
      <w:r w:rsidRPr="000E6FAE">
        <w:t>gap beduidend lager: NL: 4,</w:t>
      </w:r>
      <w:r w:rsidR="00093CC4">
        <w:t>4</w:t>
      </w:r>
      <w:r w:rsidRPr="000E6FAE">
        <w:t>%, DE: 8,</w:t>
      </w:r>
      <w:r w:rsidR="00076606">
        <w:t>8</w:t>
      </w:r>
      <w:r w:rsidRPr="000E6FAE">
        <w:t>%, FR: 7,</w:t>
      </w:r>
      <w:r w:rsidR="00DA3EE5">
        <w:t>4</w:t>
      </w:r>
      <w:r w:rsidRPr="000E6FAE">
        <w:t>%</w:t>
      </w:r>
      <w:r w:rsidR="0005765E">
        <w:t>,</w:t>
      </w:r>
      <w:r w:rsidRPr="000E6FAE">
        <w:t xml:space="preserve"> SE: </w:t>
      </w:r>
      <w:r w:rsidR="005D63EF">
        <w:t>1,4</w:t>
      </w:r>
      <w:r w:rsidRPr="000E6FAE">
        <w:t xml:space="preserve">%, DK: </w:t>
      </w:r>
      <w:r w:rsidR="00D0221E">
        <w:t>8,6</w:t>
      </w:r>
      <w:r w:rsidRPr="000E6FAE">
        <w:t xml:space="preserve">%. Het EU-28 gemiddelde bedraagt: </w:t>
      </w:r>
      <w:r w:rsidR="00990B5C">
        <w:t>10,3</w:t>
      </w:r>
      <w:r w:rsidRPr="000E6FAE">
        <w:t>% (allemaal cijfers 201</w:t>
      </w:r>
      <w:r w:rsidR="00990B5C">
        <w:t>9</w:t>
      </w:r>
      <w:r w:rsidRPr="000E6FAE">
        <w:t>).</w:t>
      </w:r>
    </w:p>
    <w:p w14:paraId="5E94B9C7" w14:textId="77777777" w:rsidR="00A86BE4" w:rsidRPr="000E6FAE" w:rsidRDefault="00A86BE4" w:rsidP="00275FEB">
      <w:pPr>
        <w:spacing w:after="0"/>
        <w:jc w:val="both"/>
      </w:pPr>
      <w:r w:rsidRPr="000E6FAE">
        <w:t xml:space="preserve">De VAT </w:t>
      </w:r>
      <w:r>
        <w:t xml:space="preserve">compliance </w:t>
      </w:r>
      <w:r w:rsidRPr="000E6FAE">
        <w:t>gap kan worden verbeterd door te werken op onder meer fraudebestrijding en efficiënte invorderings- en controlesystemen. Lidstaten ontlopen btw-ontvangsten niet enkel door fraude. Andere oorzaken zijn bijvoorbeeld faillissementen, statistische fouten, uitgestelde betalingen, toepassing foutief btw-regime (vb. verkoop op afstand bij e-commerce), enz.</w:t>
      </w:r>
    </w:p>
    <w:p w14:paraId="7926F9DB" w14:textId="77777777" w:rsidR="00CC4637" w:rsidRPr="00B21FAC" w:rsidRDefault="00CC4637" w:rsidP="00BA7E3E">
      <w:pPr>
        <w:spacing w:after="0"/>
      </w:pPr>
    </w:p>
    <w:p w14:paraId="53514EFC" w14:textId="715007D7" w:rsidR="009C4BF0" w:rsidRPr="00B21FAC" w:rsidRDefault="009C4BF0" w:rsidP="00BA7E3E">
      <w:pPr>
        <w:spacing w:after="0"/>
        <w:jc w:val="both"/>
      </w:pPr>
    </w:p>
    <w:p w14:paraId="2649AB55" w14:textId="0D629E4C" w:rsidR="009C4BF0" w:rsidRPr="00B21FAC" w:rsidRDefault="009C4BF0" w:rsidP="00BA7E3E">
      <w:pPr>
        <w:pStyle w:val="Kop3"/>
        <w:numPr>
          <w:ilvl w:val="0"/>
          <w:numId w:val="49"/>
        </w:numPr>
        <w:spacing w:before="0"/>
      </w:pPr>
      <w:bookmarkStart w:id="229" w:name="_Toc107210952"/>
      <w:r w:rsidRPr="00B21FAC">
        <w:t>Een wijziging van het tariefstelsel</w:t>
      </w:r>
      <w:bookmarkEnd w:id="229"/>
    </w:p>
    <w:p w14:paraId="45DFBBC2" w14:textId="3332ED4D" w:rsidR="009C4BF0" w:rsidRPr="00B21FAC" w:rsidRDefault="009C4BF0" w:rsidP="00BA7E3E">
      <w:pPr>
        <w:spacing w:after="0"/>
        <w:jc w:val="both"/>
      </w:pPr>
    </w:p>
    <w:p w14:paraId="6B210329" w14:textId="5E63A365" w:rsidR="003A740F" w:rsidRPr="00B21FAC" w:rsidRDefault="003A740F" w:rsidP="00BA7E3E">
      <w:pPr>
        <w:spacing w:after="0"/>
        <w:jc w:val="both"/>
      </w:pPr>
    </w:p>
    <w:p w14:paraId="4C48BA7A" w14:textId="7119F9AD" w:rsidR="00B6186D" w:rsidRPr="00B21FAC" w:rsidRDefault="00404053" w:rsidP="00BA7E3E">
      <w:pPr>
        <w:spacing w:after="0"/>
        <w:jc w:val="both"/>
      </w:pPr>
      <w:r w:rsidRPr="00B21FAC">
        <w:t xml:space="preserve">Er zijn heel wat maatregelen, verband </w:t>
      </w:r>
      <w:r w:rsidR="002838E7" w:rsidRPr="00B21FAC">
        <w:t>houden</w:t>
      </w:r>
      <w:r w:rsidRPr="00B21FAC">
        <w:t xml:space="preserve">d </w:t>
      </w:r>
      <w:r w:rsidR="002838E7" w:rsidRPr="00B21FAC">
        <w:t>met het tariefstelsel</w:t>
      </w:r>
      <w:r w:rsidRPr="00B21FAC">
        <w:t>, die kunnen overwogen worden</w:t>
      </w:r>
      <w:r w:rsidR="00B6186D" w:rsidRPr="00B21FAC">
        <w:t>.</w:t>
      </w:r>
    </w:p>
    <w:p w14:paraId="25F8627D" w14:textId="77777777" w:rsidR="004E641D" w:rsidRPr="00B21FAC" w:rsidRDefault="004E641D" w:rsidP="00BA7E3E">
      <w:pPr>
        <w:spacing w:after="0"/>
        <w:rPr>
          <w:rFonts w:cs="Arial"/>
          <w:szCs w:val="20"/>
        </w:rPr>
      </w:pPr>
    </w:p>
    <w:p w14:paraId="6F00E8FB" w14:textId="01783D49" w:rsidR="00987675" w:rsidRPr="00B21FAC" w:rsidRDefault="004935B6" w:rsidP="00BA7E3E">
      <w:pPr>
        <w:pStyle w:val="Lijstalinea"/>
        <w:numPr>
          <w:ilvl w:val="0"/>
          <w:numId w:val="59"/>
        </w:numPr>
        <w:spacing w:after="0"/>
        <w:ind w:left="426" w:hanging="426"/>
        <w:jc w:val="both"/>
        <w:rPr>
          <w:rFonts w:cs="Arial"/>
          <w:b/>
          <w:szCs w:val="20"/>
        </w:rPr>
      </w:pPr>
      <w:r w:rsidRPr="00B21FAC">
        <w:rPr>
          <w:rFonts w:cs="Arial"/>
          <w:b/>
          <w:szCs w:val="20"/>
        </w:rPr>
        <w:t>De afschaffing van</w:t>
      </w:r>
      <w:r w:rsidR="004E641D" w:rsidRPr="00B21FAC">
        <w:rPr>
          <w:rFonts w:cs="Arial"/>
          <w:b/>
          <w:szCs w:val="20"/>
        </w:rPr>
        <w:t xml:space="preserve"> één van beide verlaagde btw-tarieven</w:t>
      </w:r>
    </w:p>
    <w:p w14:paraId="32F8C8A6" w14:textId="77777777" w:rsidR="00987675" w:rsidRPr="00B21FAC" w:rsidRDefault="00987675" w:rsidP="00BA7E3E">
      <w:pPr>
        <w:spacing w:after="0"/>
        <w:jc w:val="both"/>
        <w:rPr>
          <w:rFonts w:cs="Arial"/>
          <w:szCs w:val="20"/>
        </w:rPr>
      </w:pPr>
    </w:p>
    <w:p w14:paraId="09FEC6AB" w14:textId="718115DB" w:rsidR="0020394C" w:rsidRPr="00B21FAC" w:rsidRDefault="00987675" w:rsidP="00BA7E3E">
      <w:pPr>
        <w:spacing w:after="0"/>
        <w:jc w:val="both"/>
        <w:rPr>
          <w:rFonts w:cs="Arial"/>
          <w:szCs w:val="20"/>
        </w:rPr>
      </w:pPr>
      <w:r w:rsidRPr="00B21FAC">
        <w:rPr>
          <w:rFonts w:cs="Arial"/>
          <w:szCs w:val="20"/>
        </w:rPr>
        <w:t xml:space="preserve">Een dergelijke </w:t>
      </w:r>
      <w:r w:rsidR="004E641D" w:rsidRPr="00B21FAC">
        <w:rPr>
          <w:rFonts w:cs="Arial"/>
          <w:szCs w:val="20"/>
        </w:rPr>
        <w:t xml:space="preserve">maatregel kan </w:t>
      </w:r>
      <w:r w:rsidRPr="00B21FAC">
        <w:rPr>
          <w:rFonts w:cs="Arial"/>
          <w:szCs w:val="20"/>
        </w:rPr>
        <w:t xml:space="preserve">zonder meer </w:t>
      </w:r>
      <w:r w:rsidR="004E641D" w:rsidRPr="00B21FAC">
        <w:rPr>
          <w:rFonts w:cs="Arial"/>
          <w:szCs w:val="20"/>
        </w:rPr>
        <w:t xml:space="preserve">bijdragen tot een verbetering van de VAT revenue ratio en zou eveneens helpen om enkele complexe situaties te vereenvoudigen. </w:t>
      </w:r>
    </w:p>
    <w:p w14:paraId="558AA5E1" w14:textId="77777777" w:rsidR="0020394C" w:rsidRPr="00B21FAC" w:rsidRDefault="0020394C" w:rsidP="00BA7E3E">
      <w:pPr>
        <w:spacing w:after="0"/>
        <w:jc w:val="both"/>
        <w:rPr>
          <w:rFonts w:cs="Arial"/>
          <w:szCs w:val="20"/>
        </w:rPr>
      </w:pPr>
    </w:p>
    <w:p w14:paraId="6B082D07" w14:textId="5E2F9E79" w:rsidR="00FF2CE4" w:rsidRPr="00B21FAC" w:rsidRDefault="004E641D" w:rsidP="00BA7E3E">
      <w:pPr>
        <w:spacing w:after="0"/>
        <w:jc w:val="both"/>
        <w:rPr>
          <w:rFonts w:cs="Arial"/>
          <w:szCs w:val="20"/>
        </w:rPr>
      </w:pPr>
      <w:r w:rsidRPr="00B21FAC">
        <w:rPr>
          <w:rFonts w:cs="Arial"/>
          <w:szCs w:val="20"/>
        </w:rPr>
        <w:t xml:space="preserve">Volgens berekeningen van de Studiedienst van de FOD Financiën is een omvorming van de verlaagde tarieven van 6% en 12% tot één verlaagd tarief van </w:t>
      </w:r>
      <w:r w:rsidR="0020394C" w:rsidRPr="00B21FAC">
        <w:rPr>
          <w:rFonts w:cs="Arial"/>
          <w:szCs w:val="20"/>
        </w:rPr>
        <w:t xml:space="preserve">bv. </w:t>
      </w:r>
      <w:r w:rsidRPr="00B21FAC">
        <w:rPr>
          <w:rFonts w:cs="Arial"/>
          <w:szCs w:val="20"/>
        </w:rPr>
        <w:t>10% goed voor een belastingopbrengst van 2,44 miljard euro, bij ongewijzigde indeling van de goede</w:t>
      </w:r>
      <w:r w:rsidR="00FF2CE4" w:rsidRPr="00B21FAC">
        <w:rPr>
          <w:rFonts w:cs="Arial"/>
          <w:szCs w:val="20"/>
        </w:rPr>
        <w:t>re</w:t>
      </w:r>
      <w:r w:rsidRPr="00B21FAC">
        <w:rPr>
          <w:rFonts w:cs="Arial"/>
          <w:szCs w:val="20"/>
        </w:rPr>
        <w:t xml:space="preserve">n en diensten binnen de tarieven. Een omvorming tot één verlaagd tarief van 7% leidt nog tot een belastingopbrengst van 360 miljoen euro, met een administratieve vereenvoudiging daarbovenop. </w:t>
      </w:r>
      <w:r w:rsidR="007B450C" w:rsidRPr="007B450C">
        <w:rPr>
          <w:rFonts w:cs="Arial"/>
          <w:szCs w:val="20"/>
        </w:rPr>
        <w:t>De door de FOD Financiën berekende belastingopbrengsten maken wel abstractie van mogelijke gedragseffecten.</w:t>
      </w:r>
    </w:p>
    <w:p w14:paraId="28E716A0" w14:textId="77777777" w:rsidR="00FF2CE4" w:rsidRPr="00B21FAC" w:rsidRDefault="00FF2CE4" w:rsidP="00BA7E3E">
      <w:pPr>
        <w:spacing w:after="0"/>
        <w:jc w:val="both"/>
        <w:rPr>
          <w:rFonts w:cs="Arial"/>
          <w:szCs w:val="20"/>
        </w:rPr>
      </w:pPr>
    </w:p>
    <w:p w14:paraId="48C6F19C" w14:textId="77777777" w:rsidR="00646205" w:rsidRPr="00B21FAC" w:rsidRDefault="3683CD98" w:rsidP="00BA7E3E">
      <w:pPr>
        <w:spacing w:after="0"/>
        <w:jc w:val="both"/>
        <w:rPr>
          <w:rFonts w:cs="Arial"/>
        </w:rPr>
      </w:pPr>
      <w:r w:rsidRPr="00B21FAC">
        <w:rPr>
          <w:rFonts w:cs="Arial"/>
          <w:u w:val="single"/>
        </w:rPr>
        <w:t>PM:</w:t>
      </w:r>
      <w:r w:rsidRPr="00B21FAC">
        <w:rPr>
          <w:rFonts w:cs="Arial"/>
        </w:rPr>
        <w:t xml:space="preserve"> De vraag rijst of desgevallend de beide verlaagde tarieven moeten worden afgeschaft. Dit kan logisch lijken vanuit een efficiëntie-oogpunt. </w:t>
      </w:r>
    </w:p>
    <w:p w14:paraId="0310BE51" w14:textId="0C8C4A73" w:rsidR="00646205" w:rsidRPr="00B21FAC" w:rsidRDefault="00646205" w:rsidP="00BA7E3E">
      <w:pPr>
        <w:spacing w:after="0"/>
        <w:jc w:val="both"/>
        <w:rPr>
          <w:rFonts w:cs="Arial"/>
        </w:rPr>
      </w:pPr>
      <w:r w:rsidRPr="00B21FAC">
        <w:rPr>
          <w:rFonts w:cs="Arial"/>
        </w:rPr>
        <w:t>Vanuit herverdelingsoogpunt wordt soms ook betoogd dat een verlaagd tarief op basisgoederen moet gehandhaafd worden. Dit wordt evenwel in de economische literatuur tegengesproken. Het is efficiënter om te herverdelen via de inkomstenbelasting</w:t>
      </w:r>
      <w:r w:rsidR="005668A7" w:rsidRPr="00B21FAC">
        <w:rPr>
          <w:rFonts w:cs="Arial"/>
        </w:rPr>
        <w:t>, eerder dan sturend op te treden in de consumptiebelastingen</w:t>
      </w:r>
      <w:r w:rsidR="00670840">
        <w:rPr>
          <w:rFonts w:cs="Arial"/>
        </w:rPr>
        <w:t>.</w:t>
      </w:r>
    </w:p>
    <w:p w14:paraId="44E72DFA" w14:textId="41045474" w:rsidR="004E641D" w:rsidRPr="00B21FAC" w:rsidRDefault="3683CD98" w:rsidP="00BA7E3E">
      <w:pPr>
        <w:spacing w:after="0"/>
        <w:jc w:val="both"/>
        <w:rPr>
          <w:rFonts w:cs="Arial"/>
        </w:rPr>
      </w:pPr>
      <w:r w:rsidRPr="00B21FAC">
        <w:rPr>
          <w:rFonts w:cs="Arial"/>
        </w:rPr>
        <w:t>Toch blijft een verlaagd btw-tarief in bepaalde gevallen weldegelijk nuttig, zoals voor arbeidsintensieve B2C-diensten (vaak gevoelig voor fiscale en sociale fraude) of voor mobiele goederen en diensten wanneer buurlanden eveneens voorzien in een verlaagd tarief (competitiviteit vrijwaren).</w:t>
      </w:r>
    </w:p>
    <w:p w14:paraId="414FAB47" w14:textId="77777777" w:rsidR="004E641D" w:rsidRPr="00B21FAC" w:rsidRDefault="004E641D" w:rsidP="00BA7E3E">
      <w:pPr>
        <w:spacing w:after="0"/>
        <w:rPr>
          <w:rFonts w:cs="Arial"/>
          <w:szCs w:val="20"/>
        </w:rPr>
      </w:pPr>
    </w:p>
    <w:p w14:paraId="0847D2C7" w14:textId="7D10E721" w:rsidR="00AA2572" w:rsidRPr="00201845" w:rsidRDefault="004935B6" w:rsidP="00BA7E3E">
      <w:pPr>
        <w:pStyle w:val="Lijstalinea"/>
        <w:numPr>
          <w:ilvl w:val="0"/>
          <w:numId w:val="59"/>
        </w:numPr>
        <w:spacing w:after="0"/>
        <w:ind w:left="426" w:hanging="426"/>
        <w:rPr>
          <w:rFonts w:cs="Arial"/>
          <w:szCs w:val="20"/>
        </w:rPr>
      </w:pPr>
      <w:r w:rsidRPr="00201845">
        <w:rPr>
          <w:rFonts w:cs="Arial"/>
          <w:b/>
          <w:bCs/>
          <w:szCs w:val="20"/>
        </w:rPr>
        <w:t>De</w:t>
      </w:r>
      <w:r w:rsidR="00AA2572" w:rsidRPr="00201845">
        <w:rPr>
          <w:rFonts w:cs="Arial"/>
          <w:b/>
          <w:bCs/>
          <w:szCs w:val="20"/>
        </w:rPr>
        <w:t xml:space="preserve"> </w:t>
      </w:r>
      <w:r w:rsidR="00201845" w:rsidRPr="00201845">
        <w:rPr>
          <w:rFonts w:cs="Arial"/>
          <w:b/>
          <w:bCs/>
          <w:szCs w:val="20"/>
        </w:rPr>
        <w:t xml:space="preserve">herevaluatie </w:t>
      </w:r>
      <w:r w:rsidR="00AA2572" w:rsidRPr="00201845">
        <w:rPr>
          <w:rFonts w:cs="Arial"/>
          <w:b/>
          <w:bCs/>
          <w:szCs w:val="20"/>
        </w:rPr>
        <w:t>van het nultarief</w:t>
      </w:r>
      <w:r w:rsidR="00AA2572" w:rsidRPr="00201845">
        <w:rPr>
          <w:rFonts w:cs="Arial"/>
          <w:szCs w:val="20"/>
        </w:rPr>
        <w:t>.</w:t>
      </w:r>
    </w:p>
    <w:p w14:paraId="3B67CEFA" w14:textId="77777777" w:rsidR="00AA2572" w:rsidRPr="00B21FAC" w:rsidRDefault="00AA2572" w:rsidP="00BA7E3E">
      <w:pPr>
        <w:spacing w:after="0"/>
        <w:rPr>
          <w:rFonts w:cs="Arial"/>
          <w:szCs w:val="20"/>
        </w:rPr>
      </w:pPr>
    </w:p>
    <w:p w14:paraId="569BBD02" w14:textId="7A02E52E" w:rsidR="008F58B0" w:rsidRPr="00B21FAC" w:rsidRDefault="004E641D" w:rsidP="00BA7E3E">
      <w:pPr>
        <w:spacing w:after="0"/>
        <w:jc w:val="both"/>
        <w:rPr>
          <w:rFonts w:cs="Arial"/>
          <w:szCs w:val="20"/>
        </w:rPr>
      </w:pPr>
      <w:r w:rsidRPr="00B21FAC">
        <w:rPr>
          <w:rFonts w:cs="Arial"/>
          <w:szCs w:val="20"/>
        </w:rPr>
        <w:t xml:space="preserve">Op dit ogenblik genieten </w:t>
      </w:r>
      <w:r w:rsidR="00723B24">
        <w:rPr>
          <w:rFonts w:cs="Arial"/>
          <w:szCs w:val="20"/>
        </w:rPr>
        <w:t>v</w:t>
      </w:r>
      <w:r w:rsidRPr="00B21FAC">
        <w:rPr>
          <w:rFonts w:cs="Arial"/>
          <w:szCs w:val="20"/>
        </w:rPr>
        <w:t>ie</w:t>
      </w:r>
      <w:r w:rsidR="00723B24">
        <w:rPr>
          <w:rFonts w:cs="Arial"/>
          <w:szCs w:val="20"/>
        </w:rPr>
        <w:t>r</w:t>
      </w:r>
      <w:r w:rsidRPr="00B21FAC">
        <w:rPr>
          <w:rFonts w:cs="Arial"/>
          <w:szCs w:val="20"/>
        </w:rPr>
        <w:t xml:space="preserve"> types handelingen van het nultarief, op basis van administratieve toleranties of reglementaire en wettelijke bepalingen, met name </w:t>
      </w:r>
      <w:r w:rsidR="00723B24">
        <w:rPr>
          <w:rFonts w:cs="Arial"/>
          <w:szCs w:val="20"/>
        </w:rPr>
        <w:t xml:space="preserve">pro-deo diensten die advocaten verstrekken in het kader van de juridische bijstand en door gerechtsdeurwaarders in het kader van de rechtsbijstand (bericht gepubliceerd op de website van de FOD Financiën dd. 7 september 2018), </w:t>
      </w:r>
      <w:r w:rsidRPr="00B21FAC">
        <w:rPr>
          <w:rFonts w:cs="Arial"/>
          <w:szCs w:val="20"/>
        </w:rPr>
        <w:t xml:space="preserve">recuperatiestoffen en -producten (circulaire 88/1970), dagbladen en periodieke publicaties met een algemene informatieve strekking, die ten minste achtenveertig keer per jaar verschijnen inclusief digitale exemplaren (Tabel C van de bijlage van het koninklijk besluit nr. 20) en voertuigen voor invaliden (combinatie van Rubriek XXII van Tabel A van de bijlage van het koninklijk besluit nr. 20, </w:t>
      </w:r>
      <w:r w:rsidR="00474C4F" w:rsidRPr="00B21FAC">
        <w:rPr>
          <w:rFonts w:cs="Arial"/>
          <w:i/>
          <w:iCs/>
          <w:szCs w:val="20"/>
        </w:rPr>
        <w:t>j</w:t>
      </w:r>
      <w:r w:rsidRPr="00B21FAC">
        <w:rPr>
          <w:rFonts w:cs="Arial"/>
          <w:i/>
          <w:iCs/>
          <w:szCs w:val="20"/>
        </w:rPr>
        <w:t>uncto</w:t>
      </w:r>
      <w:r w:rsidRPr="00B21FAC">
        <w:rPr>
          <w:rFonts w:cs="Arial"/>
          <w:szCs w:val="20"/>
        </w:rPr>
        <w:t xml:space="preserve"> artikel 77, § 2, van het Btw-Wetboek). </w:t>
      </w:r>
      <w:r w:rsidR="00870FBD">
        <w:rPr>
          <w:rFonts w:cs="Arial"/>
          <w:szCs w:val="20"/>
        </w:rPr>
        <w:t xml:space="preserve">Het nut en de opportuniteit van dit nultarief kan worden geherevalueerd teneinde (o.a.) na te gaan of er geen meer gepaste en gerichte maatregelen kunnen worden genomen om de </w:t>
      </w:r>
      <w:r w:rsidR="0025556F">
        <w:rPr>
          <w:rFonts w:cs="Arial"/>
          <w:szCs w:val="20"/>
        </w:rPr>
        <w:t>vooropgestelde doelstellingen te bereiken.</w:t>
      </w:r>
    </w:p>
    <w:p w14:paraId="061C0296" w14:textId="7E5EBCCA" w:rsidR="00723B24" w:rsidRDefault="00723B24">
      <w:pPr>
        <w:rPr>
          <w:rFonts w:cs="Arial"/>
          <w:szCs w:val="20"/>
        </w:rPr>
      </w:pPr>
      <w:r>
        <w:rPr>
          <w:rFonts w:cs="Arial"/>
          <w:szCs w:val="20"/>
        </w:rPr>
        <w:br w:type="page"/>
      </w:r>
    </w:p>
    <w:p w14:paraId="137D8EBE" w14:textId="77777777" w:rsidR="00AA2572" w:rsidRPr="00B21FAC" w:rsidRDefault="00AA2572" w:rsidP="00BA7E3E">
      <w:pPr>
        <w:spacing w:after="0"/>
        <w:jc w:val="both"/>
        <w:rPr>
          <w:rFonts w:cs="Arial"/>
          <w:szCs w:val="20"/>
        </w:rPr>
      </w:pPr>
    </w:p>
    <w:p w14:paraId="7B4FC9D0" w14:textId="3775ED9F" w:rsidR="00A67AB9" w:rsidRPr="00B21FAC" w:rsidRDefault="004935B6" w:rsidP="00BA7E3E">
      <w:pPr>
        <w:pStyle w:val="Lijstalinea"/>
        <w:numPr>
          <w:ilvl w:val="0"/>
          <w:numId w:val="59"/>
        </w:numPr>
        <w:spacing w:after="0"/>
        <w:ind w:left="426" w:hanging="426"/>
        <w:jc w:val="both"/>
        <w:rPr>
          <w:rFonts w:cs="Arial"/>
          <w:szCs w:val="20"/>
        </w:rPr>
      </w:pPr>
      <w:r w:rsidRPr="00B21FAC">
        <w:rPr>
          <w:rFonts w:cs="Arial"/>
          <w:b/>
          <w:bCs/>
          <w:szCs w:val="20"/>
        </w:rPr>
        <w:t xml:space="preserve">De </w:t>
      </w:r>
      <w:r w:rsidR="00A67AB9" w:rsidRPr="00B21FAC">
        <w:rPr>
          <w:rFonts w:cs="Arial"/>
          <w:b/>
          <w:bCs/>
          <w:szCs w:val="20"/>
        </w:rPr>
        <w:t>h</w:t>
      </w:r>
      <w:r w:rsidR="004E641D" w:rsidRPr="00B21FAC">
        <w:rPr>
          <w:rFonts w:cs="Arial"/>
          <w:b/>
          <w:szCs w:val="20"/>
        </w:rPr>
        <w:t>erindeling van goederen en diensten binnen de btw-tarieven</w:t>
      </w:r>
      <w:r w:rsidR="00A67AB9" w:rsidRPr="00B21FAC">
        <w:rPr>
          <w:rFonts w:cs="Arial"/>
          <w:szCs w:val="20"/>
        </w:rPr>
        <w:t>.</w:t>
      </w:r>
      <w:r w:rsidR="004E641D" w:rsidRPr="00B21FAC">
        <w:rPr>
          <w:rFonts w:cs="Arial"/>
          <w:szCs w:val="20"/>
        </w:rPr>
        <w:t xml:space="preserve"> </w:t>
      </w:r>
    </w:p>
    <w:p w14:paraId="37263206" w14:textId="77777777" w:rsidR="00A67AB9" w:rsidRPr="00B21FAC" w:rsidRDefault="00A67AB9" w:rsidP="00BA7E3E">
      <w:pPr>
        <w:spacing w:after="0"/>
        <w:jc w:val="both"/>
        <w:rPr>
          <w:rFonts w:cs="Arial"/>
          <w:szCs w:val="20"/>
        </w:rPr>
      </w:pPr>
    </w:p>
    <w:p w14:paraId="6AF551AB" w14:textId="77777777" w:rsidR="004935B6" w:rsidRPr="00B21FAC" w:rsidRDefault="004935B6" w:rsidP="00BA7E3E">
      <w:pPr>
        <w:spacing w:after="0"/>
        <w:jc w:val="both"/>
        <w:rPr>
          <w:rFonts w:cs="Arial"/>
          <w:szCs w:val="20"/>
        </w:rPr>
      </w:pPr>
      <w:r w:rsidRPr="00B21FAC">
        <w:rPr>
          <w:rFonts w:cs="Arial"/>
          <w:szCs w:val="20"/>
        </w:rPr>
        <w:t>Onverminderd de hiervoor geformuleerde suggesties om met name het standaardtarief te verhogen, of het aantal verlaagde tarieven te beperken, kunnen ook (desgevallend cumulatief) bestaande tariefdifferentiaties of -discordanties worden aangepakt.</w:t>
      </w:r>
    </w:p>
    <w:p w14:paraId="4301E435" w14:textId="77777777" w:rsidR="004935B6" w:rsidRPr="00B21FAC" w:rsidRDefault="004935B6" w:rsidP="00BA7E3E">
      <w:pPr>
        <w:spacing w:after="0"/>
        <w:jc w:val="both"/>
        <w:rPr>
          <w:rFonts w:cs="Arial"/>
          <w:szCs w:val="20"/>
        </w:rPr>
      </w:pPr>
    </w:p>
    <w:p w14:paraId="0549D468" w14:textId="511F8F89" w:rsidR="004E641D" w:rsidRPr="00B21FAC" w:rsidRDefault="3683CD98" w:rsidP="00BA7E3E">
      <w:pPr>
        <w:spacing w:after="0"/>
        <w:jc w:val="both"/>
        <w:rPr>
          <w:rFonts w:cs="Arial"/>
        </w:rPr>
      </w:pPr>
      <w:r w:rsidRPr="00B21FAC">
        <w:rPr>
          <w:rFonts w:cs="Arial"/>
        </w:rPr>
        <w:t>Een dergelijke maatregel kan bijdragen tot een verbetering van de VAT revenue ratio en zou opnieuw helpen om enkele complexe situaties te vereenvoudigen, alsook om enkele onlogische situaties weg te werken. Ook kunnen op deze manier tegelijk beleidsobjectieven worden nagestreefd inzake milieu en gezondheid.</w:t>
      </w:r>
    </w:p>
    <w:p w14:paraId="17077295" w14:textId="13C3805E" w:rsidR="004935B6" w:rsidRPr="00B21FAC" w:rsidRDefault="004935B6" w:rsidP="00BA7E3E">
      <w:pPr>
        <w:spacing w:after="0"/>
        <w:jc w:val="both"/>
        <w:rPr>
          <w:rFonts w:cs="Arial"/>
          <w:szCs w:val="20"/>
        </w:rPr>
      </w:pPr>
    </w:p>
    <w:p w14:paraId="79C57211" w14:textId="1E189A5F" w:rsidR="004935B6" w:rsidRPr="00B21FAC" w:rsidRDefault="004935B6" w:rsidP="00BA7E3E">
      <w:pPr>
        <w:spacing w:after="0"/>
        <w:jc w:val="both"/>
        <w:rPr>
          <w:rFonts w:cs="Arial"/>
          <w:szCs w:val="20"/>
        </w:rPr>
      </w:pPr>
      <w:r w:rsidRPr="00B21FAC">
        <w:rPr>
          <w:rFonts w:cs="Arial"/>
          <w:szCs w:val="20"/>
        </w:rPr>
        <w:t xml:space="preserve">Het is wel van belang om hierbij meteen ook op te merken dat de </w:t>
      </w:r>
      <w:r w:rsidR="00A04A64">
        <w:rPr>
          <w:rFonts w:cs="Arial"/>
          <w:szCs w:val="20"/>
        </w:rPr>
        <w:t xml:space="preserve">Lidstaten inmiddels een akkoord hebben bereikt op grond waarvan zij meer </w:t>
      </w:r>
      <w:r w:rsidRPr="00B21FAC">
        <w:rPr>
          <w:rFonts w:cs="Arial"/>
          <w:szCs w:val="20"/>
        </w:rPr>
        <w:t xml:space="preserve">flexibiliteit </w:t>
      </w:r>
      <w:r w:rsidR="00A04A64">
        <w:rPr>
          <w:rFonts w:cs="Arial"/>
          <w:szCs w:val="20"/>
        </w:rPr>
        <w:t>en</w:t>
      </w:r>
      <w:r w:rsidR="00A04A64" w:rsidRPr="00B21FAC">
        <w:rPr>
          <w:rFonts w:cs="Arial"/>
          <w:szCs w:val="20"/>
        </w:rPr>
        <w:t xml:space="preserve"> </w:t>
      </w:r>
      <w:r w:rsidRPr="00B21FAC">
        <w:rPr>
          <w:rFonts w:cs="Arial"/>
          <w:szCs w:val="20"/>
        </w:rPr>
        <w:t xml:space="preserve">beleidsmarge krijgen bij het vastleggen van hun verlaagde btw-tarieven. </w:t>
      </w:r>
    </w:p>
    <w:p w14:paraId="3BD86B71" w14:textId="30CC4B0B" w:rsidR="00045774" w:rsidRPr="00B21FAC" w:rsidRDefault="00045774" w:rsidP="00BA7E3E">
      <w:pPr>
        <w:spacing w:after="0"/>
        <w:jc w:val="both"/>
        <w:rPr>
          <w:rFonts w:cs="Arial"/>
          <w:szCs w:val="20"/>
        </w:rPr>
      </w:pPr>
    </w:p>
    <w:p w14:paraId="1FADCA13" w14:textId="5B8D875B" w:rsidR="00045774" w:rsidRPr="00B21FAC" w:rsidRDefault="00045774" w:rsidP="00BA7E3E">
      <w:pPr>
        <w:spacing w:after="0"/>
        <w:jc w:val="both"/>
        <w:rPr>
          <w:rFonts w:cs="Arial"/>
          <w:szCs w:val="20"/>
        </w:rPr>
      </w:pPr>
      <w:r w:rsidRPr="00B21FAC">
        <w:rPr>
          <w:u w:val="single"/>
        </w:rPr>
        <w:t>PM:</w:t>
      </w:r>
      <w:r w:rsidRPr="00B21FAC">
        <w:rPr>
          <w:b/>
          <w:bCs/>
        </w:rPr>
        <w:t xml:space="preserve"> </w:t>
      </w:r>
      <w:r w:rsidRPr="00B21FAC">
        <w:t xml:space="preserve">Een algemene verhoging van het normale btw-tarief van 21% naar (bv.) 22% </w:t>
      </w:r>
      <w:r w:rsidR="00CD22A9" w:rsidRPr="00B21FAC">
        <w:t xml:space="preserve">draagt niet bij tot </w:t>
      </w:r>
      <w:r w:rsidRPr="00B21FAC">
        <w:rPr>
          <w:rFonts w:cs="Arial"/>
          <w:szCs w:val="20"/>
        </w:rPr>
        <w:t>een verbetering van de VAT revenue ratio</w:t>
      </w:r>
      <w:r w:rsidR="00CD22A9" w:rsidRPr="00B21FAC">
        <w:rPr>
          <w:rFonts w:cs="Arial"/>
          <w:szCs w:val="20"/>
        </w:rPr>
        <w:t>. Een dergelijke verhoging</w:t>
      </w:r>
      <w:r w:rsidRPr="00B21FAC">
        <w:rPr>
          <w:rFonts w:cs="Arial"/>
          <w:szCs w:val="20"/>
        </w:rPr>
        <w:t xml:space="preserve"> is </w:t>
      </w:r>
      <w:r w:rsidR="00CD22A9" w:rsidRPr="00B21FAC">
        <w:rPr>
          <w:rFonts w:cs="Arial"/>
          <w:szCs w:val="20"/>
        </w:rPr>
        <w:t>inderdaad uitsluitend</w:t>
      </w:r>
      <w:r w:rsidRPr="00B21FAC">
        <w:rPr>
          <w:rFonts w:cs="Arial"/>
          <w:szCs w:val="20"/>
        </w:rPr>
        <w:t xml:space="preserve"> verdedigbaar als tax shift-maatregel. </w:t>
      </w:r>
    </w:p>
    <w:p w14:paraId="242159C3" w14:textId="1AF5C1DA" w:rsidR="00045774" w:rsidRPr="00B21FAC" w:rsidRDefault="00045774" w:rsidP="00BA7E3E">
      <w:pPr>
        <w:spacing w:after="0"/>
        <w:jc w:val="both"/>
        <w:rPr>
          <w:rFonts w:cs="Arial"/>
          <w:szCs w:val="20"/>
        </w:rPr>
      </w:pPr>
      <w:r w:rsidRPr="00B21FAC">
        <w:rPr>
          <w:rFonts w:cs="Arial"/>
          <w:szCs w:val="20"/>
        </w:rPr>
        <w:t>Met een dergelijke verhoging blijft het tarief schommelen rond het EU-gemiddelde (21,5%), maar zou het wel het hoogste zijn in vergelijking met de ons omringende landen (NL: 21%, FR: 20%, DE: 19%, LU: 17%</w:t>
      </w:r>
      <w:r w:rsidRPr="00B21FAC">
        <w:rPr>
          <w:rStyle w:val="Voetnootmarkering"/>
          <w:rFonts w:cs="Arial"/>
          <w:szCs w:val="20"/>
        </w:rPr>
        <w:footnoteReference w:id="8"/>
      </w:r>
      <w:r w:rsidRPr="00B21FAC">
        <w:rPr>
          <w:rFonts w:cs="Arial"/>
          <w:szCs w:val="20"/>
        </w:rPr>
        <w:t>).</w:t>
      </w:r>
      <w:r w:rsidR="005E06AA">
        <w:rPr>
          <w:rFonts w:cs="Arial"/>
          <w:szCs w:val="20"/>
        </w:rPr>
        <w:t xml:space="preserve"> Het OESO-gemiddelde bedraagt 19,2% (2020).</w:t>
      </w:r>
    </w:p>
    <w:p w14:paraId="1A9DBFCB" w14:textId="77777777" w:rsidR="00045774" w:rsidRPr="00B21FAC" w:rsidRDefault="00045774" w:rsidP="00BA7E3E">
      <w:pPr>
        <w:spacing w:after="0"/>
        <w:jc w:val="both"/>
        <w:rPr>
          <w:rFonts w:cs="Arial"/>
        </w:rPr>
      </w:pPr>
      <w:r w:rsidRPr="00B21FAC">
        <w:rPr>
          <w:rFonts w:cs="Arial"/>
        </w:rPr>
        <w:t xml:space="preserve">Volgens berekeningen van de Studiedienst van de FOD Financiën is dergelijke maatregel goed voor een belastingopbrengst van 1,29 miljard euro (zonder rekening te houden met eventuele gedragswijzigingen). </w:t>
      </w:r>
    </w:p>
    <w:p w14:paraId="3E5FA90F" w14:textId="36C7F522" w:rsidR="00045774" w:rsidRPr="00B21FAC" w:rsidRDefault="008F7D4E" w:rsidP="00BA7E3E">
      <w:pPr>
        <w:spacing w:after="0"/>
        <w:jc w:val="both"/>
        <w:rPr>
          <w:rFonts w:cs="Arial"/>
        </w:rPr>
      </w:pPr>
      <w:r w:rsidRPr="00B21FAC">
        <w:rPr>
          <w:rFonts w:cs="Arial"/>
        </w:rPr>
        <w:t xml:space="preserve">Voor zover een dergelijke maatregel zou overwogen worden, moeten </w:t>
      </w:r>
      <w:r w:rsidR="00D32882" w:rsidRPr="00B21FAC">
        <w:rPr>
          <w:rFonts w:cs="Arial"/>
        </w:rPr>
        <w:t xml:space="preserve">ook op dit vlak </w:t>
      </w:r>
      <w:r w:rsidRPr="00B21FAC">
        <w:rPr>
          <w:rFonts w:cs="Arial"/>
        </w:rPr>
        <w:t>d</w:t>
      </w:r>
      <w:r w:rsidR="00045774" w:rsidRPr="00B21FAC">
        <w:rPr>
          <w:rFonts w:cs="Arial"/>
        </w:rPr>
        <w:t>e effecten op koopkracht, concurrentiekracht en herverdeling nauwkeurig in kaart worden gebracht.</w:t>
      </w:r>
    </w:p>
    <w:p w14:paraId="2C44AAA0" w14:textId="77777777" w:rsidR="00940D11" w:rsidRPr="00B21FAC" w:rsidRDefault="00940D11" w:rsidP="00275FEB">
      <w:pPr>
        <w:spacing w:after="0"/>
        <w:jc w:val="both"/>
      </w:pPr>
    </w:p>
    <w:p w14:paraId="5FB87627" w14:textId="77777777" w:rsidR="00940D11" w:rsidRPr="00B21FAC" w:rsidRDefault="00940D11" w:rsidP="00275FEB">
      <w:pPr>
        <w:spacing w:after="0"/>
        <w:jc w:val="both"/>
      </w:pPr>
    </w:p>
    <w:p w14:paraId="4299A42A" w14:textId="64D5C94B" w:rsidR="00940D11" w:rsidRPr="00B21FAC" w:rsidRDefault="00940D11" w:rsidP="00275FEB">
      <w:pPr>
        <w:pStyle w:val="Kop3"/>
        <w:numPr>
          <w:ilvl w:val="0"/>
          <w:numId w:val="49"/>
        </w:numPr>
      </w:pPr>
      <w:bookmarkStart w:id="230" w:name="_Toc107210953"/>
      <w:r w:rsidRPr="00B21FAC">
        <w:t>Andere mogelijke denkpistes</w:t>
      </w:r>
      <w:bookmarkEnd w:id="230"/>
    </w:p>
    <w:p w14:paraId="1B3BAB9D" w14:textId="77777777" w:rsidR="00940D11" w:rsidRPr="00B21FAC" w:rsidRDefault="00940D11" w:rsidP="00BA7E3E">
      <w:pPr>
        <w:spacing w:after="0"/>
      </w:pPr>
    </w:p>
    <w:p w14:paraId="5B335D08" w14:textId="77777777" w:rsidR="00940D11" w:rsidRPr="00B21FAC" w:rsidRDefault="00940D11" w:rsidP="00BA7E3E">
      <w:pPr>
        <w:spacing w:after="0"/>
        <w:jc w:val="both"/>
      </w:pPr>
    </w:p>
    <w:p w14:paraId="670826B8" w14:textId="6D60812C" w:rsidR="005A629F" w:rsidRPr="00B21FAC" w:rsidRDefault="005A629F" w:rsidP="00BA7E3E">
      <w:pPr>
        <w:spacing w:after="0"/>
        <w:jc w:val="both"/>
      </w:pPr>
      <w:r w:rsidRPr="00B21FAC">
        <w:t>Onverminderd de wijzigingen aan het tariefstelsel kunnen heel wat andere maatregelen worden genomen die de VAT revenue ratio kunnen verhogen.</w:t>
      </w:r>
    </w:p>
    <w:p w14:paraId="3C7A5B70" w14:textId="77777777" w:rsidR="005A629F" w:rsidRPr="00B21FAC" w:rsidRDefault="005A629F" w:rsidP="00BA7E3E">
      <w:pPr>
        <w:spacing w:after="0"/>
        <w:jc w:val="both"/>
      </w:pPr>
    </w:p>
    <w:p w14:paraId="2D2BC265" w14:textId="0BBFD716" w:rsidR="00927F03" w:rsidRPr="00B21FAC" w:rsidRDefault="00927F03" w:rsidP="00BA7E3E">
      <w:pPr>
        <w:spacing w:after="0"/>
        <w:jc w:val="both"/>
      </w:pPr>
      <w:r w:rsidRPr="00B21FAC">
        <w:t>Deze maatregelen zijn van zeer diverse aard en grijpen in op heel wat aspecten</w:t>
      </w:r>
      <w:r w:rsidR="00507CBE" w:rsidRPr="00B21FAC">
        <w:t xml:space="preserve"> van de btw-wetgeving, waarvoor een verder detailonderzoek vereist zal zijn.</w:t>
      </w:r>
      <w:r w:rsidR="001C46B9" w:rsidRPr="00B21FAC">
        <w:t xml:space="preserve"> Dergelijke maatregelen kunnen betrekking hebben op de verruiming van de werkingssfeer, het heromschrijven van bepaalde belastbare handelingen, </w:t>
      </w:r>
      <w:r w:rsidR="00D27B00" w:rsidRPr="00B21FAC">
        <w:t>de herbepaling van het recht op aftrek (inzonderheid bij gemengde belastingplichtigen),…</w:t>
      </w:r>
    </w:p>
    <w:p w14:paraId="0A53F410" w14:textId="77777777" w:rsidR="00E66871" w:rsidRPr="00B21FAC" w:rsidRDefault="00E66871" w:rsidP="00BA7E3E">
      <w:pPr>
        <w:spacing w:after="0"/>
        <w:jc w:val="both"/>
      </w:pPr>
    </w:p>
    <w:p w14:paraId="633AB5AD" w14:textId="77777777" w:rsidR="00201C0C" w:rsidRPr="00B21FAC" w:rsidRDefault="00201C0C" w:rsidP="00BA7E3E">
      <w:pPr>
        <w:spacing w:after="0"/>
        <w:jc w:val="both"/>
      </w:pPr>
      <w:r w:rsidRPr="00B21FAC">
        <w:t>Daarnaast verdient het aanbeveling om de bestaande btw-vrijstellingen, voor zover opportuun en mogelijk, af te schaffen of in te perken.</w:t>
      </w:r>
    </w:p>
    <w:p w14:paraId="62709CCF" w14:textId="77777777" w:rsidR="00940D11" w:rsidRPr="00B21FAC" w:rsidRDefault="00940D11" w:rsidP="00BA7E3E">
      <w:pPr>
        <w:spacing w:after="0"/>
        <w:jc w:val="both"/>
        <w:rPr>
          <w:rFonts w:cs="Arial"/>
          <w:szCs w:val="20"/>
        </w:rPr>
      </w:pPr>
    </w:p>
    <w:p w14:paraId="2706C8E5" w14:textId="19ED9791" w:rsidR="00940D11" w:rsidRPr="00B21FAC" w:rsidRDefault="00940D11" w:rsidP="00BA7E3E">
      <w:pPr>
        <w:spacing w:after="0"/>
        <w:jc w:val="both"/>
        <w:rPr>
          <w:rFonts w:cs="Arial"/>
          <w:szCs w:val="20"/>
        </w:rPr>
      </w:pPr>
      <w:r w:rsidRPr="00B21FAC">
        <w:rPr>
          <w:rFonts w:cs="Arial"/>
          <w:szCs w:val="20"/>
        </w:rPr>
        <w:t xml:space="preserve">De juridische mogelijkheden daartoe zijn echter </w:t>
      </w:r>
      <w:r w:rsidR="00201C0C" w:rsidRPr="00B21FAC">
        <w:rPr>
          <w:rFonts w:cs="Arial"/>
          <w:szCs w:val="20"/>
        </w:rPr>
        <w:t xml:space="preserve">redelijk </w:t>
      </w:r>
      <w:r w:rsidRPr="00B21FAC">
        <w:rPr>
          <w:rFonts w:cs="Arial"/>
          <w:szCs w:val="20"/>
        </w:rPr>
        <w:t xml:space="preserve">beperkt. Ter zake moet er immers rekening mee worden gehouden dat het merendeel van de vrijstellingen, met of zonder recht op aftrek, </w:t>
      </w:r>
      <w:r w:rsidR="009F4C6F">
        <w:rPr>
          <w:rFonts w:cs="Arial"/>
          <w:szCs w:val="20"/>
        </w:rPr>
        <w:t xml:space="preserve">verplichte </w:t>
      </w:r>
      <w:r w:rsidRPr="00B21FAC">
        <w:rPr>
          <w:rFonts w:cs="Arial"/>
          <w:szCs w:val="20"/>
        </w:rPr>
        <w:t>vrijstellingen zijn op grond van de bepalingen van de Europese btw-reglementering, zodat de beleidsruimte om daarvan af te wijken op heel wat domeinen beperkt is.</w:t>
      </w:r>
      <w:r w:rsidR="00C82F48" w:rsidRPr="00B21FAC">
        <w:rPr>
          <w:rFonts w:cs="Arial"/>
          <w:szCs w:val="20"/>
        </w:rPr>
        <w:t xml:space="preserve"> </w:t>
      </w:r>
      <w:r w:rsidRPr="00B21FAC">
        <w:t xml:space="preserve">De meeste mogelijkheden houden allicht verband met de vrijstellingen die op grond van artikel 371 van de btw-richtlijn werden ingevoerd. Op grond van deze bepaling verleende België diverse vrijstellingen. Sommige werden inmiddels opgeheven, zoals de diensten van notarissen en gerechtsdeurwaarders (opgeheven sinds 01.01.2013) en de diensten van advocaten (opgeheven sinds 01.01.2014). </w:t>
      </w:r>
      <w:r w:rsidR="00B00DDC" w:rsidRPr="00B21FAC">
        <w:t>Een aantal andere zijn echter blijven bestaan.</w:t>
      </w:r>
    </w:p>
    <w:p w14:paraId="4A55BE93" w14:textId="77777777" w:rsidR="00940D11" w:rsidRPr="00B21FAC" w:rsidRDefault="00940D11" w:rsidP="00BA7E3E">
      <w:pPr>
        <w:spacing w:after="0"/>
        <w:jc w:val="both"/>
      </w:pPr>
    </w:p>
    <w:p w14:paraId="1912A1D2" w14:textId="2FD794CE" w:rsidR="00110FEB" w:rsidRPr="00B21FAC" w:rsidRDefault="00C82F48" w:rsidP="00BA7E3E">
      <w:pPr>
        <w:spacing w:after="0"/>
        <w:jc w:val="both"/>
        <w:rPr>
          <w:rFonts w:cstheme="minorHAnsi"/>
        </w:rPr>
      </w:pPr>
      <w:r w:rsidRPr="00B21FAC">
        <w:t>Bepaalde vrijstellingen, waar een zekere budgettaire massa kan worden gevonden, zijn bovendien verweven met de bevoegdheden van de deelentiteiten. Hierbij kan in het bijzonder verwezen worden naar de</w:t>
      </w:r>
      <w:r w:rsidR="00940D11" w:rsidRPr="00B21FAC">
        <w:t xml:space="preserve"> reeks aan vrijstellingen die verband houden met de leveringen van gebouwen en bouwterreinen.</w:t>
      </w:r>
      <w:r w:rsidR="00644FF7" w:rsidRPr="00B21FAC">
        <w:t xml:space="preserve"> Een veralgemeende onderwerping aan de btw is (binnen de huidige bevoegdheidsverdeling) </w:t>
      </w:r>
      <w:r w:rsidR="00AC07EE" w:rsidRPr="00B21FAC">
        <w:t xml:space="preserve">niet haalbaar. Dit neemt niet weg dat bepaalde ad hoc ingrepen kunnen overwogen worden (zoals bv. de verplichte onderwerping aan btw </w:t>
      </w:r>
      <w:r w:rsidR="007F122E" w:rsidRPr="00B21FAC">
        <w:t xml:space="preserve">bij levering van nieuwe gebouwen door niet-beroepsoprichters). Ook </w:t>
      </w:r>
      <w:r w:rsidR="00940D11" w:rsidRPr="00B21FAC">
        <w:t>de praktijk waarbij het terrein en het gebouw door aparte verkopers verkocht word</w:t>
      </w:r>
      <w:r w:rsidR="007F122E" w:rsidRPr="00B21FAC">
        <w:t>en</w:t>
      </w:r>
      <w:r w:rsidR="00940D11" w:rsidRPr="00B21FAC">
        <w:t>, met als gevolg dat de verkoop van het terrein niet aan de heffing van de btw onderworpen is</w:t>
      </w:r>
      <w:r w:rsidR="007F122E" w:rsidRPr="00B21FAC">
        <w:t xml:space="preserve">, kan </w:t>
      </w:r>
      <w:r w:rsidR="0005765E">
        <w:t>geëvalueerd worden</w:t>
      </w:r>
      <w:r w:rsidR="00940D11" w:rsidRPr="00B21FAC">
        <w:t xml:space="preserve">. Voorts zal (in de huidige interpretatie) ook geen btw geheven worden in het geval van een </w:t>
      </w:r>
      <w:r w:rsidR="00940D11" w:rsidRPr="00B21FAC">
        <w:rPr>
          <w:lang w:val="nl-NL"/>
        </w:rPr>
        <w:t xml:space="preserve">verkoop </w:t>
      </w:r>
      <w:r w:rsidR="00DA04ED">
        <w:rPr>
          <w:lang w:val="nl-NL"/>
        </w:rPr>
        <w:t xml:space="preserve">van een grond </w:t>
      </w:r>
      <w:r w:rsidR="0013239E">
        <w:rPr>
          <w:lang w:val="nl-NL"/>
        </w:rPr>
        <w:t xml:space="preserve">onder de toepassing van de Wet Breyne, voor zover </w:t>
      </w:r>
      <w:r w:rsidR="00B6236A">
        <w:rPr>
          <w:lang w:val="nl-NL"/>
        </w:rPr>
        <w:t xml:space="preserve">het </w:t>
      </w:r>
      <w:r w:rsidR="00940D11" w:rsidRPr="00B21FAC">
        <w:rPr>
          <w:lang w:val="nl-NL"/>
        </w:rPr>
        <w:t xml:space="preserve">huis of </w:t>
      </w:r>
      <w:r w:rsidR="00B6236A">
        <w:rPr>
          <w:lang w:val="nl-NL"/>
        </w:rPr>
        <w:t xml:space="preserve">het </w:t>
      </w:r>
      <w:r w:rsidR="00940D11" w:rsidRPr="00B21FAC">
        <w:rPr>
          <w:lang w:val="nl-NL"/>
        </w:rPr>
        <w:t xml:space="preserve">appartement </w:t>
      </w:r>
      <w:r w:rsidR="00B6236A">
        <w:rPr>
          <w:lang w:val="nl-NL"/>
        </w:rPr>
        <w:t>nog moet gebouwd worden</w:t>
      </w:r>
      <w:r w:rsidR="00940D11" w:rsidRPr="00B21FAC">
        <w:rPr>
          <w:lang w:val="nl-NL"/>
        </w:rPr>
        <w:t>.</w:t>
      </w:r>
      <w:r w:rsidR="00940D11" w:rsidRPr="00B21FAC">
        <w:t xml:space="preserve"> </w:t>
      </w:r>
      <w:r w:rsidR="007F122E" w:rsidRPr="00B21FAC">
        <w:t>Ook o</w:t>
      </w:r>
      <w:r w:rsidR="00940D11" w:rsidRPr="00B21FAC">
        <w:t xml:space="preserve">p dit vlak rijst de vraag of de toepassingsvoorwaarden </w:t>
      </w:r>
      <w:r w:rsidR="00FB320C">
        <w:t>van die vrijstelling</w:t>
      </w:r>
      <w:r w:rsidR="00940D11" w:rsidRPr="00B21FAC">
        <w:t xml:space="preserve"> niet moeten verstrengd worden.</w:t>
      </w:r>
      <w:r w:rsidR="00FB228D" w:rsidRPr="00B21FAC">
        <w:rPr>
          <w:rFonts w:cstheme="minorHAnsi"/>
        </w:rPr>
        <w:t xml:space="preserve"> </w:t>
      </w:r>
      <w:bookmarkEnd w:id="228"/>
    </w:p>
    <w:p w14:paraId="7FD7D4EB" w14:textId="4A8531D3" w:rsidR="0054437E" w:rsidRDefault="0054437E">
      <w:pPr>
        <w:rPr>
          <w:rFonts w:cstheme="minorHAnsi"/>
        </w:rPr>
      </w:pPr>
      <w:r>
        <w:rPr>
          <w:rFonts w:cstheme="minorHAnsi"/>
        </w:rPr>
        <w:br w:type="page"/>
      </w:r>
    </w:p>
    <w:p w14:paraId="72D550A7" w14:textId="77777777" w:rsidR="00F60022" w:rsidRPr="00B21FAC" w:rsidRDefault="00F60022" w:rsidP="00BA7E3E">
      <w:pPr>
        <w:spacing w:after="0"/>
        <w:jc w:val="both"/>
        <w:rPr>
          <w:rFonts w:cstheme="minorHAnsi"/>
        </w:rPr>
      </w:pPr>
    </w:p>
    <w:p w14:paraId="4A6E5654" w14:textId="05F2BBEC" w:rsidR="00F60022" w:rsidRPr="00B21FAC" w:rsidRDefault="00F60022" w:rsidP="00BA7E3E">
      <w:pPr>
        <w:spacing w:after="0"/>
        <w:jc w:val="both"/>
        <w:rPr>
          <w:rFonts w:cstheme="minorHAnsi"/>
        </w:rPr>
      </w:pPr>
    </w:p>
    <w:p w14:paraId="4C1FF352" w14:textId="0F5E57EB" w:rsidR="00F60022" w:rsidRPr="00B21FAC" w:rsidRDefault="00934B55" w:rsidP="00275FEB">
      <w:pPr>
        <w:pStyle w:val="Kop2"/>
        <w:numPr>
          <w:ilvl w:val="0"/>
          <w:numId w:val="48"/>
        </w:numPr>
      </w:pPr>
      <w:bookmarkStart w:id="231" w:name="_Toc107210954"/>
      <w:r w:rsidRPr="00B21FAC">
        <w:t xml:space="preserve">Een </w:t>
      </w:r>
      <w:r w:rsidR="002458BB" w:rsidRPr="00B21FAC">
        <w:t>uitgebouwde duurzaamheidsfiscaliteit</w:t>
      </w:r>
      <w:bookmarkEnd w:id="231"/>
    </w:p>
    <w:p w14:paraId="315F95CF" w14:textId="3B02EBF5" w:rsidR="002458BB" w:rsidRPr="00B21FAC" w:rsidRDefault="002458BB" w:rsidP="00BA7E3E">
      <w:pPr>
        <w:spacing w:after="0"/>
      </w:pPr>
    </w:p>
    <w:p w14:paraId="327B8803" w14:textId="77777777" w:rsidR="00B76E9B" w:rsidRDefault="00B76E9B" w:rsidP="00BA7E3E">
      <w:pPr>
        <w:spacing w:after="0"/>
      </w:pPr>
    </w:p>
    <w:p w14:paraId="481DA35C" w14:textId="373A076E" w:rsidR="00B76E9B" w:rsidRDefault="00B76E9B" w:rsidP="00BA7E3E">
      <w:pPr>
        <w:spacing w:after="0"/>
        <w:jc w:val="both"/>
      </w:pPr>
      <w:r>
        <w:t>Het Belgische belastingsysteem (m.i.v. de sociale zekerheid) viseert in belangrijke mate de arbeid. Consumptie of milieuvervuilende activiteiten worden – relatief gezien (in % van de overheidsinkomsten en in % van het BBP) – minder belast. De laatste jaren is er niettemin een geleidelijke verschuiving van de lasten op arbeid naar de milieuvervuilende activiteiten. Hiermee worden meteen ook prikkels gegeven voor een vergroening van de economie en het bereiken van de klimaat- en milieudoelstellingen.</w:t>
      </w:r>
    </w:p>
    <w:p w14:paraId="0585DB94" w14:textId="77777777" w:rsidR="00917B79" w:rsidRDefault="00917B79" w:rsidP="00BA7E3E">
      <w:pPr>
        <w:spacing w:after="0"/>
        <w:jc w:val="both"/>
      </w:pPr>
    </w:p>
    <w:p w14:paraId="3410CE76" w14:textId="348C4D7F" w:rsidR="00B76E9B" w:rsidRDefault="00B76E9B" w:rsidP="00BA7E3E">
      <w:pPr>
        <w:spacing w:after="0"/>
        <w:jc w:val="both"/>
      </w:pPr>
      <w:r>
        <w:t>Bijkomend kan worden vastgesteld dat de energiebelastingen in België in belangrijke mate gerelateerd zijn aan transport (benzine en diesel). De vergroening van de transportsector (elektrificatie) zal op termijn onvermijdelijk leiden tot een fundamentele verlaging van de accijnsinkomsten.</w:t>
      </w:r>
    </w:p>
    <w:p w14:paraId="03CD5259" w14:textId="77777777" w:rsidR="00B76E9B" w:rsidRDefault="00B76E9B" w:rsidP="00BA7E3E">
      <w:pPr>
        <w:spacing w:after="0"/>
        <w:jc w:val="both"/>
      </w:pPr>
    </w:p>
    <w:p w14:paraId="76DCCCC3" w14:textId="0EB9925F" w:rsidR="00B76E9B" w:rsidRDefault="00B76E9B" w:rsidP="00BA7E3E">
      <w:pPr>
        <w:spacing w:after="0"/>
        <w:jc w:val="both"/>
      </w:pPr>
      <w:r>
        <w:t xml:space="preserve">Daarnaast kent België relatief hoge lasten op elektriciteit en lage lasten </w:t>
      </w:r>
      <w:r w:rsidR="00723904">
        <w:t xml:space="preserve">op </w:t>
      </w:r>
      <w:r>
        <w:t>aardgas, hetgeen mogelijkerwijze tot de verkeerde ‘prikkels’ aanleiding geeft, zoals het ontmoedigen van investeringen in zuinige elektrische verwarming zoals warmtepompen.</w:t>
      </w:r>
    </w:p>
    <w:p w14:paraId="0FA84A08" w14:textId="77777777" w:rsidR="00B76E9B" w:rsidRDefault="00B76E9B" w:rsidP="00BA7E3E">
      <w:pPr>
        <w:spacing w:after="0"/>
        <w:jc w:val="both"/>
      </w:pPr>
    </w:p>
    <w:p w14:paraId="462CCBAE" w14:textId="483BDBDB" w:rsidR="00B76E9B" w:rsidRDefault="00B76E9B" w:rsidP="00BA7E3E">
      <w:pPr>
        <w:spacing w:after="0"/>
        <w:jc w:val="both"/>
      </w:pPr>
      <w:r>
        <w:t>Met het oog op een meer performante duurzaamheidsfiscaliteit (die voldoende sturend is), kunnen diverse pistes verder worden onderzocht</w:t>
      </w:r>
      <w:r w:rsidR="00B42E6A">
        <w:t xml:space="preserve">, die inspelen op de </w:t>
      </w:r>
      <w:r w:rsidR="001E6DDC">
        <w:t>prijs van de goederen.</w:t>
      </w:r>
      <w:r w:rsidR="008F5E1F">
        <w:t xml:space="preserve"> Een en ander dient uiteraard t</w:t>
      </w:r>
      <w:r w:rsidR="0054437E">
        <w:t>e worden gekaderd binnen de ruimere beleidsdoelstellingen rond (o.m.) volksgezondheid en energie.</w:t>
      </w:r>
    </w:p>
    <w:p w14:paraId="3F8EA395" w14:textId="77777777" w:rsidR="00B76E9B" w:rsidRDefault="00B76E9B" w:rsidP="00BA7E3E">
      <w:pPr>
        <w:spacing w:after="0"/>
        <w:jc w:val="both"/>
      </w:pPr>
    </w:p>
    <w:p w14:paraId="5E266F02" w14:textId="3B6E32AE" w:rsidR="00B76E9B" w:rsidRDefault="00B76E9B" w:rsidP="00BA7E3E">
      <w:pPr>
        <w:pStyle w:val="Lijstalinea"/>
        <w:numPr>
          <w:ilvl w:val="0"/>
          <w:numId w:val="66"/>
        </w:numPr>
        <w:spacing w:after="0"/>
        <w:ind w:hanging="294"/>
        <w:jc w:val="both"/>
      </w:pPr>
      <w:r>
        <w:t>De invoering van een CO2-heffing in België</w:t>
      </w:r>
    </w:p>
    <w:p w14:paraId="037D7E71" w14:textId="77777777" w:rsidR="00B76E9B" w:rsidRDefault="00B76E9B" w:rsidP="00BA7E3E">
      <w:pPr>
        <w:pStyle w:val="Lijstalinea"/>
        <w:spacing w:after="0"/>
        <w:jc w:val="both"/>
      </w:pPr>
    </w:p>
    <w:p w14:paraId="006858F2" w14:textId="0D12E572" w:rsidR="00B76E9B" w:rsidRDefault="00B76E9B" w:rsidP="00BA7E3E">
      <w:pPr>
        <w:pStyle w:val="Lijstalinea"/>
        <w:spacing w:after="0"/>
        <w:jc w:val="both"/>
      </w:pPr>
      <w:r>
        <w:t xml:space="preserve">Voor de sectoren die onder het EU ETS vallen is de koolstofprijs recent aanzienlijk gestegen (momenteel boven de € 80 / ton - </w:t>
      </w:r>
      <w:r w:rsidRPr="005C4992">
        <w:t xml:space="preserve">cf. </w:t>
      </w:r>
      <w:hyperlink r:id="rId30" w:history="1">
        <w:r w:rsidR="007E5BD2" w:rsidRPr="00361E8D">
          <w:rPr>
            <w:rStyle w:val="Hyperlink"/>
          </w:rPr>
          <w:t>https://ember-climate.org/data/carbon-price-viewer</w:t>
        </w:r>
      </w:hyperlink>
      <w:r>
        <w:t>). Het EU ETS dekt evenwel niet alle sectoren, onverminderd het feit dat onder de Europese Green Deal wel initiatief werd genomen om ook de transportsector en de gebouwen onder een apart ETS te brengen vanaf 2026. Bovendien moet</w:t>
      </w:r>
      <w:r w:rsidR="00D24D56">
        <w:t>en</w:t>
      </w:r>
      <w:r>
        <w:t xml:space="preserve"> de totale emissies buiten het huidige ETS systeem in België, volgens de nieuw voorgestelde doelstellingen, in 2030 gereduceerd worden van 72 Mt (2019) tot 43 Mt in 2030. De invoering van een CO2-heffing in de niet ETS-sectoren in België, die afgestemd is op ontwikkelingen op EU-niveau, kan ertoe bijdragen deze doelstellingen te halen.</w:t>
      </w:r>
    </w:p>
    <w:p w14:paraId="3E28EF9D" w14:textId="77777777" w:rsidR="00B76E9B" w:rsidRDefault="00B76E9B" w:rsidP="00BA7E3E">
      <w:pPr>
        <w:pStyle w:val="Lijstalinea"/>
        <w:spacing w:after="0"/>
        <w:jc w:val="both"/>
      </w:pPr>
    </w:p>
    <w:p w14:paraId="437D409D" w14:textId="77777777" w:rsidR="00B76E9B" w:rsidRDefault="00B76E9B" w:rsidP="00BA7E3E">
      <w:pPr>
        <w:pStyle w:val="Lijstalinea"/>
        <w:spacing w:after="0"/>
        <w:jc w:val="both"/>
      </w:pPr>
      <w:r>
        <w:t>Heel wat Europese landen hebben reeds een dergelijke heffing ingevoerd. De koplopers zijn zonder twijfel de Scandinavische landen (bv. Finland met een CO2-heffing van meer dan € 60 / ton, Denemarken met een CO2-heffing van € 24/ton en Zweden met een CO2-heffing van € 120/ton). Ook onze buurlanden Frankrijk, Duitsland en Luxemburg hebben intussen dergelijke heffing in de niet-ETS sectoren ingevoerd.</w:t>
      </w:r>
    </w:p>
    <w:p w14:paraId="3724A273" w14:textId="77777777" w:rsidR="00B76E9B" w:rsidRDefault="00B76E9B" w:rsidP="00BA7E3E">
      <w:pPr>
        <w:pStyle w:val="Lijstalinea"/>
        <w:spacing w:after="0"/>
        <w:jc w:val="both"/>
      </w:pPr>
    </w:p>
    <w:p w14:paraId="1378E056" w14:textId="52D9BE27" w:rsidR="00B76E9B" w:rsidRDefault="00B76E9B" w:rsidP="00BA7E3E">
      <w:pPr>
        <w:pStyle w:val="Lijstalinea"/>
        <w:spacing w:after="0"/>
        <w:jc w:val="both"/>
      </w:pPr>
      <w:r w:rsidRPr="00944E40">
        <w:rPr>
          <w:u w:val="single"/>
        </w:rPr>
        <w:t>PM:</w:t>
      </w:r>
      <w:r>
        <w:t xml:space="preserve"> Een CO2-heffing is in sommige gevallen regressief. Het lijkt daarom aangewezen om een deel van de opbrengsten van de heffing te laten terugvloeien naar de laagste inkomens. Een dergelijke terugvloei kan ook gebeuren middels een compensatie of tussenkomt in energiebesparende maatregelen.</w:t>
      </w:r>
    </w:p>
    <w:p w14:paraId="1F42EC74" w14:textId="77777777" w:rsidR="00B76E9B" w:rsidRDefault="00B76E9B" w:rsidP="00BA7E3E">
      <w:pPr>
        <w:pStyle w:val="Lijstalinea"/>
        <w:spacing w:after="0"/>
        <w:jc w:val="both"/>
      </w:pPr>
    </w:p>
    <w:p w14:paraId="6575F43B" w14:textId="77777777" w:rsidR="00B76E9B" w:rsidRDefault="00B76E9B" w:rsidP="00BA7E3E">
      <w:pPr>
        <w:pStyle w:val="Lijstalinea"/>
        <w:spacing w:after="0"/>
        <w:jc w:val="both"/>
      </w:pPr>
      <w:r w:rsidRPr="00944E40">
        <w:rPr>
          <w:u w:val="single"/>
        </w:rPr>
        <w:t>PM:</w:t>
      </w:r>
      <w:r>
        <w:t xml:space="preserve"> De impact van de CO2-heffing op de competitiviteit van de industrie is een zeer belangrijk aandachtspunt. Het valt niet uit te sluiten dat specifieke maatregelen moeten worden genomen t.a.v. energie-intensieve bedrijven (zoals bv. ook in Denemarken en Finland het geval is). Voor de energie-intensieve industrieën wordt de competitiviteitskwestie reeds meegenomen in de vorm van een gratis allocatie, alsook onder de vorm van een mogelijke implementatie van een CBAM.</w:t>
      </w:r>
    </w:p>
    <w:p w14:paraId="79277052" w14:textId="77777777" w:rsidR="00B76E9B" w:rsidRDefault="00B76E9B" w:rsidP="00BA7E3E">
      <w:pPr>
        <w:spacing w:after="0"/>
        <w:jc w:val="both"/>
      </w:pPr>
    </w:p>
    <w:p w14:paraId="790CE169" w14:textId="2C3806EE" w:rsidR="00B76E9B" w:rsidRDefault="00B76E9B" w:rsidP="00BA7E3E">
      <w:pPr>
        <w:pStyle w:val="Lijstalinea"/>
        <w:numPr>
          <w:ilvl w:val="0"/>
          <w:numId w:val="66"/>
        </w:numPr>
        <w:spacing w:after="0"/>
        <w:ind w:hanging="294"/>
        <w:jc w:val="both"/>
      </w:pPr>
      <w:r>
        <w:t>Naast de mogelijke invoering van een CO2-heffing, moet onderzocht worden in welke mate de bestaande subsidies voor fossiele brandstoffen gradueel kunnen uitgefaseerd worden, met de nodige aandacht voor flankerende beleidsmaatregelen (zie ook Nationaal energie- en klimaatplan, p. 276). Deze subsidies werden recent in kaart gebracht door de FOD Financiën en de FOD Volksgezondheid.</w:t>
      </w:r>
    </w:p>
    <w:p w14:paraId="7E308170" w14:textId="77777777" w:rsidR="00B76E9B" w:rsidRDefault="00B76E9B" w:rsidP="00BA7E3E">
      <w:pPr>
        <w:pStyle w:val="Lijstalinea"/>
        <w:spacing w:after="0"/>
        <w:jc w:val="both"/>
      </w:pPr>
    </w:p>
    <w:p w14:paraId="25E28F1D" w14:textId="0C415D03" w:rsidR="00B76E9B" w:rsidRDefault="00E144B4" w:rsidP="00BA7E3E">
      <w:pPr>
        <w:spacing w:after="0"/>
        <w:jc w:val="both"/>
      </w:pPr>
      <w:r>
        <w:t xml:space="preserve">Het voorgaande neemt uiteraard niet weg dat er, naast de maatregelen die inspelen op de prijs van de goederen, ook </w:t>
      </w:r>
      <w:r w:rsidR="00B76E9B">
        <w:t xml:space="preserve">andere mogelijke denkbare pistes </w:t>
      </w:r>
      <w:r>
        <w:t xml:space="preserve">zijn </w:t>
      </w:r>
      <w:r w:rsidR="00B76E9B">
        <w:t xml:space="preserve">die kunnen leiden tot een vergroening van de federale fiscaliteit. De </w:t>
      </w:r>
      <w:r w:rsidR="00EA509D">
        <w:t>f</w:t>
      </w:r>
      <w:r w:rsidR="00B76E9B">
        <w:t xml:space="preserve">ederale </w:t>
      </w:r>
      <w:r w:rsidR="00EA509D">
        <w:t>o</w:t>
      </w:r>
      <w:r w:rsidR="00B76E9B">
        <w:t xml:space="preserve">verheid kan inderdaad diverse maatregelen nemen, m.b.t. diverse sectoren (bouw, transport, industrie, landbouw, circulaire economie, financiële sector). De doelstelling van de vergroening impliceert </w:t>
      </w:r>
      <w:r w:rsidR="00D24D56">
        <w:t xml:space="preserve">overigens </w:t>
      </w:r>
      <w:r w:rsidR="00B76E9B">
        <w:t>niet noodzakelijk de invoering van nieuwe (ontradende) heffingen, maar kan eveneens de vorm aannemen van gunstmaatregelen (vrijstellingen, verlaagde tarieven,…</w:t>
      </w:r>
      <w:r w:rsidR="00770163">
        <w:t>)</w:t>
      </w:r>
      <w:r w:rsidR="00B76E9B">
        <w:t xml:space="preserve"> </w:t>
      </w:r>
      <w:r w:rsidR="00770163">
        <w:t xml:space="preserve">binnen de </w:t>
      </w:r>
      <w:r w:rsidR="00B76E9B">
        <w:t>bestaande belastingen (o.m. consumptiebelastingen of inkomstenbelastingen).</w:t>
      </w:r>
      <w:r w:rsidR="005062B3">
        <w:t xml:space="preserve"> </w:t>
      </w:r>
      <w:r w:rsidR="0004140D">
        <w:t>Ook hier zal echter weer zaak zijn de efficiëntietoets op gepaste wijze uit te voeren (cf. bouwsteen 10).</w:t>
      </w:r>
    </w:p>
    <w:p w14:paraId="5A177014" w14:textId="1A0ED693" w:rsidR="00700E55" w:rsidRDefault="00700E55">
      <w:r>
        <w:br w:type="page"/>
      </w:r>
    </w:p>
    <w:p w14:paraId="464A72CF" w14:textId="5219B3C3" w:rsidR="004D3EB5" w:rsidRDefault="004D3EB5" w:rsidP="004D3EB5">
      <w:pPr>
        <w:spacing w:after="0"/>
      </w:pPr>
    </w:p>
    <w:p w14:paraId="3F122DC3" w14:textId="77777777" w:rsidR="00867972" w:rsidRDefault="00867972" w:rsidP="004D3EB5">
      <w:pPr>
        <w:spacing w:after="0"/>
      </w:pPr>
    </w:p>
    <w:p w14:paraId="32231164" w14:textId="77777777" w:rsidR="004D3EB5" w:rsidRDefault="004D3EB5" w:rsidP="004D3EB5">
      <w:pPr>
        <w:spacing w:after="0"/>
      </w:pPr>
    </w:p>
    <w:p w14:paraId="4E81C43C" w14:textId="3BA95AF4" w:rsidR="00F60022" w:rsidRPr="00CE00B6" w:rsidRDefault="0066487A" w:rsidP="0066487A">
      <w:pPr>
        <w:pStyle w:val="Kop1"/>
        <w:numPr>
          <w:ilvl w:val="0"/>
          <w:numId w:val="32"/>
        </w:numPr>
        <w:rPr>
          <w:smallCaps/>
        </w:rPr>
      </w:pPr>
      <w:bookmarkStart w:id="232" w:name="_Toc107210955"/>
      <w:r>
        <w:rPr>
          <w:smallCaps/>
        </w:rPr>
        <w:t>Slotbeschouwing</w:t>
      </w:r>
      <w:bookmarkEnd w:id="232"/>
    </w:p>
    <w:p w14:paraId="4898C00D" w14:textId="787AACF9" w:rsidR="00700E55" w:rsidRDefault="00700E55" w:rsidP="00BA7E3E">
      <w:pPr>
        <w:spacing w:after="0"/>
        <w:jc w:val="both"/>
      </w:pPr>
    </w:p>
    <w:p w14:paraId="26355420" w14:textId="623D4CCC" w:rsidR="00304A2A" w:rsidRDefault="00304A2A" w:rsidP="00BA7E3E">
      <w:pPr>
        <w:spacing w:after="0"/>
        <w:jc w:val="both"/>
      </w:pPr>
    </w:p>
    <w:p w14:paraId="64B81F53" w14:textId="77777777" w:rsidR="00C344F5" w:rsidRDefault="00C344F5" w:rsidP="00BA7E3E">
      <w:pPr>
        <w:spacing w:after="0"/>
        <w:jc w:val="both"/>
      </w:pPr>
    </w:p>
    <w:p w14:paraId="40B786B1" w14:textId="6EE15004" w:rsidR="00921B4D" w:rsidRDefault="00DF223E" w:rsidP="00BA7E3E">
      <w:pPr>
        <w:spacing w:after="0"/>
        <w:jc w:val="both"/>
      </w:pPr>
      <w:r>
        <w:t>Een grondige fiscale hervorming voorbereiden is zeer zeker geen sinecure</w:t>
      </w:r>
      <w:r w:rsidR="00A80D21">
        <w:t xml:space="preserve">, temeer daar ons land een </w:t>
      </w:r>
      <w:r w:rsidR="00A24CAF">
        <w:t xml:space="preserve">fiscale structuur kent, die doorheen de jaren, om diverse redenen, </w:t>
      </w:r>
      <w:r w:rsidR="00A14C6B">
        <w:t xml:space="preserve">zeer complex is geworden. </w:t>
      </w:r>
      <w:r w:rsidR="00307AC2">
        <w:t xml:space="preserve">Veeleer dan ad hoc in </w:t>
      </w:r>
      <w:r w:rsidR="005F3C83">
        <w:t xml:space="preserve">te </w:t>
      </w:r>
      <w:r w:rsidR="00307AC2">
        <w:t xml:space="preserve">grijpen, lijkt de tijd rijp om het stelsel </w:t>
      </w:r>
      <w:r w:rsidR="00D6256F">
        <w:t>opnieuw op te bouwen.</w:t>
      </w:r>
    </w:p>
    <w:p w14:paraId="1908085B" w14:textId="77777777" w:rsidR="00921B4D" w:rsidRDefault="00921B4D" w:rsidP="00BA7E3E">
      <w:pPr>
        <w:spacing w:after="0"/>
        <w:jc w:val="both"/>
      </w:pPr>
    </w:p>
    <w:p w14:paraId="69A3AD72" w14:textId="5775E6B0" w:rsidR="00592E77" w:rsidRDefault="00FB6348" w:rsidP="00BA7E3E">
      <w:pPr>
        <w:spacing w:after="0"/>
        <w:jc w:val="both"/>
      </w:pPr>
      <w:r>
        <w:t xml:space="preserve">Over de wijze waarop dit moet gebeuren, bestaan uiteenlopende meningen, die (begrijpelijkerwijze) vaak gedicteerd worden vanuit de eigen </w:t>
      </w:r>
      <w:r w:rsidR="00AF5EBC">
        <w:t xml:space="preserve">maatschappelijke </w:t>
      </w:r>
      <w:r w:rsidR="00DE7377">
        <w:t xml:space="preserve">omgeving. </w:t>
      </w:r>
    </w:p>
    <w:p w14:paraId="06F6AE29" w14:textId="40840B86" w:rsidR="00A33499" w:rsidRDefault="00A33499" w:rsidP="00BA7E3E">
      <w:pPr>
        <w:spacing w:after="0"/>
        <w:jc w:val="both"/>
      </w:pPr>
    </w:p>
    <w:p w14:paraId="6EA718E9" w14:textId="744EC98F" w:rsidR="00A60BD7" w:rsidRDefault="00DD74BC" w:rsidP="00BA7E3E">
      <w:pPr>
        <w:spacing w:after="0"/>
        <w:jc w:val="both"/>
      </w:pPr>
      <w:r>
        <w:t xml:space="preserve">Teneinde </w:t>
      </w:r>
      <w:r w:rsidR="003C09DF">
        <w:t>dergelijke debatten te kanaliseren</w:t>
      </w:r>
      <w:r>
        <w:t>, is het dan ook van belang de uitgangspunten (en met name de pijlers) voor een hervorming scherp te stellen</w:t>
      </w:r>
      <w:r w:rsidR="003C09DF">
        <w:t xml:space="preserve">. </w:t>
      </w:r>
      <w:r w:rsidR="00DF223E">
        <w:t xml:space="preserve">De </w:t>
      </w:r>
      <w:r w:rsidR="00ED4C56">
        <w:t xml:space="preserve">aandachtige </w:t>
      </w:r>
      <w:r w:rsidR="00DF223E">
        <w:t xml:space="preserve">lezer van dit rapport zal </w:t>
      </w:r>
      <w:r w:rsidR="00922461">
        <w:t xml:space="preserve">alvast </w:t>
      </w:r>
      <w:r w:rsidR="000B04CB">
        <w:t>op</w:t>
      </w:r>
      <w:r w:rsidR="00ED4C56">
        <w:t xml:space="preserve">gemerkt hebben dat </w:t>
      </w:r>
      <w:r w:rsidR="00F72047">
        <w:t>het definiëren van duidelijke uitgangspunten en bouwstenen</w:t>
      </w:r>
      <w:r w:rsidR="000E50B4">
        <w:t xml:space="preserve"> reeds </w:t>
      </w:r>
      <w:r w:rsidR="00F72047">
        <w:t xml:space="preserve">in belangrijke mate kan bijdragen tot een opbouw van een coherent fiscaal stelsel. </w:t>
      </w:r>
    </w:p>
    <w:p w14:paraId="3ED9498B" w14:textId="31F3C3C2" w:rsidR="00A60BD7" w:rsidRDefault="00A60BD7" w:rsidP="00BA7E3E">
      <w:pPr>
        <w:spacing w:after="0"/>
        <w:jc w:val="both"/>
      </w:pPr>
    </w:p>
    <w:p w14:paraId="6023CFB5" w14:textId="77777777" w:rsidR="00A2536D" w:rsidRDefault="00A2536D" w:rsidP="00BA7E3E">
      <w:pPr>
        <w:spacing w:after="0"/>
        <w:jc w:val="both"/>
      </w:pPr>
    </w:p>
    <w:p w14:paraId="5EFD3169" w14:textId="1B73A6F8" w:rsidR="00DF223E" w:rsidRDefault="00F72047" w:rsidP="00BA7E3E">
      <w:pPr>
        <w:spacing w:after="0"/>
        <w:jc w:val="both"/>
      </w:pPr>
      <w:r>
        <w:t xml:space="preserve">Dit neemt niet weg dat </w:t>
      </w:r>
      <w:r w:rsidR="00BC63D1">
        <w:t xml:space="preserve">nog altijd </w:t>
      </w:r>
      <w:r w:rsidR="009D68B6">
        <w:t>keuzes moeten gemaakt worden, vaak ook omdat bepaalde (nobele) uitgangspunten met elkaar in conflict kunnen komen.</w:t>
      </w:r>
    </w:p>
    <w:p w14:paraId="2E2D12F2" w14:textId="120262D1" w:rsidR="009D68B6" w:rsidRDefault="009D68B6" w:rsidP="00BA7E3E">
      <w:pPr>
        <w:spacing w:after="0"/>
        <w:jc w:val="both"/>
      </w:pPr>
    </w:p>
    <w:p w14:paraId="00959DE8" w14:textId="6F69DF11" w:rsidR="00C227A8" w:rsidRDefault="00C227A8" w:rsidP="00BA7E3E">
      <w:pPr>
        <w:spacing w:after="0"/>
        <w:jc w:val="both"/>
      </w:pPr>
      <w:r>
        <w:t xml:space="preserve">Ook in dit rapport werden </w:t>
      </w:r>
      <w:r w:rsidR="00A504B8">
        <w:t>overigens richtinggevende</w:t>
      </w:r>
      <w:r>
        <w:t xml:space="preserve"> keuzes gemaakt, weliswaar vanuit het kader </w:t>
      </w:r>
      <w:r w:rsidR="00A504B8">
        <w:t xml:space="preserve">dat in het Regeerakkoord werd aangereikt. </w:t>
      </w:r>
    </w:p>
    <w:p w14:paraId="155679F0" w14:textId="77777777" w:rsidR="00C227A8" w:rsidRDefault="00C227A8" w:rsidP="00BA7E3E">
      <w:pPr>
        <w:spacing w:after="0"/>
        <w:jc w:val="both"/>
      </w:pPr>
    </w:p>
    <w:p w14:paraId="7880D242" w14:textId="459791F1" w:rsidR="00091A0B" w:rsidRDefault="004B16C1" w:rsidP="00BA7E3E">
      <w:pPr>
        <w:spacing w:after="0"/>
        <w:jc w:val="both"/>
      </w:pPr>
      <w:r>
        <w:t xml:space="preserve">Ideologische voorkeuren kunnen bij het maken van dergelijke keuzes </w:t>
      </w:r>
      <w:r w:rsidR="005B3FE5">
        <w:t xml:space="preserve">overigens </w:t>
      </w:r>
      <w:r w:rsidR="00431A89">
        <w:t xml:space="preserve">ook </w:t>
      </w:r>
      <w:r>
        <w:t xml:space="preserve">nooit geheel worden uitgesloten. </w:t>
      </w:r>
      <w:r w:rsidR="00115AE7">
        <w:t>Maar d</w:t>
      </w:r>
      <w:r w:rsidR="00BD7FE1">
        <w:t xml:space="preserve">e belangrijkste drijfveer </w:t>
      </w:r>
      <w:r w:rsidR="00115AE7">
        <w:t>z</w:t>
      </w:r>
      <w:r w:rsidR="00EB3417">
        <w:t xml:space="preserve">al </w:t>
      </w:r>
      <w:r w:rsidR="00115AE7">
        <w:t xml:space="preserve">toch steeds </w:t>
      </w:r>
      <w:r w:rsidR="00EB3417">
        <w:t xml:space="preserve">het algemeen belang moeten zijn, </w:t>
      </w:r>
      <w:r w:rsidR="00115AE7">
        <w:t xml:space="preserve">met respect voor de individuele eigenheden. </w:t>
      </w:r>
      <w:r w:rsidR="00091A0B">
        <w:t>D</w:t>
      </w:r>
      <w:r w:rsidR="007D32DB">
        <w:t>e</w:t>
      </w:r>
      <w:r w:rsidR="00EB3417">
        <w:t xml:space="preserve"> kleine </w:t>
      </w:r>
      <w:r w:rsidR="00B31626">
        <w:t>(vaak tegengestelde</w:t>
      </w:r>
      <w:r w:rsidR="007D32DB">
        <w:t>)</w:t>
      </w:r>
      <w:r w:rsidR="00B31626">
        <w:t xml:space="preserve"> belangen </w:t>
      </w:r>
      <w:r w:rsidR="00091A0B">
        <w:t xml:space="preserve">zullen </w:t>
      </w:r>
      <w:r w:rsidR="00B31626">
        <w:t>moe</w:t>
      </w:r>
      <w:r w:rsidR="007D32DB">
        <w:t>ten overstegen worden</w:t>
      </w:r>
      <w:r w:rsidR="00B31626">
        <w:t xml:space="preserve">. </w:t>
      </w:r>
    </w:p>
    <w:p w14:paraId="3EE9E6C5" w14:textId="77777777" w:rsidR="00091A0B" w:rsidRDefault="00091A0B" w:rsidP="00BA7E3E">
      <w:pPr>
        <w:spacing w:after="0"/>
        <w:jc w:val="both"/>
      </w:pPr>
    </w:p>
    <w:p w14:paraId="39C34264" w14:textId="482C8B53" w:rsidR="009D68B6" w:rsidRDefault="00B31626" w:rsidP="00BA7E3E">
      <w:pPr>
        <w:spacing w:after="0"/>
        <w:jc w:val="both"/>
      </w:pPr>
      <w:r>
        <w:t xml:space="preserve">Bovenal moet </w:t>
      </w:r>
      <w:r w:rsidR="00331909">
        <w:t xml:space="preserve">inderdaad </w:t>
      </w:r>
      <w:r w:rsidR="004816BA">
        <w:t xml:space="preserve">de </w:t>
      </w:r>
      <w:r>
        <w:t>wens prevaleren</w:t>
      </w:r>
      <w:r w:rsidR="00BD7FE1">
        <w:t xml:space="preserve"> om met z’n allen vooruit</w:t>
      </w:r>
      <w:r w:rsidR="007D32DB">
        <w:t>gang te boeken</w:t>
      </w:r>
      <w:r w:rsidR="00331909">
        <w:t>.</w:t>
      </w:r>
      <w:r w:rsidR="009140CC">
        <w:t xml:space="preserve"> Geen verdeel-en-heers fiscaliteit, maar wel een belastingstelsel dat in zijn coherentie</w:t>
      </w:r>
      <w:r w:rsidR="002F05BF">
        <w:t xml:space="preserve"> en globaliteit </w:t>
      </w:r>
      <w:r w:rsidR="00EC51DD">
        <w:t>de kenmerken van een ‘goede belasting’ uitstraalt</w:t>
      </w:r>
      <w:r w:rsidR="009140CC">
        <w:t>.</w:t>
      </w:r>
    </w:p>
    <w:p w14:paraId="4620B2E5" w14:textId="49FD1309" w:rsidR="00DF223E" w:rsidRDefault="00DF223E" w:rsidP="00BA7E3E">
      <w:pPr>
        <w:spacing w:after="0"/>
        <w:jc w:val="both"/>
      </w:pPr>
    </w:p>
    <w:p w14:paraId="0CD01A1D" w14:textId="268675D8" w:rsidR="008F141D" w:rsidRDefault="008F141D" w:rsidP="00BA7E3E">
      <w:pPr>
        <w:spacing w:after="0"/>
        <w:jc w:val="both"/>
      </w:pPr>
    </w:p>
    <w:p w14:paraId="7FB79E25" w14:textId="77777777" w:rsidR="008F141D" w:rsidRPr="008F141D" w:rsidRDefault="008F141D" w:rsidP="008F141D">
      <w:pPr>
        <w:spacing w:after="0"/>
        <w:jc w:val="both"/>
      </w:pPr>
      <w:r w:rsidRPr="008F141D">
        <w:t xml:space="preserve">Ik hoop op zijn minst dat ik met deze nota de lezer tot enige reflectie heb aangezet, met als doel het verdere debat op de juiste gronden te kunnen voeren. </w:t>
      </w:r>
    </w:p>
    <w:p w14:paraId="423AE38F" w14:textId="77777777" w:rsidR="008F141D" w:rsidRPr="008F141D" w:rsidRDefault="008F141D" w:rsidP="008F141D">
      <w:pPr>
        <w:spacing w:after="0"/>
        <w:jc w:val="both"/>
      </w:pPr>
    </w:p>
    <w:p w14:paraId="6838B100" w14:textId="145E7B68" w:rsidR="008F141D" w:rsidRPr="008F141D" w:rsidRDefault="00F9173D" w:rsidP="008F141D">
      <w:pPr>
        <w:spacing w:after="0"/>
        <w:jc w:val="both"/>
      </w:pPr>
      <w:r>
        <w:t>Het komt nu uiteraard aan</w:t>
      </w:r>
      <w:r w:rsidR="008F141D" w:rsidRPr="008F141D">
        <w:t xml:space="preserve"> de wetgever toe om de lijnen uit te stippelen en de fundamenten van de hervorming te leggen.</w:t>
      </w:r>
    </w:p>
    <w:p w14:paraId="0F63B8DD" w14:textId="77777777" w:rsidR="008F141D" w:rsidRDefault="008F141D" w:rsidP="00BA7E3E">
      <w:pPr>
        <w:spacing w:after="0"/>
        <w:jc w:val="both"/>
      </w:pPr>
    </w:p>
    <w:p w14:paraId="6EDB50C6" w14:textId="11666FDF" w:rsidR="00091A0B" w:rsidRDefault="00091A0B" w:rsidP="00BA7E3E">
      <w:pPr>
        <w:spacing w:after="0"/>
        <w:jc w:val="both"/>
      </w:pPr>
    </w:p>
    <w:p w14:paraId="21DE7F80" w14:textId="5292497E" w:rsidR="002D3521" w:rsidRDefault="002D3521" w:rsidP="00BA7E3E">
      <w:pPr>
        <w:spacing w:after="0"/>
        <w:jc w:val="both"/>
      </w:pPr>
      <w:r>
        <w:t xml:space="preserve">Zoals ik reeds in het voorwoord heb aangehaald, is </w:t>
      </w:r>
      <w:r w:rsidR="00DF09CA">
        <w:t xml:space="preserve">ook na deze conceptuele fase </w:t>
      </w:r>
      <w:r>
        <w:t>het werk in ieder geval niet af.</w:t>
      </w:r>
      <w:r w:rsidR="00C97369">
        <w:t xml:space="preserve"> De effecten, op diverse niveaus, moeten nauwkeurig in kaart worden gebracht. </w:t>
      </w:r>
    </w:p>
    <w:p w14:paraId="00AE4BC9" w14:textId="77777777" w:rsidR="005E0179" w:rsidRDefault="005E0179" w:rsidP="00BA7E3E">
      <w:pPr>
        <w:spacing w:after="0"/>
        <w:jc w:val="both"/>
      </w:pPr>
    </w:p>
    <w:p w14:paraId="597DD2DF" w14:textId="77777777" w:rsidR="00ED5AD1" w:rsidRDefault="00DC32D8" w:rsidP="00BA7E3E">
      <w:pPr>
        <w:spacing w:after="0"/>
        <w:jc w:val="both"/>
      </w:pPr>
      <w:r>
        <w:t xml:space="preserve">Maar dat er grensverleggende mogelijkheden zijn, staat in ieder geval </w:t>
      </w:r>
      <w:r w:rsidR="003B5DE1">
        <w:t xml:space="preserve">buiten kijf. </w:t>
      </w:r>
    </w:p>
    <w:p w14:paraId="2F32CF82" w14:textId="77777777" w:rsidR="00ED5AD1" w:rsidRDefault="00ED5AD1" w:rsidP="00BA7E3E">
      <w:pPr>
        <w:spacing w:after="0"/>
        <w:jc w:val="both"/>
      </w:pPr>
    </w:p>
    <w:p w14:paraId="085A94DD" w14:textId="4D0C1EC5" w:rsidR="00562ABA" w:rsidRDefault="00E47BD5" w:rsidP="00BA7E3E">
      <w:pPr>
        <w:spacing w:after="0"/>
        <w:jc w:val="both"/>
      </w:pPr>
      <w:r>
        <w:t xml:space="preserve">Bij wijze van finale slotbeschouwing, </w:t>
      </w:r>
      <w:r w:rsidR="0085455B">
        <w:t xml:space="preserve">toon ik u </w:t>
      </w:r>
      <w:r w:rsidR="005E0179">
        <w:t xml:space="preserve">alvast </w:t>
      </w:r>
      <w:r w:rsidR="0085455B">
        <w:t xml:space="preserve">graag de </w:t>
      </w:r>
      <w:r w:rsidR="00ED5AD1">
        <w:t>gevoegde</w:t>
      </w:r>
      <w:r w:rsidR="0085455B">
        <w:t xml:space="preserve"> </w:t>
      </w:r>
      <w:r w:rsidR="00570E80">
        <w:t xml:space="preserve">(louter illustratieve) </w:t>
      </w:r>
      <w:r w:rsidR="0085455B">
        <w:t xml:space="preserve">afbeelding die </w:t>
      </w:r>
      <w:r w:rsidR="007A4B42">
        <w:t>de omvang van een dergeli</w:t>
      </w:r>
      <w:r w:rsidR="006173E3">
        <w:t>jke operatie aantoont</w:t>
      </w:r>
      <w:r w:rsidR="00570E80">
        <w:t xml:space="preserve"> en die </w:t>
      </w:r>
      <w:r w:rsidR="0085455B">
        <w:t xml:space="preserve">een idee kan geven van de mogelijke herschikkingen en vereenvoudigingen waartoe een hervorming kan leiden.  </w:t>
      </w:r>
    </w:p>
    <w:p w14:paraId="0CFBABF5" w14:textId="321EA776" w:rsidR="00560BD4" w:rsidRDefault="00560BD4" w:rsidP="00BA7E3E">
      <w:pPr>
        <w:spacing w:after="0"/>
        <w:jc w:val="both"/>
      </w:pPr>
    </w:p>
    <w:p w14:paraId="5D0B2DB6" w14:textId="77777777" w:rsidR="00694765" w:rsidRDefault="00694765" w:rsidP="00BA7E3E">
      <w:pPr>
        <w:spacing w:after="0"/>
        <w:jc w:val="both"/>
      </w:pPr>
    </w:p>
    <w:p w14:paraId="3F664488" w14:textId="77777777" w:rsidR="0076681F" w:rsidRDefault="00694765" w:rsidP="006000FE">
      <w:pPr>
        <w:spacing w:after="0"/>
        <w:ind w:left="-142"/>
        <w:jc w:val="both"/>
        <w:sectPr w:rsidR="0076681F" w:rsidSect="00A47186">
          <w:pgSz w:w="11906" w:h="16838"/>
          <w:pgMar w:top="1560" w:right="1558" w:bottom="1135" w:left="1417" w:header="708" w:footer="708" w:gutter="0"/>
          <w:pgNumType w:start="0"/>
          <w:cols w:space="708"/>
          <w:titlePg/>
          <w:docGrid w:linePitch="360"/>
        </w:sectPr>
      </w:pPr>
      <w:r w:rsidRPr="00694765">
        <w:rPr>
          <w:noProof/>
        </w:rPr>
        <w:drawing>
          <wp:inline distT="0" distB="0" distL="0" distR="0" wp14:anchorId="0A738FBE" wp14:editId="1F1AE134">
            <wp:extent cx="5882640" cy="7162165"/>
            <wp:effectExtent l="0" t="0" r="3810"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0403" cy="7171617"/>
                    </a:xfrm>
                    <a:prstGeom prst="rect">
                      <a:avLst/>
                    </a:prstGeom>
                    <a:noFill/>
                    <a:ln>
                      <a:noFill/>
                    </a:ln>
                  </pic:spPr>
                </pic:pic>
              </a:graphicData>
            </a:graphic>
          </wp:inline>
        </w:drawing>
      </w:r>
    </w:p>
    <w:p w14:paraId="305F86A1" w14:textId="15A701B2" w:rsidR="00562ABA" w:rsidRPr="00D27B00" w:rsidRDefault="00562ABA" w:rsidP="004C32CD"/>
    <w:sectPr w:rsidR="00562ABA" w:rsidRPr="00D27B00" w:rsidSect="00A47186">
      <w:pgSz w:w="11906" w:h="16838"/>
      <w:pgMar w:top="1560" w:right="1558" w:bottom="1135"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594310" w14:textId="77777777" w:rsidR="00E46F89" w:rsidRDefault="00E46F89" w:rsidP="00E3781E">
      <w:pPr>
        <w:spacing w:after="0" w:line="240" w:lineRule="auto"/>
      </w:pPr>
      <w:r>
        <w:separator/>
      </w:r>
    </w:p>
  </w:endnote>
  <w:endnote w:type="continuationSeparator" w:id="0">
    <w:p w14:paraId="66D6988D" w14:textId="77777777" w:rsidR="00E46F89" w:rsidRDefault="00E46F89" w:rsidP="00E3781E">
      <w:pPr>
        <w:spacing w:after="0" w:line="240" w:lineRule="auto"/>
      </w:pPr>
      <w:r>
        <w:continuationSeparator/>
      </w:r>
    </w:p>
  </w:endnote>
  <w:endnote w:type="continuationNotice" w:id="1">
    <w:p w14:paraId="1C0D3D0C" w14:textId="77777777" w:rsidR="00E46F89" w:rsidRDefault="00E46F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re Baskerville">
    <w:altName w:val="Calibri"/>
    <w:charset w:val="00"/>
    <w:family w:val="auto"/>
    <w:pitch w:val="variable"/>
    <w:sig w:usb0="A00000BF" w:usb1="5000005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827137"/>
      <w:docPartObj>
        <w:docPartGallery w:val="Page Numbers (Bottom of Page)"/>
        <w:docPartUnique/>
      </w:docPartObj>
    </w:sdtPr>
    <w:sdtEndPr/>
    <w:sdtContent>
      <w:p w14:paraId="4FBEAD5D" w14:textId="4B183328" w:rsidR="0072767F" w:rsidRDefault="00745312">
        <w:pPr>
          <w:pStyle w:val="Voettekst"/>
        </w:pPr>
        <w:r>
          <w:rPr>
            <w:noProof/>
          </w:rPr>
          <mc:AlternateContent>
            <mc:Choice Requires="wps">
              <w:drawing>
                <wp:anchor distT="0" distB="0" distL="114300" distR="114300" simplePos="0" relativeHeight="251659264" behindDoc="0" locked="0" layoutInCell="1" allowOverlap="1" wp14:anchorId="4EE4F200" wp14:editId="3FC737AC">
                  <wp:simplePos x="0" y="0"/>
                  <wp:positionH relativeFrom="rightMargin">
                    <wp:align>center</wp:align>
                  </wp:positionH>
                  <wp:positionV relativeFrom="bottomMargin">
                    <wp:align>center</wp:align>
                  </wp:positionV>
                  <wp:extent cx="565785" cy="19177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024DB5E" w14:textId="77777777" w:rsidR="00745312" w:rsidRDefault="0074531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lang w:val="nl-NL"/>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w16sdtdh="http://schemas.microsoft.com/office/word/2020/wordml/sdtdatahash" xmlns:oel="http://schemas.microsoft.com/office/2019/extlst">
              <w:pict>
                <v:rect w14:anchorId="4EE4F200" id="Rechthoek 2" o:spid="_x0000_s1029"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4024DB5E" w14:textId="77777777" w:rsidR="00745312" w:rsidRDefault="0074531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lang w:val="nl-NL"/>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639CC0" w14:textId="77777777" w:rsidR="00E46F89" w:rsidRDefault="00E46F89" w:rsidP="00E3781E">
      <w:pPr>
        <w:spacing w:after="0" w:line="240" w:lineRule="auto"/>
      </w:pPr>
      <w:r>
        <w:separator/>
      </w:r>
    </w:p>
  </w:footnote>
  <w:footnote w:type="continuationSeparator" w:id="0">
    <w:p w14:paraId="24359473" w14:textId="77777777" w:rsidR="00E46F89" w:rsidRDefault="00E46F89" w:rsidP="00E3781E">
      <w:pPr>
        <w:spacing w:after="0" w:line="240" w:lineRule="auto"/>
      </w:pPr>
      <w:r>
        <w:continuationSeparator/>
      </w:r>
    </w:p>
  </w:footnote>
  <w:footnote w:type="continuationNotice" w:id="1">
    <w:p w14:paraId="4EBA16CD" w14:textId="77777777" w:rsidR="00E46F89" w:rsidRDefault="00E46F89">
      <w:pPr>
        <w:spacing w:after="0" w:line="240" w:lineRule="auto"/>
      </w:pPr>
    </w:p>
  </w:footnote>
  <w:footnote w:id="2">
    <w:p w14:paraId="23F9203F" w14:textId="77777777" w:rsidR="0072767F" w:rsidRPr="00D04FF4" w:rsidRDefault="0072767F" w:rsidP="008E5C07">
      <w:pPr>
        <w:pStyle w:val="Voetnoottekst"/>
        <w:jc w:val="both"/>
        <w:rPr>
          <w:lang w:val="nl-NL"/>
        </w:rPr>
      </w:pPr>
      <w:r>
        <w:rPr>
          <w:rStyle w:val="Voetnootmarkering"/>
        </w:rPr>
        <w:footnoteRef/>
      </w:r>
      <w:r>
        <w:t xml:space="preserve"> </w:t>
      </w:r>
      <w:r w:rsidRPr="00D04FF4">
        <w:t>Door de heffingen op arbeid en bijgevolg de pro</w:t>
      </w:r>
      <w:r>
        <w:t>duct</w:t>
      </w:r>
      <w:r w:rsidRPr="00D04FF4">
        <w:t>iekost te verlagen en teg</w:t>
      </w:r>
      <w:r>
        <w:t>e</w:t>
      </w:r>
      <w:r w:rsidRPr="00D04FF4">
        <w:t>lijk de bela</w:t>
      </w:r>
      <w:r>
        <w:t>s</w:t>
      </w:r>
      <w:r w:rsidRPr="00D04FF4">
        <w:t>tingen op binnenlandse consumptie te verhogen bereikt men hetzelfde effect als bij een nominale devaluatie van de munt.</w:t>
      </w:r>
    </w:p>
  </w:footnote>
  <w:footnote w:id="3">
    <w:p w14:paraId="584F9E73" w14:textId="77777777" w:rsidR="0072767F" w:rsidRPr="00EE67D8" w:rsidRDefault="0072767F" w:rsidP="00BA7E3E">
      <w:pPr>
        <w:pStyle w:val="Voetnoottekst"/>
        <w:jc w:val="both"/>
        <w:rPr>
          <w:lang w:val="nl-NL"/>
        </w:rPr>
      </w:pPr>
      <w:r>
        <w:rPr>
          <w:rStyle w:val="Voetnootmarkering"/>
        </w:rPr>
        <w:footnoteRef/>
      </w:r>
      <w:r>
        <w:t xml:space="preserve"> </w:t>
      </w:r>
      <w:r>
        <w:rPr>
          <w:lang w:val="nl-NL"/>
        </w:rPr>
        <w:t>Zie in de zin expliciet t.a.v. wettelijk samenwonenden, art. 1477, § 3 BW. Tussen gehuwden gelden nog ruimere bijstandsverplichtingen (zie art. 213 BW).</w:t>
      </w:r>
    </w:p>
  </w:footnote>
  <w:footnote w:id="4">
    <w:p w14:paraId="6380861D" w14:textId="202A6C8D" w:rsidR="0072767F" w:rsidRPr="00277570" w:rsidRDefault="0072767F" w:rsidP="00A57A2D">
      <w:pPr>
        <w:pStyle w:val="Voetnoottekst"/>
        <w:rPr>
          <w:lang w:val="nl-NL"/>
        </w:rPr>
      </w:pPr>
      <w:r>
        <w:rPr>
          <w:rStyle w:val="Voetnootmarkering"/>
        </w:rPr>
        <w:footnoteRef/>
      </w:r>
      <w:r>
        <w:t xml:space="preserve"> </w:t>
      </w:r>
      <w:r>
        <w:rPr>
          <w:lang w:val="nl-NL"/>
        </w:rPr>
        <w:t>De</w:t>
      </w:r>
      <w:r w:rsidR="00E2115F">
        <w:rPr>
          <w:lang w:val="nl-NL"/>
        </w:rPr>
        <w:t xml:space="preserve"> pensioenen en</w:t>
      </w:r>
      <w:r>
        <w:rPr>
          <w:lang w:val="nl-NL"/>
        </w:rPr>
        <w:t xml:space="preserve"> vervangingsinkomsten (zowel opbouw als uitkering) worden in een apart onderdeel besproken.</w:t>
      </w:r>
    </w:p>
  </w:footnote>
  <w:footnote w:id="5">
    <w:p w14:paraId="54A5E4B8" w14:textId="77777777" w:rsidR="0072767F" w:rsidRPr="00C5035D" w:rsidRDefault="0072767F" w:rsidP="00A57A2D">
      <w:pPr>
        <w:pStyle w:val="Voetnoottekst"/>
        <w:rPr>
          <w:lang w:val="nl-NL"/>
        </w:rPr>
      </w:pPr>
      <w:r>
        <w:rPr>
          <w:rStyle w:val="Voetnootmarkering"/>
        </w:rPr>
        <w:footnoteRef/>
      </w:r>
      <w:r>
        <w:t xml:space="preserve"> </w:t>
      </w:r>
      <w:r>
        <w:rPr>
          <w:lang w:val="nl-NL"/>
        </w:rPr>
        <w:t xml:space="preserve">MvT bij het wetsontwerp betreffende het Belgische actieplan voor de werkgelegenheid 1998 en houdende diverse bepalingen, </w:t>
      </w:r>
      <w:r w:rsidRPr="00C1727E">
        <w:rPr>
          <w:i/>
          <w:iCs/>
          <w:lang w:val="nl-NL"/>
        </w:rPr>
        <w:t>Parl. St.</w:t>
      </w:r>
      <w:r>
        <w:rPr>
          <w:lang w:val="nl-NL"/>
        </w:rPr>
        <w:t xml:space="preserve"> Kamer, 1997-1998, nr. 49-1912/001, p. 7 e.v.</w:t>
      </w:r>
    </w:p>
  </w:footnote>
  <w:footnote w:id="6">
    <w:p w14:paraId="488B0292" w14:textId="77777777" w:rsidR="0072767F" w:rsidRPr="00BF1FC8" w:rsidRDefault="0072767F" w:rsidP="00F447D5">
      <w:pPr>
        <w:pStyle w:val="Voetnoottekst"/>
        <w:rPr>
          <w:lang w:val="nl-NL"/>
        </w:rPr>
      </w:pPr>
      <w:r>
        <w:rPr>
          <w:rStyle w:val="Voetnootmarkering"/>
        </w:rPr>
        <w:footnoteRef/>
      </w:r>
      <w:r>
        <w:t xml:space="preserve"> </w:t>
      </w:r>
      <w:r>
        <w:rPr>
          <w:lang w:val="nl-NL"/>
        </w:rPr>
        <w:t>Het hier vermelde evenredig tarief bestaat uit een component ‘belasting’ verhoogd met een sociale bijdrage van 17,2%.</w:t>
      </w:r>
    </w:p>
  </w:footnote>
  <w:footnote w:id="7">
    <w:p w14:paraId="17EE6D77" w14:textId="6AEDB514" w:rsidR="0072767F" w:rsidRPr="00502361" w:rsidRDefault="0072767F" w:rsidP="00F447D5">
      <w:pPr>
        <w:pStyle w:val="Voetnoottekst"/>
        <w:jc w:val="both"/>
      </w:pPr>
      <w:r>
        <w:rPr>
          <w:rStyle w:val="Voetnootmarkering"/>
        </w:rPr>
        <w:footnoteRef/>
      </w:r>
      <w:r>
        <w:t xml:space="preserve"> </w:t>
      </w:r>
      <w:r w:rsidRPr="00502361">
        <w:t>In het licht van het voorgaande, spreekt het voor zich dat deze motivering in de eerste plaats relevant is t.a.v. het gedeelte van de meerwaarde dat overeenstemt met de niet uitgekeerde reserves. Maar ook t.a.v. de verwachte winst in de toekomst wordt een meerwaardebelasting opportuun geacht, inzonderheid vanuit de neutraliteitsgedachte. Veel bedrijven worden niet/nooit ontbonden (met uitkering van reserves) maar gaan via verkoop op in andere bedrijven.</w:t>
      </w:r>
    </w:p>
    <w:p w14:paraId="30EA1A37" w14:textId="77777777" w:rsidR="0072767F" w:rsidRPr="00502361" w:rsidRDefault="0072767F" w:rsidP="00F447D5">
      <w:pPr>
        <w:pStyle w:val="Voetnoottekst"/>
        <w:jc w:val="both"/>
      </w:pPr>
      <w:r w:rsidRPr="00502361">
        <w:t xml:space="preserve">Men kan verder argumenteren dat het </w:t>
      </w:r>
      <w:r w:rsidRPr="00B64AFF">
        <w:t>vanuit macro-financieel stabilisatie oogpunt best is om d</w:t>
      </w:r>
      <w:r w:rsidRPr="00502361">
        <w:t>e meerwaarde jaarlijks te belasten. Praktisch is dit</w:t>
      </w:r>
      <w:r>
        <w:t xml:space="preserve"> </w:t>
      </w:r>
      <w:r w:rsidRPr="00502361">
        <w:t>echter onhaalbaar. Het belasten van meerwaarde bij realisatie komt het dichtst in de buurt.</w:t>
      </w:r>
    </w:p>
  </w:footnote>
  <w:footnote w:id="8">
    <w:p w14:paraId="76E57B5D" w14:textId="77777777" w:rsidR="00045774" w:rsidRDefault="00045774" w:rsidP="00045774">
      <w:pPr>
        <w:pStyle w:val="Voetnoottekst"/>
      </w:pPr>
      <w:r>
        <w:rPr>
          <w:rStyle w:val="Voetnootmarkering"/>
        </w:rPr>
        <w:footnoteRef/>
      </w:r>
      <w:r>
        <w:t xml:space="preserve"> 17% met ingang van 1 januari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04673"/>
    <w:multiLevelType w:val="hybridMultilevel"/>
    <w:tmpl w:val="E8D494E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F55DEB"/>
    <w:multiLevelType w:val="hybridMultilevel"/>
    <w:tmpl w:val="7CB0E0DA"/>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03690727"/>
    <w:multiLevelType w:val="hybridMultilevel"/>
    <w:tmpl w:val="21949EDA"/>
    <w:lvl w:ilvl="0" w:tplc="033A3C2A">
      <w:start w:val="1"/>
      <w:numFmt w:val="bullet"/>
      <w:lvlText w:val="-"/>
      <w:lvlJc w:val="left"/>
      <w:pPr>
        <w:ind w:left="1068" w:hanging="360"/>
      </w:pPr>
      <w:rPr>
        <w:rFonts w:ascii="Arial" w:eastAsiaTheme="minorEastAsia" w:hAnsi="Arial" w:cs="Aria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03F20C10"/>
    <w:multiLevelType w:val="hybridMultilevel"/>
    <w:tmpl w:val="C1D0DC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4963002"/>
    <w:multiLevelType w:val="hybridMultilevel"/>
    <w:tmpl w:val="6F768C3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5400C50"/>
    <w:multiLevelType w:val="hybridMultilevel"/>
    <w:tmpl w:val="2CEE25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6687A61"/>
    <w:multiLevelType w:val="hybridMultilevel"/>
    <w:tmpl w:val="603AFA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8D620C9"/>
    <w:multiLevelType w:val="hybridMultilevel"/>
    <w:tmpl w:val="B7E690DC"/>
    <w:lvl w:ilvl="0" w:tplc="08130001">
      <w:start w:val="1"/>
      <w:numFmt w:val="bullet"/>
      <w:lvlText w:val=""/>
      <w:lvlJc w:val="left"/>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9801E7E"/>
    <w:multiLevelType w:val="hybridMultilevel"/>
    <w:tmpl w:val="D76AA76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09AC4D95"/>
    <w:multiLevelType w:val="hybridMultilevel"/>
    <w:tmpl w:val="9648ACA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0A004DD9"/>
    <w:multiLevelType w:val="hybridMultilevel"/>
    <w:tmpl w:val="90CC7D7C"/>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0BA019E1"/>
    <w:multiLevelType w:val="hybridMultilevel"/>
    <w:tmpl w:val="B55C06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0BB417AF"/>
    <w:multiLevelType w:val="hybridMultilevel"/>
    <w:tmpl w:val="EE70FB1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0C1772E0"/>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C8C7CAD"/>
    <w:multiLevelType w:val="hybridMultilevel"/>
    <w:tmpl w:val="AD2A9E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0E9C1C56"/>
    <w:multiLevelType w:val="hybridMultilevel"/>
    <w:tmpl w:val="14AC7EF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0EA57EA9"/>
    <w:multiLevelType w:val="hybridMultilevel"/>
    <w:tmpl w:val="5B6E04C8"/>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EAD2CFF"/>
    <w:multiLevelType w:val="hybridMultilevel"/>
    <w:tmpl w:val="087CC60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04B4C7E"/>
    <w:multiLevelType w:val="hybridMultilevel"/>
    <w:tmpl w:val="21F04ED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10CF7E2E"/>
    <w:multiLevelType w:val="multilevel"/>
    <w:tmpl w:val="06AC3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5465CF"/>
    <w:multiLevelType w:val="hybridMultilevel"/>
    <w:tmpl w:val="6592E876"/>
    <w:lvl w:ilvl="0" w:tplc="08130001">
      <w:start w:val="1"/>
      <w:numFmt w:val="bullet"/>
      <w:lvlText w:val=""/>
      <w:lvlJc w:val="left"/>
      <w:pPr>
        <w:ind w:left="1437" w:hanging="360"/>
      </w:pPr>
      <w:rPr>
        <w:rFonts w:ascii="Symbol" w:hAnsi="Symbol" w:hint="default"/>
      </w:rPr>
    </w:lvl>
    <w:lvl w:ilvl="1" w:tplc="08130003" w:tentative="1">
      <w:start w:val="1"/>
      <w:numFmt w:val="bullet"/>
      <w:lvlText w:val="o"/>
      <w:lvlJc w:val="left"/>
      <w:pPr>
        <w:ind w:left="2157" w:hanging="360"/>
      </w:pPr>
      <w:rPr>
        <w:rFonts w:ascii="Courier New" w:hAnsi="Courier New" w:cs="Courier New" w:hint="default"/>
      </w:rPr>
    </w:lvl>
    <w:lvl w:ilvl="2" w:tplc="08130005" w:tentative="1">
      <w:start w:val="1"/>
      <w:numFmt w:val="bullet"/>
      <w:lvlText w:val=""/>
      <w:lvlJc w:val="left"/>
      <w:pPr>
        <w:ind w:left="2877" w:hanging="360"/>
      </w:pPr>
      <w:rPr>
        <w:rFonts w:ascii="Wingdings" w:hAnsi="Wingdings" w:hint="default"/>
      </w:rPr>
    </w:lvl>
    <w:lvl w:ilvl="3" w:tplc="08130001" w:tentative="1">
      <w:start w:val="1"/>
      <w:numFmt w:val="bullet"/>
      <w:lvlText w:val=""/>
      <w:lvlJc w:val="left"/>
      <w:pPr>
        <w:ind w:left="3597" w:hanging="360"/>
      </w:pPr>
      <w:rPr>
        <w:rFonts w:ascii="Symbol" w:hAnsi="Symbol" w:hint="default"/>
      </w:rPr>
    </w:lvl>
    <w:lvl w:ilvl="4" w:tplc="08130003" w:tentative="1">
      <w:start w:val="1"/>
      <w:numFmt w:val="bullet"/>
      <w:lvlText w:val="o"/>
      <w:lvlJc w:val="left"/>
      <w:pPr>
        <w:ind w:left="4317" w:hanging="360"/>
      </w:pPr>
      <w:rPr>
        <w:rFonts w:ascii="Courier New" w:hAnsi="Courier New" w:cs="Courier New" w:hint="default"/>
      </w:rPr>
    </w:lvl>
    <w:lvl w:ilvl="5" w:tplc="08130005" w:tentative="1">
      <w:start w:val="1"/>
      <w:numFmt w:val="bullet"/>
      <w:lvlText w:val=""/>
      <w:lvlJc w:val="left"/>
      <w:pPr>
        <w:ind w:left="5037" w:hanging="360"/>
      </w:pPr>
      <w:rPr>
        <w:rFonts w:ascii="Wingdings" w:hAnsi="Wingdings" w:hint="default"/>
      </w:rPr>
    </w:lvl>
    <w:lvl w:ilvl="6" w:tplc="08130001" w:tentative="1">
      <w:start w:val="1"/>
      <w:numFmt w:val="bullet"/>
      <w:lvlText w:val=""/>
      <w:lvlJc w:val="left"/>
      <w:pPr>
        <w:ind w:left="5757" w:hanging="360"/>
      </w:pPr>
      <w:rPr>
        <w:rFonts w:ascii="Symbol" w:hAnsi="Symbol" w:hint="default"/>
      </w:rPr>
    </w:lvl>
    <w:lvl w:ilvl="7" w:tplc="08130003" w:tentative="1">
      <w:start w:val="1"/>
      <w:numFmt w:val="bullet"/>
      <w:lvlText w:val="o"/>
      <w:lvlJc w:val="left"/>
      <w:pPr>
        <w:ind w:left="6477" w:hanging="360"/>
      </w:pPr>
      <w:rPr>
        <w:rFonts w:ascii="Courier New" w:hAnsi="Courier New" w:cs="Courier New" w:hint="default"/>
      </w:rPr>
    </w:lvl>
    <w:lvl w:ilvl="8" w:tplc="08130005" w:tentative="1">
      <w:start w:val="1"/>
      <w:numFmt w:val="bullet"/>
      <w:lvlText w:val=""/>
      <w:lvlJc w:val="left"/>
      <w:pPr>
        <w:ind w:left="7197" w:hanging="360"/>
      </w:pPr>
      <w:rPr>
        <w:rFonts w:ascii="Wingdings" w:hAnsi="Wingdings" w:hint="default"/>
      </w:rPr>
    </w:lvl>
  </w:abstractNum>
  <w:abstractNum w:abstractNumId="21" w15:restartNumberingAfterBreak="0">
    <w:nsid w:val="12B02C30"/>
    <w:multiLevelType w:val="hybridMultilevel"/>
    <w:tmpl w:val="FADA2ED2"/>
    <w:lvl w:ilvl="0" w:tplc="E6608D48">
      <w:start w:val="1"/>
      <w:numFmt w:val="decimal"/>
      <w:lvlText w:val="%1."/>
      <w:lvlJc w:val="left"/>
      <w:rPr>
        <w:rFonts w:hint="default"/>
        <w:b/>
        <w:bCs/>
      </w:rPr>
    </w:lvl>
    <w:lvl w:ilvl="1" w:tplc="08130019" w:tentative="1">
      <w:start w:val="1"/>
      <w:numFmt w:val="lowerLetter"/>
      <w:lvlText w:val="%2."/>
      <w:lvlJc w:val="left"/>
      <w:pPr>
        <w:ind w:left="796" w:hanging="360"/>
      </w:pPr>
    </w:lvl>
    <w:lvl w:ilvl="2" w:tplc="0813001B" w:tentative="1">
      <w:start w:val="1"/>
      <w:numFmt w:val="lowerRoman"/>
      <w:lvlText w:val="%3."/>
      <w:lvlJc w:val="right"/>
      <w:pPr>
        <w:ind w:left="1516" w:hanging="180"/>
      </w:pPr>
    </w:lvl>
    <w:lvl w:ilvl="3" w:tplc="0813000F" w:tentative="1">
      <w:start w:val="1"/>
      <w:numFmt w:val="decimal"/>
      <w:lvlText w:val="%4."/>
      <w:lvlJc w:val="left"/>
      <w:pPr>
        <w:ind w:left="2236" w:hanging="360"/>
      </w:pPr>
    </w:lvl>
    <w:lvl w:ilvl="4" w:tplc="08130019" w:tentative="1">
      <w:start w:val="1"/>
      <w:numFmt w:val="lowerLetter"/>
      <w:lvlText w:val="%5."/>
      <w:lvlJc w:val="left"/>
      <w:pPr>
        <w:ind w:left="2956" w:hanging="360"/>
      </w:pPr>
    </w:lvl>
    <w:lvl w:ilvl="5" w:tplc="0813001B" w:tentative="1">
      <w:start w:val="1"/>
      <w:numFmt w:val="lowerRoman"/>
      <w:lvlText w:val="%6."/>
      <w:lvlJc w:val="right"/>
      <w:pPr>
        <w:ind w:left="3676" w:hanging="180"/>
      </w:pPr>
    </w:lvl>
    <w:lvl w:ilvl="6" w:tplc="0813000F" w:tentative="1">
      <w:start w:val="1"/>
      <w:numFmt w:val="decimal"/>
      <w:lvlText w:val="%7."/>
      <w:lvlJc w:val="left"/>
      <w:pPr>
        <w:ind w:left="4396" w:hanging="360"/>
      </w:pPr>
    </w:lvl>
    <w:lvl w:ilvl="7" w:tplc="08130019" w:tentative="1">
      <w:start w:val="1"/>
      <w:numFmt w:val="lowerLetter"/>
      <w:lvlText w:val="%8."/>
      <w:lvlJc w:val="left"/>
      <w:pPr>
        <w:ind w:left="5116" w:hanging="360"/>
      </w:pPr>
    </w:lvl>
    <w:lvl w:ilvl="8" w:tplc="0813001B" w:tentative="1">
      <w:start w:val="1"/>
      <w:numFmt w:val="lowerRoman"/>
      <w:lvlText w:val="%9."/>
      <w:lvlJc w:val="right"/>
      <w:pPr>
        <w:ind w:left="5836" w:hanging="180"/>
      </w:pPr>
    </w:lvl>
  </w:abstractNum>
  <w:abstractNum w:abstractNumId="22" w15:restartNumberingAfterBreak="0">
    <w:nsid w:val="12C65CF4"/>
    <w:multiLevelType w:val="hybridMultilevel"/>
    <w:tmpl w:val="ABE2673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12F414A0"/>
    <w:multiLevelType w:val="hybridMultilevel"/>
    <w:tmpl w:val="8FE7C06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33E6F78"/>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4EA0EC3"/>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5C13175"/>
    <w:multiLevelType w:val="hybridMultilevel"/>
    <w:tmpl w:val="760E5A18"/>
    <w:lvl w:ilvl="0" w:tplc="23DAC928">
      <w:numFmt w:val="bullet"/>
      <w:lvlText w:val=""/>
      <w:lvlJc w:val="left"/>
      <w:pPr>
        <w:ind w:left="720" w:hanging="360"/>
      </w:pPr>
      <w:rPr>
        <w:rFonts w:ascii="Wingdings" w:eastAsiaTheme="minorHAnsi" w:hAnsi="Wingding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15F22589"/>
    <w:multiLevelType w:val="hybridMultilevel"/>
    <w:tmpl w:val="EF56656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6D34753"/>
    <w:multiLevelType w:val="hybridMultilevel"/>
    <w:tmpl w:val="0E78701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17C646FA"/>
    <w:multiLevelType w:val="hybridMultilevel"/>
    <w:tmpl w:val="2C541BB6"/>
    <w:lvl w:ilvl="0" w:tplc="08130003">
      <w:start w:val="1"/>
      <w:numFmt w:val="bullet"/>
      <w:lvlText w:val="o"/>
      <w:lvlJc w:val="left"/>
      <w:pPr>
        <w:ind w:left="768" w:hanging="360"/>
      </w:pPr>
      <w:rPr>
        <w:rFonts w:ascii="Courier New" w:hAnsi="Courier New" w:cs="Courier New"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30" w15:restartNumberingAfterBreak="0">
    <w:nsid w:val="1818117B"/>
    <w:multiLevelType w:val="hybridMultilevel"/>
    <w:tmpl w:val="43848E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19062655"/>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9132E1C"/>
    <w:multiLevelType w:val="hybridMultilevel"/>
    <w:tmpl w:val="2DD6B890"/>
    <w:lvl w:ilvl="0" w:tplc="CF48B130">
      <w:start w:val="20"/>
      <w:numFmt w:val="decimal"/>
      <w:lvlText w:val="%1."/>
      <w:lvlJc w:val="left"/>
      <w:pPr>
        <w:ind w:left="504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1B8867D8"/>
    <w:multiLevelType w:val="hybridMultilevel"/>
    <w:tmpl w:val="4F5E4E80"/>
    <w:lvl w:ilvl="0" w:tplc="08130001">
      <w:start w:val="1"/>
      <w:numFmt w:val="bullet"/>
      <w:lvlText w:val=""/>
      <w:lvlJc w:val="left"/>
      <w:pPr>
        <w:ind w:left="-272" w:hanging="360"/>
      </w:pPr>
      <w:rPr>
        <w:rFonts w:ascii="Symbol" w:hAnsi="Symbol" w:hint="default"/>
      </w:rPr>
    </w:lvl>
    <w:lvl w:ilvl="1" w:tplc="08130003" w:tentative="1">
      <w:start w:val="1"/>
      <w:numFmt w:val="bullet"/>
      <w:lvlText w:val="o"/>
      <w:lvlJc w:val="left"/>
      <w:pPr>
        <w:ind w:left="448" w:hanging="360"/>
      </w:pPr>
      <w:rPr>
        <w:rFonts w:ascii="Courier New" w:hAnsi="Courier New" w:cs="Courier New" w:hint="default"/>
      </w:rPr>
    </w:lvl>
    <w:lvl w:ilvl="2" w:tplc="08130005" w:tentative="1">
      <w:start w:val="1"/>
      <w:numFmt w:val="bullet"/>
      <w:lvlText w:val=""/>
      <w:lvlJc w:val="left"/>
      <w:pPr>
        <w:ind w:left="1168" w:hanging="360"/>
      </w:pPr>
      <w:rPr>
        <w:rFonts w:ascii="Wingdings" w:hAnsi="Wingdings" w:hint="default"/>
      </w:rPr>
    </w:lvl>
    <w:lvl w:ilvl="3" w:tplc="08130001" w:tentative="1">
      <w:start w:val="1"/>
      <w:numFmt w:val="bullet"/>
      <w:lvlText w:val=""/>
      <w:lvlJc w:val="left"/>
      <w:pPr>
        <w:ind w:left="1888" w:hanging="360"/>
      </w:pPr>
      <w:rPr>
        <w:rFonts w:ascii="Symbol" w:hAnsi="Symbol" w:hint="default"/>
      </w:rPr>
    </w:lvl>
    <w:lvl w:ilvl="4" w:tplc="08130003" w:tentative="1">
      <w:start w:val="1"/>
      <w:numFmt w:val="bullet"/>
      <w:lvlText w:val="o"/>
      <w:lvlJc w:val="left"/>
      <w:pPr>
        <w:ind w:left="2608" w:hanging="360"/>
      </w:pPr>
      <w:rPr>
        <w:rFonts w:ascii="Courier New" w:hAnsi="Courier New" w:cs="Courier New" w:hint="default"/>
      </w:rPr>
    </w:lvl>
    <w:lvl w:ilvl="5" w:tplc="08130005" w:tentative="1">
      <w:start w:val="1"/>
      <w:numFmt w:val="bullet"/>
      <w:lvlText w:val=""/>
      <w:lvlJc w:val="left"/>
      <w:pPr>
        <w:ind w:left="3328" w:hanging="360"/>
      </w:pPr>
      <w:rPr>
        <w:rFonts w:ascii="Wingdings" w:hAnsi="Wingdings" w:hint="default"/>
      </w:rPr>
    </w:lvl>
    <w:lvl w:ilvl="6" w:tplc="08130001" w:tentative="1">
      <w:start w:val="1"/>
      <w:numFmt w:val="bullet"/>
      <w:lvlText w:val=""/>
      <w:lvlJc w:val="left"/>
      <w:pPr>
        <w:ind w:left="4048" w:hanging="360"/>
      </w:pPr>
      <w:rPr>
        <w:rFonts w:ascii="Symbol" w:hAnsi="Symbol" w:hint="default"/>
      </w:rPr>
    </w:lvl>
    <w:lvl w:ilvl="7" w:tplc="08130003" w:tentative="1">
      <w:start w:val="1"/>
      <w:numFmt w:val="bullet"/>
      <w:lvlText w:val="o"/>
      <w:lvlJc w:val="left"/>
      <w:pPr>
        <w:ind w:left="4768" w:hanging="360"/>
      </w:pPr>
      <w:rPr>
        <w:rFonts w:ascii="Courier New" w:hAnsi="Courier New" w:cs="Courier New" w:hint="default"/>
      </w:rPr>
    </w:lvl>
    <w:lvl w:ilvl="8" w:tplc="08130005" w:tentative="1">
      <w:start w:val="1"/>
      <w:numFmt w:val="bullet"/>
      <w:lvlText w:val=""/>
      <w:lvlJc w:val="left"/>
      <w:pPr>
        <w:ind w:left="5488" w:hanging="360"/>
      </w:pPr>
      <w:rPr>
        <w:rFonts w:ascii="Wingdings" w:hAnsi="Wingdings" w:hint="default"/>
      </w:rPr>
    </w:lvl>
  </w:abstractNum>
  <w:abstractNum w:abstractNumId="34" w15:restartNumberingAfterBreak="0">
    <w:nsid w:val="1C121D22"/>
    <w:multiLevelType w:val="hybridMultilevel"/>
    <w:tmpl w:val="949A4150"/>
    <w:lvl w:ilvl="0" w:tplc="E4D8DD98">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5" w15:restartNumberingAfterBreak="0">
    <w:nsid w:val="1D585DA4"/>
    <w:multiLevelType w:val="hybridMultilevel"/>
    <w:tmpl w:val="9A009A9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1E6D7472"/>
    <w:multiLevelType w:val="hybridMultilevel"/>
    <w:tmpl w:val="6E5C251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216D0C3E"/>
    <w:multiLevelType w:val="hybridMultilevel"/>
    <w:tmpl w:val="25129C66"/>
    <w:lvl w:ilvl="0" w:tplc="033A3C2A">
      <w:start w:val="1"/>
      <w:numFmt w:val="bullet"/>
      <w:lvlText w:val="-"/>
      <w:lvlJc w:val="left"/>
      <w:pPr>
        <w:ind w:left="1068" w:hanging="360"/>
      </w:pPr>
      <w:rPr>
        <w:rFonts w:ascii="Arial" w:eastAsiaTheme="minorEastAsia" w:hAnsi="Arial" w:cs="Arial" w:hint="default"/>
        <w:color w:val="auto"/>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8" w15:restartNumberingAfterBreak="0">
    <w:nsid w:val="22374B88"/>
    <w:multiLevelType w:val="hybridMultilevel"/>
    <w:tmpl w:val="66D6B6D8"/>
    <w:lvl w:ilvl="0" w:tplc="D464A27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22DE4F3F"/>
    <w:multiLevelType w:val="hybridMultilevel"/>
    <w:tmpl w:val="E8D494E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3164299"/>
    <w:multiLevelType w:val="hybridMultilevel"/>
    <w:tmpl w:val="36582BE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23367903"/>
    <w:multiLevelType w:val="hybridMultilevel"/>
    <w:tmpl w:val="C264F3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24AC0606"/>
    <w:multiLevelType w:val="hybridMultilevel"/>
    <w:tmpl w:val="D8E8F884"/>
    <w:lvl w:ilvl="0" w:tplc="15084EFE">
      <w:start w:val="3"/>
      <w:numFmt w:val="bullet"/>
      <w:lvlText w:val=""/>
      <w:lvlJc w:val="left"/>
      <w:pPr>
        <w:tabs>
          <w:tab w:val="num" w:pos="1260"/>
        </w:tabs>
        <w:ind w:left="1260" w:hanging="360"/>
      </w:pPr>
      <w:rPr>
        <w:rFonts w:ascii="Wingdings" w:eastAsia="Times New Roman" w:hAnsi="Wingdings" w:cs="Times New Roman" w:hint="default"/>
      </w:rPr>
    </w:lvl>
    <w:lvl w:ilvl="1" w:tplc="04130003">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Calibri" w:hAnsi="Calibri" w:hint="default"/>
      </w:rPr>
    </w:lvl>
    <w:lvl w:ilvl="3" w:tplc="01DE0726">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cs="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cs="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28796598"/>
    <w:multiLevelType w:val="hybridMultilevel"/>
    <w:tmpl w:val="CFAEF02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15:restartNumberingAfterBreak="0">
    <w:nsid w:val="29D32E25"/>
    <w:multiLevelType w:val="hybridMultilevel"/>
    <w:tmpl w:val="1C1823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2AF2341A"/>
    <w:multiLevelType w:val="hybridMultilevel"/>
    <w:tmpl w:val="26088CE0"/>
    <w:lvl w:ilvl="0" w:tplc="08130015">
      <w:start w:val="1"/>
      <w:numFmt w:val="upperLetter"/>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6" w15:restartNumberingAfterBreak="0">
    <w:nsid w:val="2CF15F05"/>
    <w:multiLevelType w:val="hybridMultilevel"/>
    <w:tmpl w:val="30326AC6"/>
    <w:lvl w:ilvl="0" w:tplc="08130001">
      <w:start w:val="1"/>
      <w:numFmt w:val="bullet"/>
      <w:lvlText w:val=""/>
      <w:lvlJc w:val="left"/>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2E633EF1"/>
    <w:multiLevelType w:val="hybridMultilevel"/>
    <w:tmpl w:val="7242DE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30252B4F"/>
    <w:multiLevelType w:val="hybridMultilevel"/>
    <w:tmpl w:val="9BCA259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9" w15:restartNumberingAfterBreak="0">
    <w:nsid w:val="30392BA4"/>
    <w:multiLevelType w:val="hybridMultilevel"/>
    <w:tmpl w:val="1F9C05F2"/>
    <w:lvl w:ilvl="0" w:tplc="93B05CAE">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0" w15:restartNumberingAfterBreak="0">
    <w:nsid w:val="30B97667"/>
    <w:multiLevelType w:val="hybridMultilevel"/>
    <w:tmpl w:val="DCA666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1" w15:restartNumberingAfterBreak="0">
    <w:nsid w:val="317F23AD"/>
    <w:multiLevelType w:val="hybridMultilevel"/>
    <w:tmpl w:val="B248FDB6"/>
    <w:lvl w:ilvl="0" w:tplc="23DAC928">
      <w:numFmt w:val="bullet"/>
      <w:lvlText w:val=""/>
      <w:lvlJc w:val="left"/>
      <w:pPr>
        <w:ind w:left="720" w:hanging="360"/>
      </w:pPr>
      <w:rPr>
        <w:rFonts w:ascii="Wingdings" w:eastAsiaTheme="minorHAnsi" w:hAnsi="Wingding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348217BC"/>
    <w:multiLevelType w:val="hybridMultilevel"/>
    <w:tmpl w:val="8EC822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356227FD"/>
    <w:multiLevelType w:val="hybridMultilevel"/>
    <w:tmpl w:val="5832D5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4" w15:restartNumberingAfterBreak="0">
    <w:nsid w:val="3589014D"/>
    <w:multiLevelType w:val="hybridMultilevel"/>
    <w:tmpl w:val="219239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369409E7"/>
    <w:multiLevelType w:val="hybridMultilevel"/>
    <w:tmpl w:val="A29A74B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6" w15:restartNumberingAfterBreak="0">
    <w:nsid w:val="36FB6B05"/>
    <w:multiLevelType w:val="hybridMultilevel"/>
    <w:tmpl w:val="F00CBC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37381752"/>
    <w:multiLevelType w:val="hybridMultilevel"/>
    <w:tmpl w:val="92A89FDC"/>
    <w:lvl w:ilvl="0" w:tplc="67AEDEE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8" w15:restartNumberingAfterBreak="0">
    <w:nsid w:val="381B29BC"/>
    <w:multiLevelType w:val="hybridMultilevel"/>
    <w:tmpl w:val="C7988A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3AB61229"/>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B224F3F"/>
    <w:multiLevelType w:val="hybridMultilevel"/>
    <w:tmpl w:val="178C9B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1" w15:restartNumberingAfterBreak="0">
    <w:nsid w:val="3C9B33BD"/>
    <w:multiLevelType w:val="hybridMultilevel"/>
    <w:tmpl w:val="64DEED82"/>
    <w:lvl w:ilvl="0" w:tplc="033A3C2A">
      <w:start w:val="1"/>
      <w:numFmt w:val="bullet"/>
      <w:lvlText w:val="-"/>
      <w:lvlJc w:val="left"/>
      <w:pPr>
        <w:ind w:left="360" w:hanging="360"/>
      </w:pPr>
      <w:rPr>
        <w:rFonts w:ascii="Arial" w:eastAsiaTheme="minorEastAsia"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2" w15:restartNumberingAfterBreak="0">
    <w:nsid w:val="3D2151B0"/>
    <w:multiLevelType w:val="hybridMultilevel"/>
    <w:tmpl w:val="280A7BFE"/>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63" w15:restartNumberingAfterBreak="0">
    <w:nsid w:val="3DA356BC"/>
    <w:multiLevelType w:val="multilevel"/>
    <w:tmpl w:val="DCAC31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3E771C2F"/>
    <w:multiLevelType w:val="hybridMultilevel"/>
    <w:tmpl w:val="92F8C0A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5" w15:restartNumberingAfterBreak="0">
    <w:nsid w:val="3ECA04B8"/>
    <w:multiLevelType w:val="hybridMultilevel"/>
    <w:tmpl w:val="77B494C6"/>
    <w:lvl w:ilvl="0" w:tplc="08130001">
      <w:start w:val="1"/>
      <w:numFmt w:val="bullet"/>
      <w:lvlText w:val=""/>
      <w:lvlJc w:val="left"/>
      <w:pPr>
        <w:ind w:left="720" w:hanging="360"/>
      </w:pPr>
      <w:rPr>
        <w:rFonts w:ascii="Symbol" w:hAnsi="Symbol" w:hint="default"/>
      </w:rPr>
    </w:lvl>
    <w:lvl w:ilvl="1" w:tplc="08130001">
      <w:start w:val="1"/>
      <w:numFmt w:val="bullet"/>
      <w:lvlText w:val=""/>
      <w:lvlJc w:val="left"/>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40040A93"/>
    <w:multiLevelType w:val="hybridMultilevel"/>
    <w:tmpl w:val="66D42EDE"/>
    <w:lvl w:ilvl="0" w:tplc="37ECAD3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7" w15:restartNumberingAfterBreak="0">
    <w:nsid w:val="441B7E36"/>
    <w:multiLevelType w:val="hybridMultilevel"/>
    <w:tmpl w:val="7ABCE572"/>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8" w15:restartNumberingAfterBreak="0">
    <w:nsid w:val="44A51F3B"/>
    <w:multiLevelType w:val="hybridMultilevel"/>
    <w:tmpl w:val="C3CCF7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9" w15:restartNumberingAfterBreak="0">
    <w:nsid w:val="44A94AB5"/>
    <w:multiLevelType w:val="hybridMultilevel"/>
    <w:tmpl w:val="8A4C139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0" w15:restartNumberingAfterBreak="0">
    <w:nsid w:val="45300DF7"/>
    <w:multiLevelType w:val="multilevel"/>
    <w:tmpl w:val="DCAC31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464742E2"/>
    <w:multiLevelType w:val="hybridMultilevel"/>
    <w:tmpl w:val="513E271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2" w15:restartNumberingAfterBreak="0">
    <w:nsid w:val="47831F99"/>
    <w:multiLevelType w:val="hybridMultilevel"/>
    <w:tmpl w:val="D5A6CE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3" w15:restartNumberingAfterBreak="0">
    <w:nsid w:val="49D54648"/>
    <w:multiLevelType w:val="hybridMultilevel"/>
    <w:tmpl w:val="81C872D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4" w15:restartNumberingAfterBreak="0">
    <w:nsid w:val="4B327B13"/>
    <w:multiLevelType w:val="hybridMultilevel"/>
    <w:tmpl w:val="D8D621AE"/>
    <w:lvl w:ilvl="0" w:tplc="08130001">
      <w:start w:val="1"/>
      <w:numFmt w:val="bullet"/>
      <w:lvlText w:val=""/>
      <w:lvlJc w:val="left"/>
      <w:pPr>
        <w:ind w:left="768" w:hanging="360"/>
      </w:pPr>
      <w:rPr>
        <w:rFonts w:ascii="Symbol" w:hAnsi="Symbol" w:hint="default"/>
      </w:rPr>
    </w:lvl>
    <w:lvl w:ilvl="1" w:tplc="08130003">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75" w15:restartNumberingAfterBreak="0">
    <w:nsid w:val="4C9D73F1"/>
    <w:multiLevelType w:val="hybridMultilevel"/>
    <w:tmpl w:val="81982B7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6" w15:restartNumberingAfterBreak="0">
    <w:nsid w:val="4CE661DC"/>
    <w:multiLevelType w:val="hybridMultilevel"/>
    <w:tmpl w:val="CCECFFBE"/>
    <w:lvl w:ilvl="0" w:tplc="0813000B">
      <w:start w:val="1"/>
      <w:numFmt w:val="bullet"/>
      <w:lvlText w:val=""/>
      <w:lvlJc w:val="left"/>
      <w:pPr>
        <w:ind w:left="1440" w:hanging="360"/>
      </w:pPr>
      <w:rPr>
        <w:rFonts w:ascii="Wingdings" w:hAnsi="Wingdings"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7" w15:restartNumberingAfterBreak="0">
    <w:nsid w:val="50BA328F"/>
    <w:multiLevelType w:val="hybridMultilevel"/>
    <w:tmpl w:val="33ACC400"/>
    <w:lvl w:ilvl="0" w:tplc="CAE08552">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8" w15:restartNumberingAfterBreak="0">
    <w:nsid w:val="52320AE0"/>
    <w:multiLevelType w:val="hybridMultilevel"/>
    <w:tmpl w:val="5A7CBD14"/>
    <w:lvl w:ilvl="0" w:tplc="55F86822">
      <w:start w:val="1"/>
      <w:numFmt w:val="decimal"/>
      <w:lvlText w:val="%1."/>
      <w:lvlJc w:val="left"/>
      <w:pPr>
        <w:ind w:left="720" w:hanging="360"/>
      </w:pPr>
      <w:rPr>
        <w:rFonts w:hint="default"/>
        <w:b/>
        <w:bCs/>
      </w:rPr>
    </w:lvl>
    <w:lvl w:ilvl="1" w:tplc="08130019">
      <w:start w:val="1"/>
      <w:numFmt w:val="lowerLetter"/>
      <w:lvlText w:val="%2."/>
      <w:lvlJc w:val="left"/>
      <w:pPr>
        <w:ind w:left="1440" w:hanging="360"/>
      </w:pPr>
    </w:lvl>
    <w:lvl w:ilvl="2" w:tplc="A1420902">
      <w:start w:val="1"/>
      <w:numFmt w:val="upperLetter"/>
      <w:lvlText w:val="%3."/>
      <w:lvlJc w:val="left"/>
      <w:pPr>
        <w:ind w:left="2340" w:hanging="360"/>
      </w:pPr>
      <w:rPr>
        <w:rFonts w:hint="default"/>
        <w:b w:val="0"/>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9" w15:restartNumberingAfterBreak="0">
    <w:nsid w:val="53861101"/>
    <w:multiLevelType w:val="hybridMultilevel"/>
    <w:tmpl w:val="EF56656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42F5B54"/>
    <w:multiLevelType w:val="hybridMultilevel"/>
    <w:tmpl w:val="43604D3A"/>
    <w:lvl w:ilvl="0" w:tplc="674A093A">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5D23292"/>
    <w:multiLevelType w:val="hybridMultilevel"/>
    <w:tmpl w:val="E5382DBA"/>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2" w15:restartNumberingAfterBreak="0">
    <w:nsid w:val="56233413"/>
    <w:multiLevelType w:val="hybridMultilevel"/>
    <w:tmpl w:val="F552D8BC"/>
    <w:lvl w:ilvl="0" w:tplc="314A5A5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3" w15:restartNumberingAfterBreak="0">
    <w:nsid w:val="564D1DD5"/>
    <w:multiLevelType w:val="hybridMultilevel"/>
    <w:tmpl w:val="3A3EA6C0"/>
    <w:lvl w:ilvl="0" w:tplc="033A3C2A">
      <w:start w:val="1"/>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4" w15:restartNumberingAfterBreak="0">
    <w:nsid w:val="56E00C6C"/>
    <w:multiLevelType w:val="hybridMultilevel"/>
    <w:tmpl w:val="87DED7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5" w15:restartNumberingAfterBreak="0">
    <w:nsid w:val="5796586B"/>
    <w:multiLevelType w:val="hybridMultilevel"/>
    <w:tmpl w:val="FAE845C2"/>
    <w:lvl w:ilvl="0" w:tplc="08130001">
      <w:start w:val="1"/>
      <w:numFmt w:val="bullet"/>
      <w:lvlText w:val=""/>
      <w:lvlJc w:val="left"/>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6" w15:restartNumberingAfterBreak="0">
    <w:nsid w:val="58A57414"/>
    <w:multiLevelType w:val="hybridMultilevel"/>
    <w:tmpl w:val="84CE30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7" w15:restartNumberingAfterBreak="0">
    <w:nsid w:val="59391CF8"/>
    <w:multiLevelType w:val="hybridMultilevel"/>
    <w:tmpl w:val="34C49E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8" w15:restartNumberingAfterBreak="0">
    <w:nsid w:val="599569F7"/>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CBB3CAD"/>
    <w:multiLevelType w:val="hybridMultilevel"/>
    <w:tmpl w:val="0EDA0054"/>
    <w:lvl w:ilvl="0" w:tplc="93C47400">
      <w:start w:val="19"/>
      <w:numFmt w:val="decimal"/>
      <w:lvlText w:val="%1."/>
      <w:lvlJc w:val="left"/>
      <w:pPr>
        <w:ind w:left="504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0" w15:restartNumberingAfterBreak="0">
    <w:nsid w:val="5D334552"/>
    <w:multiLevelType w:val="hybridMultilevel"/>
    <w:tmpl w:val="2744E9C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1" w15:restartNumberingAfterBreak="0">
    <w:nsid w:val="5DBF445B"/>
    <w:multiLevelType w:val="hybridMultilevel"/>
    <w:tmpl w:val="5B6E04C8"/>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F7969A9"/>
    <w:multiLevelType w:val="hybridMultilevel"/>
    <w:tmpl w:val="A5E618D6"/>
    <w:lvl w:ilvl="0" w:tplc="53D0C2B2">
      <w:start w:val="6"/>
      <w:numFmt w:val="decimal"/>
      <w:lvlText w:val="%1."/>
      <w:lvlJc w:val="left"/>
      <w:pPr>
        <w:ind w:left="504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3" w15:restartNumberingAfterBreak="0">
    <w:nsid w:val="5F8E15DB"/>
    <w:multiLevelType w:val="hybridMultilevel"/>
    <w:tmpl w:val="01CA2458"/>
    <w:lvl w:ilvl="0" w:tplc="22660F94">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4" w15:restartNumberingAfterBreak="0">
    <w:nsid w:val="61541166"/>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2604B2A"/>
    <w:multiLevelType w:val="hybridMultilevel"/>
    <w:tmpl w:val="A6987E32"/>
    <w:lvl w:ilvl="0" w:tplc="08130001">
      <w:start w:val="1"/>
      <w:numFmt w:val="bullet"/>
      <w:lvlText w:val=""/>
      <w:lvlJc w:val="left"/>
      <w:pPr>
        <w:ind w:left="-272" w:hanging="360"/>
      </w:pPr>
      <w:rPr>
        <w:rFonts w:ascii="Symbol" w:hAnsi="Symbol" w:hint="default"/>
      </w:rPr>
    </w:lvl>
    <w:lvl w:ilvl="1" w:tplc="08130003" w:tentative="1">
      <w:start w:val="1"/>
      <w:numFmt w:val="bullet"/>
      <w:lvlText w:val="o"/>
      <w:lvlJc w:val="left"/>
      <w:pPr>
        <w:ind w:left="448" w:hanging="360"/>
      </w:pPr>
      <w:rPr>
        <w:rFonts w:ascii="Courier New" w:hAnsi="Courier New" w:cs="Courier New" w:hint="default"/>
      </w:rPr>
    </w:lvl>
    <w:lvl w:ilvl="2" w:tplc="08130005" w:tentative="1">
      <w:start w:val="1"/>
      <w:numFmt w:val="bullet"/>
      <w:lvlText w:val=""/>
      <w:lvlJc w:val="left"/>
      <w:pPr>
        <w:ind w:left="1168" w:hanging="360"/>
      </w:pPr>
      <w:rPr>
        <w:rFonts w:ascii="Wingdings" w:hAnsi="Wingdings" w:hint="default"/>
      </w:rPr>
    </w:lvl>
    <w:lvl w:ilvl="3" w:tplc="08130001" w:tentative="1">
      <w:start w:val="1"/>
      <w:numFmt w:val="bullet"/>
      <w:lvlText w:val=""/>
      <w:lvlJc w:val="left"/>
      <w:pPr>
        <w:ind w:left="1888" w:hanging="360"/>
      </w:pPr>
      <w:rPr>
        <w:rFonts w:ascii="Symbol" w:hAnsi="Symbol" w:hint="default"/>
      </w:rPr>
    </w:lvl>
    <w:lvl w:ilvl="4" w:tplc="08130003" w:tentative="1">
      <w:start w:val="1"/>
      <w:numFmt w:val="bullet"/>
      <w:lvlText w:val="o"/>
      <w:lvlJc w:val="left"/>
      <w:pPr>
        <w:ind w:left="2608" w:hanging="360"/>
      </w:pPr>
      <w:rPr>
        <w:rFonts w:ascii="Courier New" w:hAnsi="Courier New" w:cs="Courier New" w:hint="default"/>
      </w:rPr>
    </w:lvl>
    <w:lvl w:ilvl="5" w:tplc="08130005" w:tentative="1">
      <w:start w:val="1"/>
      <w:numFmt w:val="bullet"/>
      <w:lvlText w:val=""/>
      <w:lvlJc w:val="left"/>
      <w:pPr>
        <w:ind w:left="3328" w:hanging="360"/>
      </w:pPr>
      <w:rPr>
        <w:rFonts w:ascii="Wingdings" w:hAnsi="Wingdings" w:hint="default"/>
      </w:rPr>
    </w:lvl>
    <w:lvl w:ilvl="6" w:tplc="08130001" w:tentative="1">
      <w:start w:val="1"/>
      <w:numFmt w:val="bullet"/>
      <w:lvlText w:val=""/>
      <w:lvlJc w:val="left"/>
      <w:pPr>
        <w:ind w:left="4048" w:hanging="360"/>
      </w:pPr>
      <w:rPr>
        <w:rFonts w:ascii="Symbol" w:hAnsi="Symbol" w:hint="default"/>
      </w:rPr>
    </w:lvl>
    <w:lvl w:ilvl="7" w:tplc="08130003" w:tentative="1">
      <w:start w:val="1"/>
      <w:numFmt w:val="bullet"/>
      <w:lvlText w:val="o"/>
      <w:lvlJc w:val="left"/>
      <w:pPr>
        <w:ind w:left="4768" w:hanging="360"/>
      </w:pPr>
      <w:rPr>
        <w:rFonts w:ascii="Courier New" w:hAnsi="Courier New" w:cs="Courier New" w:hint="default"/>
      </w:rPr>
    </w:lvl>
    <w:lvl w:ilvl="8" w:tplc="08130005" w:tentative="1">
      <w:start w:val="1"/>
      <w:numFmt w:val="bullet"/>
      <w:lvlText w:val=""/>
      <w:lvlJc w:val="left"/>
      <w:pPr>
        <w:ind w:left="5488" w:hanging="360"/>
      </w:pPr>
      <w:rPr>
        <w:rFonts w:ascii="Wingdings" w:hAnsi="Wingdings" w:hint="default"/>
      </w:rPr>
    </w:lvl>
  </w:abstractNum>
  <w:abstractNum w:abstractNumId="96" w15:restartNumberingAfterBreak="0">
    <w:nsid w:val="627164DA"/>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631A1EE1"/>
    <w:multiLevelType w:val="hybridMultilevel"/>
    <w:tmpl w:val="FA0400A0"/>
    <w:lvl w:ilvl="0" w:tplc="C7D02466">
      <w:start w:val="1"/>
      <w:numFmt w:val="bullet"/>
      <w:lvlText w:val=""/>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8" w15:restartNumberingAfterBreak="0">
    <w:nsid w:val="63BC7328"/>
    <w:multiLevelType w:val="hybridMultilevel"/>
    <w:tmpl w:val="162CF9B6"/>
    <w:lvl w:ilvl="0" w:tplc="23DAC928">
      <w:numFmt w:val="bullet"/>
      <w:lvlText w:val=""/>
      <w:lvlJc w:val="left"/>
      <w:pPr>
        <w:ind w:left="1068" w:hanging="360"/>
      </w:pPr>
      <w:rPr>
        <w:rFonts w:ascii="Wingdings" w:eastAsiaTheme="minorHAnsi" w:hAnsi="Wingdings" w:cstheme="minorBid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99" w15:restartNumberingAfterBreak="0">
    <w:nsid w:val="64567144"/>
    <w:multiLevelType w:val="hybridMultilevel"/>
    <w:tmpl w:val="01CC702C"/>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0" w15:restartNumberingAfterBreak="0">
    <w:nsid w:val="64ED3192"/>
    <w:multiLevelType w:val="hybridMultilevel"/>
    <w:tmpl w:val="BABA27D4"/>
    <w:lvl w:ilvl="0" w:tplc="3E386ABE">
      <w:start w:val="1"/>
      <w:numFmt w:val="bullet"/>
      <w:lvlText w:val="•"/>
      <w:lvlJc w:val="left"/>
      <w:pPr>
        <w:tabs>
          <w:tab w:val="num" w:pos="720"/>
        </w:tabs>
        <w:ind w:left="720" w:hanging="360"/>
      </w:pPr>
      <w:rPr>
        <w:rFonts w:ascii="Arial" w:hAnsi="Arial" w:hint="default"/>
      </w:rPr>
    </w:lvl>
    <w:lvl w:ilvl="1" w:tplc="572C8908">
      <w:start w:val="1"/>
      <w:numFmt w:val="bullet"/>
      <w:lvlText w:val="•"/>
      <w:lvlJc w:val="left"/>
      <w:pPr>
        <w:tabs>
          <w:tab w:val="num" w:pos="1440"/>
        </w:tabs>
        <w:ind w:left="1440" w:hanging="360"/>
      </w:pPr>
      <w:rPr>
        <w:rFonts w:ascii="Arial" w:hAnsi="Arial" w:hint="default"/>
      </w:rPr>
    </w:lvl>
    <w:lvl w:ilvl="2" w:tplc="91807D5E" w:tentative="1">
      <w:start w:val="1"/>
      <w:numFmt w:val="bullet"/>
      <w:lvlText w:val="•"/>
      <w:lvlJc w:val="left"/>
      <w:pPr>
        <w:tabs>
          <w:tab w:val="num" w:pos="2160"/>
        </w:tabs>
        <w:ind w:left="2160" w:hanging="360"/>
      </w:pPr>
      <w:rPr>
        <w:rFonts w:ascii="Arial" w:hAnsi="Arial" w:hint="default"/>
      </w:rPr>
    </w:lvl>
    <w:lvl w:ilvl="3" w:tplc="1FC04F2A" w:tentative="1">
      <w:start w:val="1"/>
      <w:numFmt w:val="bullet"/>
      <w:lvlText w:val="•"/>
      <w:lvlJc w:val="left"/>
      <w:pPr>
        <w:tabs>
          <w:tab w:val="num" w:pos="2880"/>
        </w:tabs>
        <w:ind w:left="2880" w:hanging="360"/>
      </w:pPr>
      <w:rPr>
        <w:rFonts w:ascii="Arial" w:hAnsi="Arial" w:hint="default"/>
      </w:rPr>
    </w:lvl>
    <w:lvl w:ilvl="4" w:tplc="7F5C7C76" w:tentative="1">
      <w:start w:val="1"/>
      <w:numFmt w:val="bullet"/>
      <w:lvlText w:val="•"/>
      <w:lvlJc w:val="left"/>
      <w:pPr>
        <w:tabs>
          <w:tab w:val="num" w:pos="3600"/>
        </w:tabs>
        <w:ind w:left="3600" w:hanging="360"/>
      </w:pPr>
      <w:rPr>
        <w:rFonts w:ascii="Arial" w:hAnsi="Arial" w:hint="default"/>
      </w:rPr>
    </w:lvl>
    <w:lvl w:ilvl="5" w:tplc="53845412" w:tentative="1">
      <w:start w:val="1"/>
      <w:numFmt w:val="bullet"/>
      <w:lvlText w:val="•"/>
      <w:lvlJc w:val="left"/>
      <w:pPr>
        <w:tabs>
          <w:tab w:val="num" w:pos="4320"/>
        </w:tabs>
        <w:ind w:left="4320" w:hanging="360"/>
      </w:pPr>
      <w:rPr>
        <w:rFonts w:ascii="Arial" w:hAnsi="Arial" w:hint="default"/>
      </w:rPr>
    </w:lvl>
    <w:lvl w:ilvl="6" w:tplc="ADDE8BCE" w:tentative="1">
      <w:start w:val="1"/>
      <w:numFmt w:val="bullet"/>
      <w:lvlText w:val="•"/>
      <w:lvlJc w:val="left"/>
      <w:pPr>
        <w:tabs>
          <w:tab w:val="num" w:pos="5040"/>
        </w:tabs>
        <w:ind w:left="5040" w:hanging="360"/>
      </w:pPr>
      <w:rPr>
        <w:rFonts w:ascii="Arial" w:hAnsi="Arial" w:hint="default"/>
      </w:rPr>
    </w:lvl>
    <w:lvl w:ilvl="7" w:tplc="CEC4E9BA" w:tentative="1">
      <w:start w:val="1"/>
      <w:numFmt w:val="bullet"/>
      <w:lvlText w:val="•"/>
      <w:lvlJc w:val="left"/>
      <w:pPr>
        <w:tabs>
          <w:tab w:val="num" w:pos="5760"/>
        </w:tabs>
        <w:ind w:left="5760" w:hanging="360"/>
      </w:pPr>
      <w:rPr>
        <w:rFonts w:ascii="Arial" w:hAnsi="Arial" w:hint="default"/>
      </w:rPr>
    </w:lvl>
    <w:lvl w:ilvl="8" w:tplc="2F9860FA"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660A506A"/>
    <w:multiLevelType w:val="hybridMultilevel"/>
    <w:tmpl w:val="86F601CA"/>
    <w:lvl w:ilvl="0" w:tplc="01DE072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02" w15:restartNumberingAfterBreak="0">
    <w:nsid w:val="668424DB"/>
    <w:multiLevelType w:val="hybridMultilevel"/>
    <w:tmpl w:val="3806A59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3" w15:restartNumberingAfterBreak="0">
    <w:nsid w:val="67FF5CBA"/>
    <w:multiLevelType w:val="hybridMultilevel"/>
    <w:tmpl w:val="29A0638E"/>
    <w:lvl w:ilvl="0" w:tplc="21FE94C0">
      <w:start w:val="1"/>
      <w:numFmt w:val="decimal"/>
      <w:lvlText w:val="%1."/>
      <w:lvlJc w:val="left"/>
      <w:pPr>
        <w:ind w:left="720" w:hanging="360"/>
      </w:pPr>
      <w:rPr>
        <w:rFonts w:hint="default"/>
        <w:b/>
        <w:bCs/>
      </w:rPr>
    </w:lvl>
    <w:lvl w:ilvl="1" w:tplc="08130019">
      <w:start w:val="1"/>
      <w:numFmt w:val="lowerLetter"/>
      <w:lvlText w:val="%2."/>
      <w:lvlJc w:val="left"/>
      <w:pPr>
        <w:ind w:left="50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4" w15:restartNumberingAfterBreak="0">
    <w:nsid w:val="68AA111C"/>
    <w:multiLevelType w:val="hybridMultilevel"/>
    <w:tmpl w:val="26166E62"/>
    <w:lvl w:ilvl="0" w:tplc="5B6EEF10">
      <w:start w:val="7"/>
      <w:numFmt w:val="decimal"/>
      <w:lvlText w:val="%1."/>
      <w:lvlJc w:val="left"/>
      <w:pPr>
        <w:ind w:left="504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5" w15:restartNumberingAfterBreak="0">
    <w:nsid w:val="6A1B49FF"/>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B5622C4"/>
    <w:multiLevelType w:val="hybridMultilevel"/>
    <w:tmpl w:val="EEFA9B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7" w15:restartNumberingAfterBreak="0">
    <w:nsid w:val="6E672F38"/>
    <w:multiLevelType w:val="hybridMultilevel"/>
    <w:tmpl w:val="F99216AA"/>
    <w:lvl w:ilvl="0" w:tplc="FFFFFFFF">
      <w:start w:val="1"/>
      <w:numFmt w:val="bullet"/>
      <w:lvlText w:val="-"/>
      <w:lvlJc w:val="left"/>
      <w:pPr>
        <w:ind w:left="2160" w:hanging="360"/>
      </w:pPr>
      <w:rPr>
        <w:rFonts w:ascii="Calibri" w:hAnsi="Calibri"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108" w15:restartNumberingAfterBreak="0">
    <w:nsid w:val="6E741905"/>
    <w:multiLevelType w:val="hybridMultilevel"/>
    <w:tmpl w:val="0980BD9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9" w15:restartNumberingAfterBreak="0">
    <w:nsid w:val="6E8C39BE"/>
    <w:multiLevelType w:val="hybridMultilevel"/>
    <w:tmpl w:val="10BEA5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0" w15:restartNumberingAfterBreak="0">
    <w:nsid w:val="6EC53BFC"/>
    <w:multiLevelType w:val="hybridMultilevel"/>
    <w:tmpl w:val="1DE41A7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1" w15:restartNumberingAfterBreak="0">
    <w:nsid w:val="6ED07A48"/>
    <w:multiLevelType w:val="hybridMultilevel"/>
    <w:tmpl w:val="870C3FD8"/>
    <w:lvl w:ilvl="0" w:tplc="E1FE47CE">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2" w15:restartNumberingAfterBreak="0">
    <w:nsid w:val="6ED820FD"/>
    <w:multiLevelType w:val="hybridMultilevel"/>
    <w:tmpl w:val="80268F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3" w15:restartNumberingAfterBreak="0">
    <w:nsid w:val="75EC2270"/>
    <w:multiLevelType w:val="hybridMultilevel"/>
    <w:tmpl w:val="70AAA6C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4" w15:restartNumberingAfterBreak="0">
    <w:nsid w:val="769D2658"/>
    <w:multiLevelType w:val="hybridMultilevel"/>
    <w:tmpl w:val="2F2C062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15" w15:restartNumberingAfterBreak="0">
    <w:nsid w:val="76A60702"/>
    <w:multiLevelType w:val="hybridMultilevel"/>
    <w:tmpl w:val="5092711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6" w15:restartNumberingAfterBreak="0">
    <w:nsid w:val="77CE6F51"/>
    <w:multiLevelType w:val="hybridMultilevel"/>
    <w:tmpl w:val="87FEB354"/>
    <w:lvl w:ilvl="0" w:tplc="B3742182">
      <w:start w:val="16"/>
      <w:numFmt w:val="decimal"/>
      <w:lvlText w:val="%1."/>
      <w:lvlJc w:val="left"/>
      <w:pPr>
        <w:ind w:left="4613" w:hanging="360"/>
      </w:pPr>
      <w:rPr>
        <w:rFonts w:hint="default"/>
        <w:b/>
        <w:bCs/>
      </w:rPr>
    </w:lvl>
    <w:lvl w:ilvl="1" w:tplc="08130019" w:tentative="1">
      <w:start w:val="1"/>
      <w:numFmt w:val="lowerLetter"/>
      <w:lvlText w:val="%2."/>
      <w:lvlJc w:val="left"/>
      <w:pPr>
        <w:ind w:left="1013" w:hanging="360"/>
      </w:pPr>
    </w:lvl>
    <w:lvl w:ilvl="2" w:tplc="0813001B" w:tentative="1">
      <w:start w:val="1"/>
      <w:numFmt w:val="lowerRoman"/>
      <w:lvlText w:val="%3."/>
      <w:lvlJc w:val="right"/>
      <w:pPr>
        <w:ind w:left="1733" w:hanging="180"/>
      </w:pPr>
    </w:lvl>
    <w:lvl w:ilvl="3" w:tplc="0813000F" w:tentative="1">
      <w:start w:val="1"/>
      <w:numFmt w:val="decimal"/>
      <w:lvlText w:val="%4."/>
      <w:lvlJc w:val="left"/>
      <w:pPr>
        <w:ind w:left="2453" w:hanging="360"/>
      </w:pPr>
    </w:lvl>
    <w:lvl w:ilvl="4" w:tplc="08130019" w:tentative="1">
      <w:start w:val="1"/>
      <w:numFmt w:val="lowerLetter"/>
      <w:lvlText w:val="%5."/>
      <w:lvlJc w:val="left"/>
      <w:pPr>
        <w:ind w:left="3173" w:hanging="360"/>
      </w:pPr>
    </w:lvl>
    <w:lvl w:ilvl="5" w:tplc="0813001B" w:tentative="1">
      <w:start w:val="1"/>
      <w:numFmt w:val="lowerRoman"/>
      <w:lvlText w:val="%6."/>
      <w:lvlJc w:val="right"/>
      <w:pPr>
        <w:ind w:left="3893" w:hanging="180"/>
      </w:pPr>
    </w:lvl>
    <w:lvl w:ilvl="6" w:tplc="0813000F" w:tentative="1">
      <w:start w:val="1"/>
      <w:numFmt w:val="decimal"/>
      <w:lvlText w:val="%7."/>
      <w:lvlJc w:val="left"/>
      <w:pPr>
        <w:ind w:left="4613" w:hanging="360"/>
      </w:pPr>
    </w:lvl>
    <w:lvl w:ilvl="7" w:tplc="08130019" w:tentative="1">
      <w:start w:val="1"/>
      <w:numFmt w:val="lowerLetter"/>
      <w:lvlText w:val="%8."/>
      <w:lvlJc w:val="left"/>
      <w:pPr>
        <w:ind w:left="5333" w:hanging="360"/>
      </w:pPr>
    </w:lvl>
    <w:lvl w:ilvl="8" w:tplc="0813001B" w:tentative="1">
      <w:start w:val="1"/>
      <w:numFmt w:val="lowerRoman"/>
      <w:lvlText w:val="%9."/>
      <w:lvlJc w:val="right"/>
      <w:pPr>
        <w:ind w:left="6053" w:hanging="180"/>
      </w:pPr>
    </w:lvl>
  </w:abstractNum>
  <w:abstractNum w:abstractNumId="117" w15:restartNumberingAfterBreak="0">
    <w:nsid w:val="7B39193B"/>
    <w:multiLevelType w:val="hybridMultilevel"/>
    <w:tmpl w:val="66E6EC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8" w15:restartNumberingAfterBreak="0">
    <w:nsid w:val="7C341C96"/>
    <w:multiLevelType w:val="hybridMultilevel"/>
    <w:tmpl w:val="0E4E465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9" w15:restartNumberingAfterBreak="0">
    <w:nsid w:val="7D8B12E7"/>
    <w:multiLevelType w:val="hybridMultilevel"/>
    <w:tmpl w:val="980ECF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0" w15:restartNumberingAfterBreak="0">
    <w:nsid w:val="7FB93A38"/>
    <w:multiLevelType w:val="hybridMultilevel"/>
    <w:tmpl w:val="FB64D3C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6"/>
  </w:num>
  <w:num w:numId="2">
    <w:abstractNumId w:val="51"/>
  </w:num>
  <w:num w:numId="3">
    <w:abstractNumId w:val="98"/>
  </w:num>
  <w:num w:numId="4">
    <w:abstractNumId w:val="53"/>
  </w:num>
  <w:num w:numId="5">
    <w:abstractNumId w:val="35"/>
  </w:num>
  <w:num w:numId="6">
    <w:abstractNumId w:val="111"/>
  </w:num>
  <w:num w:numId="7">
    <w:abstractNumId w:val="95"/>
  </w:num>
  <w:num w:numId="8">
    <w:abstractNumId w:val="33"/>
  </w:num>
  <w:num w:numId="9">
    <w:abstractNumId w:val="21"/>
  </w:num>
  <w:num w:numId="10">
    <w:abstractNumId w:val="74"/>
  </w:num>
  <w:num w:numId="11">
    <w:abstractNumId w:val="78"/>
  </w:num>
  <w:num w:numId="12">
    <w:abstractNumId w:val="103"/>
  </w:num>
  <w:num w:numId="13">
    <w:abstractNumId w:val="102"/>
  </w:num>
  <w:num w:numId="14">
    <w:abstractNumId w:val="115"/>
  </w:num>
  <w:num w:numId="15">
    <w:abstractNumId w:val="17"/>
  </w:num>
  <w:num w:numId="16">
    <w:abstractNumId w:val="99"/>
  </w:num>
  <w:num w:numId="17">
    <w:abstractNumId w:val="1"/>
  </w:num>
  <w:num w:numId="18">
    <w:abstractNumId w:val="114"/>
  </w:num>
  <w:num w:numId="19">
    <w:abstractNumId w:val="22"/>
  </w:num>
  <w:num w:numId="20">
    <w:abstractNumId w:val="120"/>
  </w:num>
  <w:num w:numId="21">
    <w:abstractNumId w:val="47"/>
  </w:num>
  <w:num w:numId="22">
    <w:abstractNumId w:val="41"/>
  </w:num>
  <w:num w:numId="23">
    <w:abstractNumId w:val="30"/>
  </w:num>
  <w:num w:numId="24">
    <w:abstractNumId w:val="65"/>
  </w:num>
  <w:num w:numId="25">
    <w:abstractNumId w:val="6"/>
  </w:num>
  <w:num w:numId="26">
    <w:abstractNumId w:val="71"/>
  </w:num>
  <w:num w:numId="27">
    <w:abstractNumId w:val="40"/>
  </w:num>
  <w:num w:numId="28">
    <w:abstractNumId w:val="44"/>
  </w:num>
  <w:num w:numId="29">
    <w:abstractNumId w:val="76"/>
  </w:num>
  <w:num w:numId="30">
    <w:abstractNumId w:val="11"/>
  </w:num>
  <w:num w:numId="31">
    <w:abstractNumId w:val="86"/>
  </w:num>
  <w:num w:numId="32">
    <w:abstractNumId w:val="93"/>
  </w:num>
  <w:num w:numId="33">
    <w:abstractNumId w:val="69"/>
  </w:num>
  <w:num w:numId="34">
    <w:abstractNumId w:val="73"/>
  </w:num>
  <w:num w:numId="35">
    <w:abstractNumId w:val="109"/>
  </w:num>
  <w:num w:numId="36">
    <w:abstractNumId w:val="12"/>
  </w:num>
  <w:num w:numId="37">
    <w:abstractNumId w:val="8"/>
  </w:num>
  <w:num w:numId="38">
    <w:abstractNumId w:val="56"/>
  </w:num>
  <w:num w:numId="39">
    <w:abstractNumId w:val="63"/>
  </w:num>
  <w:num w:numId="40">
    <w:abstractNumId w:val="64"/>
  </w:num>
  <w:num w:numId="41">
    <w:abstractNumId w:val="7"/>
  </w:num>
  <w:num w:numId="42">
    <w:abstractNumId w:val="9"/>
  </w:num>
  <w:num w:numId="43">
    <w:abstractNumId w:val="60"/>
  </w:num>
  <w:num w:numId="44">
    <w:abstractNumId w:val="50"/>
  </w:num>
  <w:num w:numId="45">
    <w:abstractNumId w:val="45"/>
  </w:num>
  <w:num w:numId="46">
    <w:abstractNumId w:val="14"/>
  </w:num>
  <w:num w:numId="47">
    <w:abstractNumId w:val="113"/>
  </w:num>
  <w:num w:numId="48">
    <w:abstractNumId w:val="81"/>
  </w:num>
  <w:num w:numId="49">
    <w:abstractNumId w:val="18"/>
  </w:num>
  <w:num w:numId="50">
    <w:abstractNumId w:val="55"/>
  </w:num>
  <w:num w:numId="51">
    <w:abstractNumId w:val="37"/>
  </w:num>
  <w:num w:numId="52">
    <w:abstractNumId w:val="61"/>
  </w:num>
  <w:num w:numId="53">
    <w:abstractNumId w:val="34"/>
  </w:num>
  <w:num w:numId="54">
    <w:abstractNumId w:val="20"/>
  </w:num>
  <w:num w:numId="55">
    <w:abstractNumId w:val="107"/>
  </w:num>
  <w:num w:numId="56">
    <w:abstractNumId w:val="42"/>
  </w:num>
  <w:num w:numId="57">
    <w:abstractNumId w:val="101"/>
  </w:num>
  <w:num w:numId="58">
    <w:abstractNumId w:val="2"/>
  </w:num>
  <w:num w:numId="59">
    <w:abstractNumId w:val="97"/>
  </w:num>
  <w:num w:numId="60">
    <w:abstractNumId w:val="36"/>
  </w:num>
  <w:num w:numId="61">
    <w:abstractNumId w:val="54"/>
  </w:num>
  <w:num w:numId="62">
    <w:abstractNumId w:val="83"/>
  </w:num>
  <w:num w:numId="63">
    <w:abstractNumId w:val="43"/>
  </w:num>
  <w:num w:numId="64">
    <w:abstractNumId w:val="75"/>
  </w:num>
  <w:num w:numId="65">
    <w:abstractNumId w:val="110"/>
  </w:num>
  <w:num w:numId="66">
    <w:abstractNumId w:val="85"/>
  </w:num>
  <w:num w:numId="67">
    <w:abstractNumId w:val="77"/>
  </w:num>
  <w:num w:numId="68">
    <w:abstractNumId w:val="49"/>
  </w:num>
  <w:num w:numId="69">
    <w:abstractNumId w:val="10"/>
  </w:num>
  <w:num w:numId="70">
    <w:abstractNumId w:val="48"/>
  </w:num>
  <w:num w:numId="71">
    <w:abstractNumId w:val="28"/>
  </w:num>
  <w:num w:numId="72">
    <w:abstractNumId w:val="4"/>
  </w:num>
  <w:num w:numId="73">
    <w:abstractNumId w:val="67"/>
  </w:num>
  <w:num w:numId="74">
    <w:abstractNumId w:val="5"/>
  </w:num>
  <w:num w:numId="75">
    <w:abstractNumId w:val="84"/>
  </w:num>
  <w:num w:numId="76">
    <w:abstractNumId w:val="52"/>
  </w:num>
  <w:num w:numId="77">
    <w:abstractNumId w:val="79"/>
  </w:num>
  <w:num w:numId="78">
    <w:abstractNumId w:val="27"/>
  </w:num>
  <w:num w:numId="79">
    <w:abstractNumId w:val="23"/>
  </w:num>
  <w:num w:numId="80">
    <w:abstractNumId w:val="106"/>
  </w:num>
  <w:num w:numId="81">
    <w:abstractNumId w:val="87"/>
  </w:num>
  <w:num w:numId="82">
    <w:abstractNumId w:val="3"/>
  </w:num>
  <w:num w:numId="83">
    <w:abstractNumId w:val="62"/>
  </w:num>
  <w:num w:numId="84">
    <w:abstractNumId w:val="58"/>
  </w:num>
  <w:num w:numId="85">
    <w:abstractNumId w:val="90"/>
  </w:num>
  <w:num w:numId="86">
    <w:abstractNumId w:val="112"/>
  </w:num>
  <w:num w:numId="87">
    <w:abstractNumId w:val="119"/>
  </w:num>
  <w:num w:numId="88">
    <w:abstractNumId w:val="46"/>
  </w:num>
  <w:num w:numId="89">
    <w:abstractNumId w:val="91"/>
  </w:num>
  <w:num w:numId="90">
    <w:abstractNumId w:val="16"/>
  </w:num>
  <w:num w:numId="91">
    <w:abstractNumId w:val="19"/>
  </w:num>
  <w:num w:numId="92">
    <w:abstractNumId w:val="29"/>
  </w:num>
  <w:num w:numId="93">
    <w:abstractNumId w:val="108"/>
  </w:num>
  <w:num w:numId="94">
    <w:abstractNumId w:val="117"/>
  </w:num>
  <w:num w:numId="95">
    <w:abstractNumId w:val="118"/>
  </w:num>
  <w:num w:numId="96">
    <w:abstractNumId w:val="72"/>
  </w:num>
  <w:num w:numId="97">
    <w:abstractNumId w:val="66"/>
  </w:num>
  <w:num w:numId="98">
    <w:abstractNumId w:val="38"/>
  </w:num>
  <w:num w:numId="99">
    <w:abstractNumId w:val="82"/>
  </w:num>
  <w:num w:numId="100">
    <w:abstractNumId w:val="57"/>
  </w:num>
  <w:num w:numId="101">
    <w:abstractNumId w:val="96"/>
  </w:num>
  <w:num w:numId="102">
    <w:abstractNumId w:val="80"/>
  </w:num>
  <w:num w:numId="103">
    <w:abstractNumId w:val="68"/>
  </w:num>
  <w:num w:numId="104">
    <w:abstractNumId w:val="70"/>
  </w:num>
  <w:num w:numId="105">
    <w:abstractNumId w:val="24"/>
  </w:num>
  <w:num w:numId="106">
    <w:abstractNumId w:val="13"/>
  </w:num>
  <w:num w:numId="107">
    <w:abstractNumId w:val="88"/>
  </w:num>
  <w:num w:numId="108">
    <w:abstractNumId w:val="31"/>
  </w:num>
  <w:num w:numId="109">
    <w:abstractNumId w:val="116"/>
  </w:num>
  <w:num w:numId="110">
    <w:abstractNumId w:val="59"/>
  </w:num>
  <w:num w:numId="111">
    <w:abstractNumId w:val="92"/>
  </w:num>
  <w:num w:numId="112">
    <w:abstractNumId w:val="105"/>
  </w:num>
  <w:num w:numId="113">
    <w:abstractNumId w:val="89"/>
  </w:num>
  <w:num w:numId="114">
    <w:abstractNumId w:val="94"/>
  </w:num>
  <w:num w:numId="115">
    <w:abstractNumId w:val="104"/>
  </w:num>
  <w:num w:numId="116">
    <w:abstractNumId w:val="25"/>
  </w:num>
  <w:num w:numId="117">
    <w:abstractNumId w:val="32"/>
  </w:num>
  <w:num w:numId="118">
    <w:abstractNumId w:val="15"/>
  </w:num>
  <w:num w:numId="119">
    <w:abstractNumId w:val="100"/>
  </w:num>
  <w:num w:numId="120">
    <w:abstractNumId w:val="0"/>
  </w:num>
  <w:num w:numId="121">
    <w:abstractNumId w:val="39"/>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14"/>
    <w:rsid w:val="000005A2"/>
    <w:rsid w:val="00000848"/>
    <w:rsid w:val="0000123D"/>
    <w:rsid w:val="00001B41"/>
    <w:rsid w:val="0000220D"/>
    <w:rsid w:val="00002377"/>
    <w:rsid w:val="000026F5"/>
    <w:rsid w:val="000030C3"/>
    <w:rsid w:val="0000334E"/>
    <w:rsid w:val="00003360"/>
    <w:rsid w:val="000034E7"/>
    <w:rsid w:val="000038BD"/>
    <w:rsid w:val="00003F93"/>
    <w:rsid w:val="000045B2"/>
    <w:rsid w:val="00004AB3"/>
    <w:rsid w:val="000051A6"/>
    <w:rsid w:val="00005387"/>
    <w:rsid w:val="0000583C"/>
    <w:rsid w:val="0000611D"/>
    <w:rsid w:val="00006D2B"/>
    <w:rsid w:val="00007488"/>
    <w:rsid w:val="00007513"/>
    <w:rsid w:val="000077B2"/>
    <w:rsid w:val="00007822"/>
    <w:rsid w:val="0000784A"/>
    <w:rsid w:val="0000788B"/>
    <w:rsid w:val="00007FA3"/>
    <w:rsid w:val="00010010"/>
    <w:rsid w:val="000114E6"/>
    <w:rsid w:val="000116BA"/>
    <w:rsid w:val="000116F4"/>
    <w:rsid w:val="000117D2"/>
    <w:rsid w:val="00011AF6"/>
    <w:rsid w:val="00011CBD"/>
    <w:rsid w:val="00011ED1"/>
    <w:rsid w:val="00011F06"/>
    <w:rsid w:val="0001222C"/>
    <w:rsid w:val="00012594"/>
    <w:rsid w:val="00012775"/>
    <w:rsid w:val="00013AA2"/>
    <w:rsid w:val="000142D0"/>
    <w:rsid w:val="00014343"/>
    <w:rsid w:val="000149D4"/>
    <w:rsid w:val="00015104"/>
    <w:rsid w:val="00015A9D"/>
    <w:rsid w:val="00015C9B"/>
    <w:rsid w:val="00016198"/>
    <w:rsid w:val="0001672C"/>
    <w:rsid w:val="00016BC1"/>
    <w:rsid w:val="000173B3"/>
    <w:rsid w:val="000178E1"/>
    <w:rsid w:val="0001792E"/>
    <w:rsid w:val="00020277"/>
    <w:rsid w:val="00020A9E"/>
    <w:rsid w:val="00020C8D"/>
    <w:rsid w:val="00022131"/>
    <w:rsid w:val="0002265C"/>
    <w:rsid w:val="00022AC6"/>
    <w:rsid w:val="00022E63"/>
    <w:rsid w:val="00023135"/>
    <w:rsid w:val="0002335B"/>
    <w:rsid w:val="00023664"/>
    <w:rsid w:val="000251D2"/>
    <w:rsid w:val="0002531F"/>
    <w:rsid w:val="00027250"/>
    <w:rsid w:val="00027361"/>
    <w:rsid w:val="00027D20"/>
    <w:rsid w:val="00027EDB"/>
    <w:rsid w:val="00031517"/>
    <w:rsid w:val="000318F7"/>
    <w:rsid w:val="00032FF2"/>
    <w:rsid w:val="00033824"/>
    <w:rsid w:val="00033F06"/>
    <w:rsid w:val="000348DC"/>
    <w:rsid w:val="00034BDF"/>
    <w:rsid w:val="00035A24"/>
    <w:rsid w:val="00035C45"/>
    <w:rsid w:val="00036908"/>
    <w:rsid w:val="00037A85"/>
    <w:rsid w:val="00040CCE"/>
    <w:rsid w:val="00040DC1"/>
    <w:rsid w:val="000410C8"/>
    <w:rsid w:val="0004140D"/>
    <w:rsid w:val="0004183C"/>
    <w:rsid w:val="00041984"/>
    <w:rsid w:val="00041B53"/>
    <w:rsid w:val="00041B91"/>
    <w:rsid w:val="00041E96"/>
    <w:rsid w:val="00042124"/>
    <w:rsid w:val="00042211"/>
    <w:rsid w:val="00042A13"/>
    <w:rsid w:val="00042A15"/>
    <w:rsid w:val="00042B6F"/>
    <w:rsid w:val="000432B6"/>
    <w:rsid w:val="000436F9"/>
    <w:rsid w:val="000441DA"/>
    <w:rsid w:val="00044993"/>
    <w:rsid w:val="00045774"/>
    <w:rsid w:val="0004590D"/>
    <w:rsid w:val="00046CE7"/>
    <w:rsid w:val="00046DD4"/>
    <w:rsid w:val="000470BD"/>
    <w:rsid w:val="0005021F"/>
    <w:rsid w:val="000514E9"/>
    <w:rsid w:val="0005153B"/>
    <w:rsid w:val="00051B0E"/>
    <w:rsid w:val="00052222"/>
    <w:rsid w:val="00052861"/>
    <w:rsid w:val="00052E11"/>
    <w:rsid w:val="000535CF"/>
    <w:rsid w:val="00054592"/>
    <w:rsid w:val="00054A6C"/>
    <w:rsid w:val="00054BEC"/>
    <w:rsid w:val="000553FD"/>
    <w:rsid w:val="00055879"/>
    <w:rsid w:val="000558E2"/>
    <w:rsid w:val="00055942"/>
    <w:rsid w:val="000569CA"/>
    <w:rsid w:val="00056B66"/>
    <w:rsid w:val="00056E46"/>
    <w:rsid w:val="00056FA0"/>
    <w:rsid w:val="0005700E"/>
    <w:rsid w:val="000572ED"/>
    <w:rsid w:val="00057306"/>
    <w:rsid w:val="00057554"/>
    <w:rsid w:val="00057627"/>
    <w:rsid w:val="0005765E"/>
    <w:rsid w:val="000578E1"/>
    <w:rsid w:val="000604E8"/>
    <w:rsid w:val="00060B6F"/>
    <w:rsid w:val="00060C61"/>
    <w:rsid w:val="00060CBC"/>
    <w:rsid w:val="00060D16"/>
    <w:rsid w:val="00060DE4"/>
    <w:rsid w:val="00060F84"/>
    <w:rsid w:val="00061040"/>
    <w:rsid w:val="0006161E"/>
    <w:rsid w:val="000616BD"/>
    <w:rsid w:val="00061A32"/>
    <w:rsid w:val="00061E2E"/>
    <w:rsid w:val="00061FDE"/>
    <w:rsid w:val="00062097"/>
    <w:rsid w:val="00062968"/>
    <w:rsid w:val="00062A4A"/>
    <w:rsid w:val="00062C6E"/>
    <w:rsid w:val="000633A2"/>
    <w:rsid w:val="000634D1"/>
    <w:rsid w:val="00064A51"/>
    <w:rsid w:val="00065B5F"/>
    <w:rsid w:val="00065C5A"/>
    <w:rsid w:val="000660F7"/>
    <w:rsid w:val="0006778B"/>
    <w:rsid w:val="00067FDB"/>
    <w:rsid w:val="000701C7"/>
    <w:rsid w:val="000710C8"/>
    <w:rsid w:val="000710DB"/>
    <w:rsid w:val="000717C6"/>
    <w:rsid w:val="00071E7E"/>
    <w:rsid w:val="00072495"/>
    <w:rsid w:val="00072828"/>
    <w:rsid w:val="000729F6"/>
    <w:rsid w:val="00072C13"/>
    <w:rsid w:val="00073031"/>
    <w:rsid w:val="00073483"/>
    <w:rsid w:val="000734F7"/>
    <w:rsid w:val="000740C0"/>
    <w:rsid w:val="0007433A"/>
    <w:rsid w:val="00074AB9"/>
    <w:rsid w:val="00075832"/>
    <w:rsid w:val="000758A4"/>
    <w:rsid w:val="00075D95"/>
    <w:rsid w:val="000761FA"/>
    <w:rsid w:val="00076606"/>
    <w:rsid w:val="0007674A"/>
    <w:rsid w:val="00076FCC"/>
    <w:rsid w:val="00077017"/>
    <w:rsid w:val="00077035"/>
    <w:rsid w:val="000772A6"/>
    <w:rsid w:val="0007746C"/>
    <w:rsid w:val="00080226"/>
    <w:rsid w:val="000806D1"/>
    <w:rsid w:val="000811AE"/>
    <w:rsid w:val="00081451"/>
    <w:rsid w:val="000815D8"/>
    <w:rsid w:val="00081754"/>
    <w:rsid w:val="00081A31"/>
    <w:rsid w:val="000821B2"/>
    <w:rsid w:val="00082351"/>
    <w:rsid w:val="00082B2B"/>
    <w:rsid w:val="00082D92"/>
    <w:rsid w:val="00083B03"/>
    <w:rsid w:val="00083FF1"/>
    <w:rsid w:val="00085030"/>
    <w:rsid w:val="00085272"/>
    <w:rsid w:val="00085315"/>
    <w:rsid w:val="00085CED"/>
    <w:rsid w:val="000864A9"/>
    <w:rsid w:val="00086949"/>
    <w:rsid w:val="00086E11"/>
    <w:rsid w:val="000874E1"/>
    <w:rsid w:val="00087D8E"/>
    <w:rsid w:val="00090163"/>
    <w:rsid w:val="000902F0"/>
    <w:rsid w:val="00090BD5"/>
    <w:rsid w:val="00091188"/>
    <w:rsid w:val="000912B3"/>
    <w:rsid w:val="000919B3"/>
    <w:rsid w:val="00091A0B"/>
    <w:rsid w:val="000929F5"/>
    <w:rsid w:val="00092AB2"/>
    <w:rsid w:val="00092D11"/>
    <w:rsid w:val="00093800"/>
    <w:rsid w:val="00093CA9"/>
    <w:rsid w:val="00093CC4"/>
    <w:rsid w:val="000940D0"/>
    <w:rsid w:val="0009424F"/>
    <w:rsid w:val="00094421"/>
    <w:rsid w:val="000949C5"/>
    <w:rsid w:val="00094DE6"/>
    <w:rsid w:val="00094F47"/>
    <w:rsid w:val="00094FAD"/>
    <w:rsid w:val="0009547B"/>
    <w:rsid w:val="00096B70"/>
    <w:rsid w:val="00096EA2"/>
    <w:rsid w:val="000973A5"/>
    <w:rsid w:val="0009773B"/>
    <w:rsid w:val="00097BD9"/>
    <w:rsid w:val="000A012E"/>
    <w:rsid w:val="000A03CA"/>
    <w:rsid w:val="000A0DEE"/>
    <w:rsid w:val="000A11F2"/>
    <w:rsid w:val="000A1485"/>
    <w:rsid w:val="000A1F08"/>
    <w:rsid w:val="000A3074"/>
    <w:rsid w:val="000A34E7"/>
    <w:rsid w:val="000A4A5D"/>
    <w:rsid w:val="000A4C29"/>
    <w:rsid w:val="000A59C3"/>
    <w:rsid w:val="000A59CF"/>
    <w:rsid w:val="000A5D06"/>
    <w:rsid w:val="000A6589"/>
    <w:rsid w:val="000A681A"/>
    <w:rsid w:val="000A6BBF"/>
    <w:rsid w:val="000A6BC5"/>
    <w:rsid w:val="000A79BD"/>
    <w:rsid w:val="000A7F8A"/>
    <w:rsid w:val="000B00F9"/>
    <w:rsid w:val="000B04CB"/>
    <w:rsid w:val="000B06C9"/>
    <w:rsid w:val="000B0AB4"/>
    <w:rsid w:val="000B0DAC"/>
    <w:rsid w:val="000B0ED6"/>
    <w:rsid w:val="000B1435"/>
    <w:rsid w:val="000B1446"/>
    <w:rsid w:val="000B1471"/>
    <w:rsid w:val="000B1750"/>
    <w:rsid w:val="000B1FBD"/>
    <w:rsid w:val="000B2040"/>
    <w:rsid w:val="000B262E"/>
    <w:rsid w:val="000B3A1B"/>
    <w:rsid w:val="000B3E49"/>
    <w:rsid w:val="000B4092"/>
    <w:rsid w:val="000B50FB"/>
    <w:rsid w:val="000B5259"/>
    <w:rsid w:val="000B53F8"/>
    <w:rsid w:val="000B5510"/>
    <w:rsid w:val="000B5763"/>
    <w:rsid w:val="000B5BC4"/>
    <w:rsid w:val="000B6B2D"/>
    <w:rsid w:val="000B6C54"/>
    <w:rsid w:val="000B70BC"/>
    <w:rsid w:val="000B7A71"/>
    <w:rsid w:val="000C065B"/>
    <w:rsid w:val="000C161E"/>
    <w:rsid w:val="000C175A"/>
    <w:rsid w:val="000C288C"/>
    <w:rsid w:val="000C33B7"/>
    <w:rsid w:val="000C35E2"/>
    <w:rsid w:val="000C3BFF"/>
    <w:rsid w:val="000C42A7"/>
    <w:rsid w:val="000C51C6"/>
    <w:rsid w:val="000C5798"/>
    <w:rsid w:val="000C6099"/>
    <w:rsid w:val="000C6EB8"/>
    <w:rsid w:val="000C6F1E"/>
    <w:rsid w:val="000C728C"/>
    <w:rsid w:val="000C7C5B"/>
    <w:rsid w:val="000C7DD8"/>
    <w:rsid w:val="000D00F6"/>
    <w:rsid w:val="000D03C4"/>
    <w:rsid w:val="000D05CE"/>
    <w:rsid w:val="000D15AA"/>
    <w:rsid w:val="000D1F7E"/>
    <w:rsid w:val="000D2043"/>
    <w:rsid w:val="000D216F"/>
    <w:rsid w:val="000D277B"/>
    <w:rsid w:val="000D28B9"/>
    <w:rsid w:val="000D2BE2"/>
    <w:rsid w:val="000D2C86"/>
    <w:rsid w:val="000D2CBE"/>
    <w:rsid w:val="000D3104"/>
    <w:rsid w:val="000D37C1"/>
    <w:rsid w:val="000D4017"/>
    <w:rsid w:val="000D55F9"/>
    <w:rsid w:val="000D5705"/>
    <w:rsid w:val="000D59C6"/>
    <w:rsid w:val="000D5DE9"/>
    <w:rsid w:val="000D6115"/>
    <w:rsid w:val="000D6F2E"/>
    <w:rsid w:val="000D718B"/>
    <w:rsid w:val="000E0351"/>
    <w:rsid w:val="000E03A2"/>
    <w:rsid w:val="000E04D7"/>
    <w:rsid w:val="000E0EB9"/>
    <w:rsid w:val="000E1416"/>
    <w:rsid w:val="000E1C19"/>
    <w:rsid w:val="000E21F4"/>
    <w:rsid w:val="000E222E"/>
    <w:rsid w:val="000E253C"/>
    <w:rsid w:val="000E26C7"/>
    <w:rsid w:val="000E2747"/>
    <w:rsid w:val="000E32F3"/>
    <w:rsid w:val="000E4697"/>
    <w:rsid w:val="000E48DF"/>
    <w:rsid w:val="000E4F82"/>
    <w:rsid w:val="000E50B4"/>
    <w:rsid w:val="000E5BB9"/>
    <w:rsid w:val="000E6055"/>
    <w:rsid w:val="000E6FAE"/>
    <w:rsid w:val="000E73E2"/>
    <w:rsid w:val="000E7DC4"/>
    <w:rsid w:val="000E7EEE"/>
    <w:rsid w:val="000F0805"/>
    <w:rsid w:val="000F0951"/>
    <w:rsid w:val="000F14B5"/>
    <w:rsid w:val="000F1806"/>
    <w:rsid w:val="000F1F18"/>
    <w:rsid w:val="000F2CA1"/>
    <w:rsid w:val="000F3366"/>
    <w:rsid w:val="000F384A"/>
    <w:rsid w:val="000F49EC"/>
    <w:rsid w:val="000F4EDE"/>
    <w:rsid w:val="000F5019"/>
    <w:rsid w:val="000F5493"/>
    <w:rsid w:val="000F5847"/>
    <w:rsid w:val="000F5AEF"/>
    <w:rsid w:val="000F61AB"/>
    <w:rsid w:val="000F6472"/>
    <w:rsid w:val="000F6D01"/>
    <w:rsid w:val="000F6E00"/>
    <w:rsid w:val="000F7814"/>
    <w:rsid w:val="000F7968"/>
    <w:rsid w:val="000F79E1"/>
    <w:rsid w:val="000F7BD3"/>
    <w:rsid w:val="00100517"/>
    <w:rsid w:val="0010054E"/>
    <w:rsid w:val="00100CAA"/>
    <w:rsid w:val="00101118"/>
    <w:rsid w:val="001012DB"/>
    <w:rsid w:val="00101C57"/>
    <w:rsid w:val="00101E34"/>
    <w:rsid w:val="001021D7"/>
    <w:rsid w:val="00102C3A"/>
    <w:rsid w:val="00102E92"/>
    <w:rsid w:val="001031BC"/>
    <w:rsid w:val="001038B5"/>
    <w:rsid w:val="00103D69"/>
    <w:rsid w:val="00104953"/>
    <w:rsid w:val="001049AF"/>
    <w:rsid w:val="00105F22"/>
    <w:rsid w:val="001061F5"/>
    <w:rsid w:val="001066A6"/>
    <w:rsid w:val="001066CB"/>
    <w:rsid w:val="00106C30"/>
    <w:rsid w:val="0010796D"/>
    <w:rsid w:val="00107BC4"/>
    <w:rsid w:val="00107C1E"/>
    <w:rsid w:val="00107D2E"/>
    <w:rsid w:val="001101F7"/>
    <w:rsid w:val="0011027A"/>
    <w:rsid w:val="00110979"/>
    <w:rsid w:val="00110FEB"/>
    <w:rsid w:val="001111AB"/>
    <w:rsid w:val="001117B8"/>
    <w:rsid w:val="001126F2"/>
    <w:rsid w:val="00112819"/>
    <w:rsid w:val="00112C00"/>
    <w:rsid w:val="00112C29"/>
    <w:rsid w:val="0011332A"/>
    <w:rsid w:val="00113794"/>
    <w:rsid w:val="001137F6"/>
    <w:rsid w:val="0011423B"/>
    <w:rsid w:val="00114D1E"/>
    <w:rsid w:val="001152C7"/>
    <w:rsid w:val="001158F5"/>
    <w:rsid w:val="0011594E"/>
    <w:rsid w:val="00115983"/>
    <w:rsid w:val="00115AE7"/>
    <w:rsid w:val="00116045"/>
    <w:rsid w:val="00116A89"/>
    <w:rsid w:val="00116C8E"/>
    <w:rsid w:val="00117009"/>
    <w:rsid w:val="00117735"/>
    <w:rsid w:val="00117D03"/>
    <w:rsid w:val="00117DFB"/>
    <w:rsid w:val="00117EC4"/>
    <w:rsid w:val="00120788"/>
    <w:rsid w:val="00120863"/>
    <w:rsid w:val="00121203"/>
    <w:rsid w:val="0012142D"/>
    <w:rsid w:val="00121985"/>
    <w:rsid w:val="00121A42"/>
    <w:rsid w:val="001220FC"/>
    <w:rsid w:val="00122C85"/>
    <w:rsid w:val="00122F21"/>
    <w:rsid w:val="00122F55"/>
    <w:rsid w:val="00123DF1"/>
    <w:rsid w:val="0012415B"/>
    <w:rsid w:val="001247EB"/>
    <w:rsid w:val="00124D98"/>
    <w:rsid w:val="001260EC"/>
    <w:rsid w:val="001273BA"/>
    <w:rsid w:val="0012746F"/>
    <w:rsid w:val="00127CD5"/>
    <w:rsid w:val="00127FA6"/>
    <w:rsid w:val="0013076B"/>
    <w:rsid w:val="00130BC4"/>
    <w:rsid w:val="00131FD1"/>
    <w:rsid w:val="0013239E"/>
    <w:rsid w:val="00132712"/>
    <w:rsid w:val="001332DF"/>
    <w:rsid w:val="00133BB1"/>
    <w:rsid w:val="00133C16"/>
    <w:rsid w:val="00133DBB"/>
    <w:rsid w:val="00133EAF"/>
    <w:rsid w:val="00135090"/>
    <w:rsid w:val="001357D2"/>
    <w:rsid w:val="00135818"/>
    <w:rsid w:val="00135A0F"/>
    <w:rsid w:val="00135B85"/>
    <w:rsid w:val="00135CD9"/>
    <w:rsid w:val="00135F30"/>
    <w:rsid w:val="00136AB9"/>
    <w:rsid w:val="0013732A"/>
    <w:rsid w:val="00137973"/>
    <w:rsid w:val="001406D8"/>
    <w:rsid w:val="00140C1D"/>
    <w:rsid w:val="00141482"/>
    <w:rsid w:val="00141527"/>
    <w:rsid w:val="00141BB5"/>
    <w:rsid w:val="0014208B"/>
    <w:rsid w:val="001421C0"/>
    <w:rsid w:val="00142CBB"/>
    <w:rsid w:val="00142FF3"/>
    <w:rsid w:val="00143188"/>
    <w:rsid w:val="00145077"/>
    <w:rsid w:val="00145502"/>
    <w:rsid w:val="00145524"/>
    <w:rsid w:val="001457D5"/>
    <w:rsid w:val="00146F63"/>
    <w:rsid w:val="00147201"/>
    <w:rsid w:val="0014760A"/>
    <w:rsid w:val="001477B0"/>
    <w:rsid w:val="0015004B"/>
    <w:rsid w:val="00150DDC"/>
    <w:rsid w:val="00151991"/>
    <w:rsid w:val="00151D2F"/>
    <w:rsid w:val="00152126"/>
    <w:rsid w:val="00152373"/>
    <w:rsid w:val="00152440"/>
    <w:rsid w:val="001536A4"/>
    <w:rsid w:val="00153B2B"/>
    <w:rsid w:val="00153C2D"/>
    <w:rsid w:val="00154498"/>
    <w:rsid w:val="001547A6"/>
    <w:rsid w:val="00154832"/>
    <w:rsid w:val="00154BCE"/>
    <w:rsid w:val="00154C49"/>
    <w:rsid w:val="00154DD3"/>
    <w:rsid w:val="001551CB"/>
    <w:rsid w:val="001552A9"/>
    <w:rsid w:val="00156081"/>
    <w:rsid w:val="0015624A"/>
    <w:rsid w:val="00156661"/>
    <w:rsid w:val="001566A8"/>
    <w:rsid w:val="00156CCD"/>
    <w:rsid w:val="001571D7"/>
    <w:rsid w:val="00161119"/>
    <w:rsid w:val="001614C4"/>
    <w:rsid w:val="0016169A"/>
    <w:rsid w:val="0016249E"/>
    <w:rsid w:val="0016262C"/>
    <w:rsid w:val="0016310B"/>
    <w:rsid w:val="0016312D"/>
    <w:rsid w:val="00163B4B"/>
    <w:rsid w:val="00165434"/>
    <w:rsid w:val="00165643"/>
    <w:rsid w:val="00165BE3"/>
    <w:rsid w:val="001660B4"/>
    <w:rsid w:val="001664D7"/>
    <w:rsid w:val="001665A5"/>
    <w:rsid w:val="00166636"/>
    <w:rsid w:val="00166652"/>
    <w:rsid w:val="00166CFA"/>
    <w:rsid w:val="001675B4"/>
    <w:rsid w:val="00167621"/>
    <w:rsid w:val="001679F4"/>
    <w:rsid w:val="0017003B"/>
    <w:rsid w:val="00170482"/>
    <w:rsid w:val="00171126"/>
    <w:rsid w:val="00171175"/>
    <w:rsid w:val="001712B3"/>
    <w:rsid w:val="00172EBC"/>
    <w:rsid w:val="00173458"/>
    <w:rsid w:val="001736CE"/>
    <w:rsid w:val="00173EFC"/>
    <w:rsid w:val="001747DE"/>
    <w:rsid w:val="001748BA"/>
    <w:rsid w:val="001754FF"/>
    <w:rsid w:val="00175A9B"/>
    <w:rsid w:val="00175C37"/>
    <w:rsid w:val="00175D63"/>
    <w:rsid w:val="00176997"/>
    <w:rsid w:val="00177504"/>
    <w:rsid w:val="0017781B"/>
    <w:rsid w:val="0018004F"/>
    <w:rsid w:val="00180379"/>
    <w:rsid w:val="00180658"/>
    <w:rsid w:val="0018093D"/>
    <w:rsid w:val="00180FC8"/>
    <w:rsid w:val="001812B0"/>
    <w:rsid w:val="00181EDF"/>
    <w:rsid w:val="00181FC1"/>
    <w:rsid w:val="001823AD"/>
    <w:rsid w:val="00182620"/>
    <w:rsid w:val="0018272D"/>
    <w:rsid w:val="001829AB"/>
    <w:rsid w:val="00182A5F"/>
    <w:rsid w:val="00182C50"/>
    <w:rsid w:val="00182D7B"/>
    <w:rsid w:val="00183095"/>
    <w:rsid w:val="00183494"/>
    <w:rsid w:val="00183707"/>
    <w:rsid w:val="00183709"/>
    <w:rsid w:val="001838C0"/>
    <w:rsid w:val="00183925"/>
    <w:rsid w:val="00184982"/>
    <w:rsid w:val="00184A5F"/>
    <w:rsid w:val="00184EC5"/>
    <w:rsid w:val="00185682"/>
    <w:rsid w:val="00186C1D"/>
    <w:rsid w:val="00187E50"/>
    <w:rsid w:val="001906C0"/>
    <w:rsid w:val="00190AD5"/>
    <w:rsid w:val="001910DB"/>
    <w:rsid w:val="0019242D"/>
    <w:rsid w:val="00193271"/>
    <w:rsid w:val="00193E6E"/>
    <w:rsid w:val="00194309"/>
    <w:rsid w:val="00194ADF"/>
    <w:rsid w:val="00194EA6"/>
    <w:rsid w:val="00195B72"/>
    <w:rsid w:val="00195BC0"/>
    <w:rsid w:val="00195F09"/>
    <w:rsid w:val="00195FFF"/>
    <w:rsid w:val="00196269"/>
    <w:rsid w:val="0019634C"/>
    <w:rsid w:val="00196D68"/>
    <w:rsid w:val="001974E9"/>
    <w:rsid w:val="00197D6B"/>
    <w:rsid w:val="001A003C"/>
    <w:rsid w:val="001A09FC"/>
    <w:rsid w:val="001A1C30"/>
    <w:rsid w:val="001A1E56"/>
    <w:rsid w:val="001A2212"/>
    <w:rsid w:val="001A2F60"/>
    <w:rsid w:val="001A32ED"/>
    <w:rsid w:val="001A339A"/>
    <w:rsid w:val="001A4712"/>
    <w:rsid w:val="001A4A06"/>
    <w:rsid w:val="001A5749"/>
    <w:rsid w:val="001A59C2"/>
    <w:rsid w:val="001A6BB9"/>
    <w:rsid w:val="001A6C1B"/>
    <w:rsid w:val="001A6EAB"/>
    <w:rsid w:val="001A7091"/>
    <w:rsid w:val="001A7381"/>
    <w:rsid w:val="001A73E0"/>
    <w:rsid w:val="001A7499"/>
    <w:rsid w:val="001A7B6D"/>
    <w:rsid w:val="001B0758"/>
    <w:rsid w:val="001B07D7"/>
    <w:rsid w:val="001B080B"/>
    <w:rsid w:val="001B12E1"/>
    <w:rsid w:val="001B1864"/>
    <w:rsid w:val="001B1B46"/>
    <w:rsid w:val="001B1B74"/>
    <w:rsid w:val="001B1D45"/>
    <w:rsid w:val="001B1E17"/>
    <w:rsid w:val="001B213E"/>
    <w:rsid w:val="001B248D"/>
    <w:rsid w:val="001B2BD4"/>
    <w:rsid w:val="001B2CCF"/>
    <w:rsid w:val="001B30D5"/>
    <w:rsid w:val="001B31EC"/>
    <w:rsid w:val="001B32B8"/>
    <w:rsid w:val="001B34EE"/>
    <w:rsid w:val="001B382A"/>
    <w:rsid w:val="001B38DE"/>
    <w:rsid w:val="001B3C7C"/>
    <w:rsid w:val="001B3E1F"/>
    <w:rsid w:val="001B409D"/>
    <w:rsid w:val="001B4747"/>
    <w:rsid w:val="001B4D68"/>
    <w:rsid w:val="001B50DE"/>
    <w:rsid w:val="001B6F3F"/>
    <w:rsid w:val="001B7AF2"/>
    <w:rsid w:val="001C0375"/>
    <w:rsid w:val="001C042A"/>
    <w:rsid w:val="001C0901"/>
    <w:rsid w:val="001C09D2"/>
    <w:rsid w:val="001C0AE5"/>
    <w:rsid w:val="001C0D56"/>
    <w:rsid w:val="001C1164"/>
    <w:rsid w:val="001C1235"/>
    <w:rsid w:val="001C1F56"/>
    <w:rsid w:val="001C2808"/>
    <w:rsid w:val="001C2AE7"/>
    <w:rsid w:val="001C2DCB"/>
    <w:rsid w:val="001C307D"/>
    <w:rsid w:val="001C3C9F"/>
    <w:rsid w:val="001C3E5E"/>
    <w:rsid w:val="001C3F19"/>
    <w:rsid w:val="001C4272"/>
    <w:rsid w:val="001C43E3"/>
    <w:rsid w:val="001C46B9"/>
    <w:rsid w:val="001C55B6"/>
    <w:rsid w:val="001C5675"/>
    <w:rsid w:val="001C5A58"/>
    <w:rsid w:val="001C5CF4"/>
    <w:rsid w:val="001C5F39"/>
    <w:rsid w:val="001C606C"/>
    <w:rsid w:val="001C60CC"/>
    <w:rsid w:val="001C742F"/>
    <w:rsid w:val="001C7A16"/>
    <w:rsid w:val="001C7AA0"/>
    <w:rsid w:val="001C7CB0"/>
    <w:rsid w:val="001D0562"/>
    <w:rsid w:val="001D0A4B"/>
    <w:rsid w:val="001D1256"/>
    <w:rsid w:val="001D1640"/>
    <w:rsid w:val="001D201D"/>
    <w:rsid w:val="001D231A"/>
    <w:rsid w:val="001D2376"/>
    <w:rsid w:val="001D27E0"/>
    <w:rsid w:val="001D2E78"/>
    <w:rsid w:val="001D2EA6"/>
    <w:rsid w:val="001D4866"/>
    <w:rsid w:val="001D48C4"/>
    <w:rsid w:val="001D4BD5"/>
    <w:rsid w:val="001D4D09"/>
    <w:rsid w:val="001D5F7E"/>
    <w:rsid w:val="001D609A"/>
    <w:rsid w:val="001D64B9"/>
    <w:rsid w:val="001D66A5"/>
    <w:rsid w:val="001D6B97"/>
    <w:rsid w:val="001D6EC5"/>
    <w:rsid w:val="001D7386"/>
    <w:rsid w:val="001D73F9"/>
    <w:rsid w:val="001D7607"/>
    <w:rsid w:val="001D76A3"/>
    <w:rsid w:val="001E048D"/>
    <w:rsid w:val="001E0555"/>
    <w:rsid w:val="001E0A62"/>
    <w:rsid w:val="001E0DE1"/>
    <w:rsid w:val="001E1080"/>
    <w:rsid w:val="001E1211"/>
    <w:rsid w:val="001E4367"/>
    <w:rsid w:val="001E4BA3"/>
    <w:rsid w:val="001E51C0"/>
    <w:rsid w:val="001E6DDC"/>
    <w:rsid w:val="001E7305"/>
    <w:rsid w:val="001F0046"/>
    <w:rsid w:val="001F0536"/>
    <w:rsid w:val="001F0FFD"/>
    <w:rsid w:val="001F20BA"/>
    <w:rsid w:val="001F2520"/>
    <w:rsid w:val="001F2888"/>
    <w:rsid w:val="001F2E82"/>
    <w:rsid w:val="001F31E5"/>
    <w:rsid w:val="001F34D0"/>
    <w:rsid w:val="001F386C"/>
    <w:rsid w:val="001F38BB"/>
    <w:rsid w:val="001F3ECA"/>
    <w:rsid w:val="001F423A"/>
    <w:rsid w:val="001F50AF"/>
    <w:rsid w:val="001F5A12"/>
    <w:rsid w:val="001F5C30"/>
    <w:rsid w:val="001F5CB5"/>
    <w:rsid w:val="001F664D"/>
    <w:rsid w:val="001F68FD"/>
    <w:rsid w:val="001F6A2F"/>
    <w:rsid w:val="001F73A4"/>
    <w:rsid w:val="001F74EF"/>
    <w:rsid w:val="001F76F4"/>
    <w:rsid w:val="002000F7"/>
    <w:rsid w:val="002006FC"/>
    <w:rsid w:val="00200953"/>
    <w:rsid w:val="00200E47"/>
    <w:rsid w:val="00201076"/>
    <w:rsid w:val="002013BF"/>
    <w:rsid w:val="00201845"/>
    <w:rsid w:val="00201BF0"/>
    <w:rsid w:val="00201C0C"/>
    <w:rsid w:val="00201F5A"/>
    <w:rsid w:val="0020342E"/>
    <w:rsid w:val="00203542"/>
    <w:rsid w:val="002036B6"/>
    <w:rsid w:val="00203865"/>
    <w:rsid w:val="0020394C"/>
    <w:rsid w:val="00203FF7"/>
    <w:rsid w:val="00204150"/>
    <w:rsid w:val="00204B44"/>
    <w:rsid w:val="00204FE4"/>
    <w:rsid w:val="002055F7"/>
    <w:rsid w:val="00206620"/>
    <w:rsid w:val="00206EFE"/>
    <w:rsid w:val="00207124"/>
    <w:rsid w:val="00207C6D"/>
    <w:rsid w:val="002100B1"/>
    <w:rsid w:val="00210DF2"/>
    <w:rsid w:val="00211BE5"/>
    <w:rsid w:val="002128C9"/>
    <w:rsid w:val="00212A80"/>
    <w:rsid w:val="00212BB8"/>
    <w:rsid w:val="00212E05"/>
    <w:rsid w:val="00213365"/>
    <w:rsid w:val="00213AEB"/>
    <w:rsid w:val="00213AF8"/>
    <w:rsid w:val="00213DC1"/>
    <w:rsid w:val="002141B2"/>
    <w:rsid w:val="002147D2"/>
    <w:rsid w:val="0021554E"/>
    <w:rsid w:val="0021577D"/>
    <w:rsid w:val="00215AEA"/>
    <w:rsid w:val="00215FA9"/>
    <w:rsid w:val="002163A0"/>
    <w:rsid w:val="00216F63"/>
    <w:rsid w:val="002174C9"/>
    <w:rsid w:val="002201D3"/>
    <w:rsid w:val="0022098F"/>
    <w:rsid w:val="00220C9F"/>
    <w:rsid w:val="00220D4B"/>
    <w:rsid w:val="00220F65"/>
    <w:rsid w:val="0022142E"/>
    <w:rsid w:val="00222587"/>
    <w:rsid w:val="002226DC"/>
    <w:rsid w:val="00222C2F"/>
    <w:rsid w:val="00222D0F"/>
    <w:rsid w:val="00222F3C"/>
    <w:rsid w:val="002236C0"/>
    <w:rsid w:val="00223714"/>
    <w:rsid w:val="00223F8A"/>
    <w:rsid w:val="00224648"/>
    <w:rsid w:val="00224D28"/>
    <w:rsid w:val="00224EAE"/>
    <w:rsid w:val="00225720"/>
    <w:rsid w:val="00225B1A"/>
    <w:rsid w:val="00225D7A"/>
    <w:rsid w:val="00225FBD"/>
    <w:rsid w:val="002264CC"/>
    <w:rsid w:val="00226521"/>
    <w:rsid w:val="00227014"/>
    <w:rsid w:val="0022740A"/>
    <w:rsid w:val="00227E7E"/>
    <w:rsid w:val="00231038"/>
    <w:rsid w:val="0023113A"/>
    <w:rsid w:val="00231293"/>
    <w:rsid w:val="00231335"/>
    <w:rsid w:val="002313DF"/>
    <w:rsid w:val="002317AF"/>
    <w:rsid w:val="002318A9"/>
    <w:rsid w:val="00231EF2"/>
    <w:rsid w:val="00232DF8"/>
    <w:rsid w:val="00233AF9"/>
    <w:rsid w:val="00233D9E"/>
    <w:rsid w:val="002342E8"/>
    <w:rsid w:val="0023459C"/>
    <w:rsid w:val="00234CFC"/>
    <w:rsid w:val="002353E5"/>
    <w:rsid w:val="00236227"/>
    <w:rsid w:val="0023670D"/>
    <w:rsid w:val="00236A92"/>
    <w:rsid w:val="00236C91"/>
    <w:rsid w:val="00236EE0"/>
    <w:rsid w:val="00237276"/>
    <w:rsid w:val="00237CE7"/>
    <w:rsid w:val="00240439"/>
    <w:rsid w:val="002406C5"/>
    <w:rsid w:val="0024094B"/>
    <w:rsid w:val="002409B5"/>
    <w:rsid w:val="00240A6B"/>
    <w:rsid w:val="00241CB2"/>
    <w:rsid w:val="00241CE8"/>
    <w:rsid w:val="00241D16"/>
    <w:rsid w:val="00241FB8"/>
    <w:rsid w:val="002423F8"/>
    <w:rsid w:val="00242CEF"/>
    <w:rsid w:val="00242F68"/>
    <w:rsid w:val="0024331C"/>
    <w:rsid w:val="0024334C"/>
    <w:rsid w:val="00243413"/>
    <w:rsid w:val="00243DCF"/>
    <w:rsid w:val="0024442E"/>
    <w:rsid w:val="002449B7"/>
    <w:rsid w:val="00244C47"/>
    <w:rsid w:val="002458BB"/>
    <w:rsid w:val="00245970"/>
    <w:rsid w:val="00245F93"/>
    <w:rsid w:val="00246B51"/>
    <w:rsid w:val="00246CEF"/>
    <w:rsid w:val="0024716F"/>
    <w:rsid w:val="002474E7"/>
    <w:rsid w:val="00247BAB"/>
    <w:rsid w:val="00247CFA"/>
    <w:rsid w:val="002501DC"/>
    <w:rsid w:val="00250EBF"/>
    <w:rsid w:val="0025101C"/>
    <w:rsid w:val="002511E8"/>
    <w:rsid w:val="0025120F"/>
    <w:rsid w:val="0025195E"/>
    <w:rsid w:val="00251B2D"/>
    <w:rsid w:val="00251D89"/>
    <w:rsid w:val="00252728"/>
    <w:rsid w:val="00253746"/>
    <w:rsid w:val="00254154"/>
    <w:rsid w:val="002542FA"/>
    <w:rsid w:val="0025482E"/>
    <w:rsid w:val="002553CB"/>
    <w:rsid w:val="0025556F"/>
    <w:rsid w:val="00256344"/>
    <w:rsid w:val="002563B1"/>
    <w:rsid w:val="002568DA"/>
    <w:rsid w:val="0025696A"/>
    <w:rsid w:val="00256A0D"/>
    <w:rsid w:val="00256AE0"/>
    <w:rsid w:val="00256D5E"/>
    <w:rsid w:val="00256F1A"/>
    <w:rsid w:val="00256FE8"/>
    <w:rsid w:val="002571A0"/>
    <w:rsid w:val="002572B2"/>
    <w:rsid w:val="002573A2"/>
    <w:rsid w:val="00257543"/>
    <w:rsid w:val="00260168"/>
    <w:rsid w:val="0026052B"/>
    <w:rsid w:val="0026062B"/>
    <w:rsid w:val="00260966"/>
    <w:rsid w:val="00260ABA"/>
    <w:rsid w:val="00261495"/>
    <w:rsid w:val="0026179B"/>
    <w:rsid w:val="002622FA"/>
    <w:rsid w:val="00262FD0"/>
    <w:rsid w:val="0026321D"/>
    <w:rsid w:val="0026369A"/>
    <w:rsid w:val="002637F2"/>
    <w:rsid w:val="002641FE"/>
    <w:rsid w:val="002645AF"/>
    <w:rsid w:val="00264C91"/>
    <w:rsid w:val="00264E8F"/>
    <w:rsid w:val="00264F03"/>
    <w:rsid w:val="00264F0F"/>
    <w:rsid w:val="00265136"/>
    <w:rsid w:val="002651D1"/>
    <w:rsid w:val="002660CA"/>
    <w:rsid w:val="00266667"/>
    <w:rsid w:val="00266A17"/>
    <w:rsid w:val="00267380"/>
    <w:rsid w:val="00267A50"/>
    <w:rsid w:val="00267A5A"/>
    <w:rsid w:val="00267AD3"/>
    <w:rsid w:val="00267CD2"/>
    <w:rsid w:val="002701E8"/>
    <w:rsid w:val="0027093C"/>
    <w:rsid w:val="00270C69"/>
    <w:rsid w:val="00270FC1"/>
    <w:rsid w:val="002713C5"/>
    <w:rsid w:val="00271456"/>
    <w:rsid w:val="00271566"/>
    <w:rsid w:val="00271635"/>
    <w:rsid w:val="00271BB7"/>
    <w:rsid w:val="00271C97"/>
    <w:rsid w:val="00271DDC"/>
    <w:rsid w:val="00272624"/>
    <w:rsid w:val="00272B17"/>
    <w:rsid w:val="00272D7B"/>
    <w:rsid w:val="00273A33"/>
    <w:rsid w:val="00273C05"/>
    <w:rsid w:val="00273ECE"/>
    <w:rsid w:val="002756C3"/>
    <w:rsid w:val="00275FEB"/>
    <w:rsid w:val="002769BC"/>
    <w:rsid w:val="002769ED"/>
    <w:rsid w:val="002773BC"/>
    <w:rsid w:val="00277683"/>
    <w:rsid w:val="00277B48"/>
    <w:rsid w:val="00280194"/>
    <w:rsid w:val="00280448"/>
    <w:rsid w:val="00280461"/>
    <w:rsid w:val="00281082"/>
    <w:rsid w:val="002812D5"/>
    <w:rsid w:val="002814D9"/>
    <w:rsid w:val="00281689"/>
    <w:rsid w:val="0028193B"/>
    <w:rsid w:val="0028240B"/>
    <w:rsid w:val="0028276E"/>
    <w:rsid w:val="0028335F"/>
    <w:rsid w:val="00283541"/>
    <w:rsid w:val="002838E4"/>
    <w:rsid w:val="002838E7"/>
    <w:rsid w:val="00283961"/>
    <w:rsid w:val="00283CDF"/>
    <w:rsid w:val="002845B8"/>
    <w:rsid w:val="002849EB"/>
    <w:rsid w:val="00284D65"/>
    <w:rsid w:val="002854CD"/>
    <w:rsid w:val="00285560"/>
    <w:rsid w:val="00285CD9"/>
    <w:rsid w:val="00285FD1"/>
    <w:rsid w:val="002863E1"/>
    <w:rsid w:val="0028676C"/>
    <w:rsid w:val="0028695F"/>
    <w:rsid w:val="00286CCE"/>
    <w:rsid w:val="0029048B"/>
    <w:rsid w:val="00290747"/>
    <w:rsid w:val="00290995"/>
    <w:rsid w:val="00290C71"/>
    <w:rsid w:val="00291451"/>
    <w:rsid w:val="00291862"/>
    <w:rsid w:val="002925B2"/>
    <w:rsid w:val="00292B82"/>
    <w:rsid w:val="00292C2D"/>
    <w:rsid w:val="0029423C"/>
    <w:rsid w:val="00295ACF"/>
    <w:rsid w:val="00296F1A"/>
    <w:rsid w:val="00297167"/>
    <w:rsid w:val="00297430"/>
    <w:rsid w:val="00297838"/>
    <w:rsid w:val="002A0290"/>
    <w:rsid w:val="002A02C1"/>
    <w:rsid w:val="002A0BC9"/>
    <w:rsid w:val="002A123C"/>
    <w:rsid w:val="002A1947"/>
    <w:rsid w:val="002A1C2A"/>
    <w:rsid w:val="002A2D7D"/>
    <w:rsid w:val="002A2DB3"/>
    <w:rsid w:val="002A4E27"/>
    <w:rsid w:val="002A51F0"/>
    <w:rsid w:val="002A54B2"/>
    <w:rsid w:val="002A577E"/>
    <w:rsid w:val="002A5F1A"/>
    <w:rsid w:val="002A687B"/>
    <w:rsid w:val="002A7066"/>
    <w:rsid w:val="002A7683"/>
    <w:rsid w:val="002B030B"/>
    <w:rsid w:val="002B048A"/>
    <w:rsid w:val="002B05CA"/>
    <w:rsid w:val="002B06F8"/>
    <w:rsid w:val="002B088A"/>
    <w:rsid w:val="002B0EE6"/>
    <w:rsid w:val="002B1341"/>
    <w:rsid w:val="002B15D4"/>
    <w:rsid w:val="002B21D7"/>
    <w:rsid w:val="002B2349"/>
    <w:rsid w:val="002B262F"/>
    <w:rsid w:val="002B329F"/>
    <w:rsid w:val="002B33CC"/>
    <w:rsid w:val="002B340D"/>
    <w:rsid w:val="002B39A2"/>
    <w:rsid w:val="002B3E85"/>
    <w:rsid w:val="002B3EE4"/>
    <w:rsid w:val="002B493B"/>
    <w:rsid w:val="002B4AFB"/>
    <w:rsid w:val="002B4E94"/>
    <w:rsid w:val="002B5D77"/>
    <w:rsid w:val="002B6E4B"/>
    <w:rsid w:val="002B7BD8"/>
    <w:rsid w:val="002C01AB"/>
    <w:rsid w:val="002C026B"/>
    <w:rsid w:val="002C0BE0"/>
    <w:rsid w:val="002C1162"/>
    <w:rsid w:val="002C1CB6"/>
    <w:rsid w:val="002C1D6A"/>
    <w:rsid w:val="002C2010"/>
    <w:rsid w:val="002C2098"/>
    <w:rsid w:val="002C20DA"/>
    <w:rsid w:val="002C23E6"/>
    <w:rsid w:val="002C2686"/>
    <w:rsid w:val="002C29A7"/>
    <w:rsid w:val="002C3DC6"/>
    <w:rsid w:val="002C40CF"/>
    <w:rsid w:val="002C4477"/>
    <w:rsid w:val="002C56F9"/>
    <w:rsid w:val="002C5E47"/>
    <w:rsid w:val="002C676D"/>
    <w:rsid w:val="002C70E5"/>
    <w:rsid w:val="002C7311"/>
    <w:rsid w:val="002C7932"/>
    <w:rsid w:val="002C7D04"/>
    <w:rsid w:val="002D022A"/>
    <w:rsid w:val="002D024D"/>
    <w:rsid w:val="002D0257"/>
    <w:rsid w:val="002D075C"/>
    <w:rsid w:val="002D1750"/>
    <w:rsid w:val="002D1951"/>
    <w:rsid w:val="002D19B6"/>
    <w:rsid w:val="002D1F11"/>
    <w:rsid w:val="002D1F28"/>
    <w:rsid w:val="002D2379"/>
    <w:rsid w:val="002D2720"/>
    <w:rsid w:val="002D2B72"/>
    <w:rsid w:val="002D303B"/>
    <w:rsid w:val="002D349C"/>
    <w:rsid w:val="002D3521"/>
    <w:rsid w:val="002D36DB"/>
    <w:rsid w:val="002D3C43"/>
    <w:rsid w:val="002D413B"/>
    <w:rsid w:val="002D4168"/>
    <w:rsid w:val="002D4762"/>
    <w:rsid w:val="002D501E"/>
    <w:rsid w:val="002D554B"/>
    <w:rsid w:val="002D560E"/>
    <w:rsid w:val="002D5808"/>
    <w:rsid w:val="002D5EEB"/>
    <w:rsid w:val="002D6397"/>
    <w:rsid w:val="002D6FF1"/>
    <w:rsid w:val="002D72A8"/>
    <w:rsid w:val="002D7BE3"/>
    <w:rsid w:val="002D7CDA"/>
    <w:rsid w:val="002D7DBA"/>
    <w:rsid w:val="002E2867"/>
    <w:rsid w:val="002E3A98"/>
    <w:rsid w:val="002E3DBB"/>
    <w:rsid w:val="002E41A0"/>
    <w:rsid w:val="002E510E"/>
    <w:rsid w:val="002E52B4"/>
    <w:rsid w:val="002E5AEB"/>
    <w:rsid w:val="002E5C88"/>
    <w:rsid w:val="002E612B"/>
    <w:rsid w:val="002E712C"/>
    <w:rsid w:val="002E770E"/>
    <w:rsid w:val="002F05BF"/>
    <w:rsid w:val="002F063C"/>
    <w:rsid w:val="002F09D2"/>
    <w:rsid w:val="002F11E0"/>
    <w:rsid w:val="002F11E1"/>
    <w:rsid w:val="002F1D6E"/>
    <w:rsid w:val="002F1F59"/>
    <w:rsid w:val="002F25CD"/>
    <w:rsid w:val="002F2CA2"/>
    <w:rsid w:val="002F2CDE"/>
    <w:rsid w:val="002F2D59"/>
    <w:rsid w:val="002F2EDD"/>
    <w:rsid w:val="002F34D0"/>
    <w:rsid w:val="002F38E8"/>
    <w:rsid w:val="002F3A7E"/>
    <w:rsid w:val="002F3B4E"/>
    <w:rsid w:val="002F4082"/>
    <w:rsid w:val="002F4506"/>
    <w:rsid w:val="002F45A7"/>
    <w:rsid w:val="002F495C"/>
    <w:rsid w:val="002F4A81"/>
    <w:rsid w:val="002F4AB8"/>
    <w:rsid w:val="002F4E7F"/>
    <w:rsid w:val="002F5219"/>
    <w:rsid w:val="002F58F9"/>
    <w:rsid w:val="002F5BE1"/>
    <w:rsid w:val="002F5F99"/>
    <w:rsid w:val="002F6676"/>
    <w:rsid w:val="002F682B"/>
    <w:rsid w:val="002F7D1F"/>
    <w:rsid w:val="0030051C"/>
    <w:rsid w:val="00300A0C"/>
    <w:rsid w:val="00300C9F"/>
    <w:rsid w:val="00301191"/>
    <w:rsid w:val="003011C0"/>
    <w:rsid w:val="003015AB"/>
    <w:rsid w:val="0030194C"/>
    <w:rsid w:val="00301A15"/>
    <w:rsid w:val="00301FF2"/>
    <w:rsid w:val="00302005"/>
    <w:rsid w:val="003022C1"/>
    <w:rsid w:val="00302582"/>
    <w:rsid w:val="003026A4"/>
    <w:rsid w:val="003026E2"/>
    <w:rsid w:val="00302744"/>
    <w:rsid w:val="00302916"/>
    <w:rsid w:val="0030299B"/>
    <w:rsid w:val="00302B96"/>
    <w:rsid w:val="00302D56"/>
    <w:rsid w:val="00302D89"/>
    <w:rsid w:val="00303355"/>
    <w:rsid w:val="00304101"/>
    <w:rsid w:val="0030445B"/>
    <w:rsid w:val="00304770"/>
    <w:rsid w:val="003048C4"/>
    <w:rsid w:val="00304A2A"/>
    <w:rsid w:val="00304DF7"/>
    <w:rsid w:val="0030525F"/>
    <w:rsid w:val="00305315"/>
    <w:rsid w:val="00305492"/>
    <w:rsid w:val="003062E8"/>
    <w:rsid w:val="00306432"/>
    <w:rsid w:val="0030668A"/>
    <w:rsid w:val="00307AC2"/>
    <w:rsid w:val="00307BFC"/>
    <w:rsid w:val="00307CE3"/>
    <w:rsid w:val="00307FA4"/>
    <w:rsid w:val="00310058"/>
    <w:rsid w:val="003100A1"/>
    <w:rsid w:val="00310805"/>
    <w:rsid w:val="00311A58"/>
    <w:rsid w:val="00311EE8"/>
    <w:rsid w:val="003133DA"/>
    <w:rsid w:val="0031361A"/>
    <w:rsid w:val="00313DB6"/>
    <w:rsid w:val="0031435B"/>
    <w:rsid w:val="00314BF6"/>
    <w:rsid w:val="00314D3E"/>
    <w:rsid w:val="00314FBB"/>
    <w:rsid w:val="003155D3"/>
    <w:rsid w:val="00315FD4"/>
    <w:rsid w:val="003160DC"/>
    <w:rsid w:val="00316BA7"/>
    <w:rsid w:val="003174EF"/>
    <w:rsid w:val="00317649"/>
    <w:rsid w:val="003179FD"/>
    <w:rsid w:val="00320080"/>
    <w:rsid w:val="003202E1"/>
    <w:rsid w:val="00320890"/>
    <w:rsid w:val="00320F33"/>
    <w:rsid w:val="0032117C"/>
    <w:rsid w:val="00321242"/>
    <w:rsid w:val="003216A4"/>
    <w:rsid w:val="003219F6"/>
    <w:rsid w:val="00322BCD"/>
    <w:rsid w:val="0032317D"/>
    <w:rsid w:val="003233E8"/>
    <w:rsid w:val="003234BE"/>
    <w:rsid w:val="003237E0"/>
    <w:rsid w:val="00323BEB"/>
    <w:rsid w:val="00323D43"/>
    <w:rsid w:val="003242D3"/>
    <w:rsid w:val="0032440E"/>
    <w:rsid w:val="003245AC"/>
    <w:rsid w:val="003249B9"/>
    <w:rsid w:val="00324A45"/>
    <w:rsid w:val="00324CC7"/>
    <w:rsid w:val="00325168"/>
    <w:rsid w:val="0032572B"/>
    <w:rsid w:val="003258FA"/>
    <w:rsid w:val="003260A6"/>
    <w:rsid w:val="00326B48"/>
    <w:rsid w:val="00326F8E"/>
    <w:rsid w:val="00327188"/>
    <w:rsid w:val="0032729F"/>
    <w:rsid w:val="00327983"/>
    <w:rsid w:val="003279D4"/>
    <w:rsid w:val="0033017A"/>
    <w:rsid w:val="003302BE"/>
    <w:rsid w:val="00330D4D"/>
    <w:rsid w:val="003317D3"/>
    <w:rsid w:val="00331909"/>
    <w:rsid w:val="00331F41"/>
    <w:rsid w:val="003321F4"/>
    <w:rsid w:val="0033250A"/>
    <w:rsid w:val="003327BE"/>
    <w:rsid w:val="00332856"/>
    <w:rsid w:val="00333817"/>
    <w:rsid w:val="00333909"/>
    <w:rsid w:val="00334010"/>
    <w:rsid w:val="0033479E"/>
    <w:rsid w:val="00334CF0"/>
    <w:rsid w:val="00335100"/>
    <w:rsid w:val="00335324"/>
    <w:rsid w:val="0033537C"/>
    <w:rsid w:val="00335388"/>
    <w:rsid w:val="003356C8"/>
    <w:rsid w:val="00336654"/>
    <w:rsid w:val="003371CD"/>
    <w:rsid w:val="0033726C"/>
    <w:rsid w:val="0033740C"/>
    <w:rsid w:val="00337724"/>
    <w:rsid w:val="00337A7F"/>
    <w:rsid w:val="00337BAE"/>
    <w:rsid w:val="00337DFD"/>
    <w:rsid w:val="00337F18"/>
    <w:rsid w:val="003401CF"/>
    <w:rsid w:val="0034122B"/>
    <w:rsid w:val="00341F11"/>
    <w:rsid w:val="003429CF"/>
    <w:rsid w:val="00342D1D"/>
    <w:rsid w:val="003436D7"/>
    <w:rsid w:val="003446DF"/>
    <w:rsid w:val="00344936"/>
    <w:rsid w:val="00344E0B"/>
    <w:rsid w:val="00344F36"/>
    <w:rsid w:val="0034507D"/>
    <w:rsid w:val="00345210"/>
    <w:rsid w:val="00345922"/>
    <w:rsid w:val="00345E1F"/>
    <w:rsid w:val="00346580"/>
    <w:rsid w:val="003468CB"/>
    <w:rsid w:val="00347568"/>
    <w:rsid w:val="0034763A"/>
    <w:rsid w:val="00347B9F"/>
    <w:rsid w:val="00347DFC"/>
    <w:rsid w:val="00350194"/>
    <w:rsid w:val="00350C62"/>
    <w:rsid w:val="00350E0E"/>
    <w:rsid w:val="0035108A"/>
    <w:rsid w:val="00351B27"/>
    <w:rsid w:val="00351CA3"/>
    <w:rsid w:val="003523BB"/>
    <w:rsid w:val="003529AA"/>
    <w:rsid w:val="003529DF"/>
    <w:rsid w:val="00352A1B"/>
    <w:rsid w:val="00352C47"/>
    <w:rsid w:val="0035336C"/>
    <w:rsid w:val="00353CB7"/>
    <w:rsid w:val="00353E7F"/>
    <w:rsid w:val="0035435A"/>
    <w:rsid w:val="00354823"/>
    <w:rsid w:val="00354CFC"/>
    <w:rsid w:val="00355293"/>
    <w:rsid w:val="003559C4"/>
    <w:rsid w:val="0035606F"/>
    <w:rsid w:val="003560F6"/>
    <w:rsid w:val="0035682F"/>
    <w:rsid w:val="00356946"/>
    <w:rsid w:val="00357195"/>
    <w:rsid w:val="003574F1"/>
    <w:rsid w:val="00357870"/>
    <w:rsid w:val="0036119B"/>
    <w:rsid w:val="00361F90"/>
    <w:rsid w:val="003620B0"/>
    <w:rsid w:val="00362336"/>
    <w:rsid w:val="00362429"/>
    <w:rsid w:val="00362F0D"/>
    <w:rsid w:val="00363FB2"/>
    <w:rsid w:val="003650ED"/>
    <w:rsid w:val="00365576"/>
    <w:rsid w:val="00365DC3"/>
    <w:rsid w:val="003660A1"/>
    <w:rsid w:val="00366153"/>
    <w:rsid w:val="003665A8"/>
    <w:rsid w:val="00366C9F"/>
    <w:rsid w:val="00367E96"/>
    <w:rsid w:val="00370339"/>
    <w:rsid w:val="003717E3"/>
    <w:rsid w:val="00371AE2"/>
    <w:rsid w:val="00371FE7"/>
    <w:rsid w:val="00372402"/>
    <w:rsid w:val="00372441"/>
    <w:rsid w:val="003724E6"/>
    <w:rsid w:val="00372873"/>
    <w:rsid w:val="00372ED2"/>
    <w:rsid w:val="0037377B"/>
    <w:rsid w:val="00373AA1"/>
    <w:rsid w:val="00373EBC"/>
    <w:rsid w:val="00374DB6"/>
    <w:rsid w:val="003757B4"/>
    <w:rsid w:val="00375800"/>
    <w:rsid w:val="00375E69"/>
    <w:rsid w:val="003775A6"/>
    <w:rsid w:val="00380F8C"/>
    <w:rsid w:val="00381C32"/>
    <w:rsid w:val="00381C5F"/>
    <w:rsid w:val="00381FCF"/>
    <w:rsid w:val="0038242B"/>
    <w:rsid w:val="00383141"/>
    <w:rsid w:val="00383B89"/>
    <w:rsid w:val="003846F7"/>
    <w:rsid w:val="003847F8"/>
    <w:rsid w:val="00385006"/>
    <w:rsid w:val="0038577B"/>
    <w:rsid w:val="0038686A"/>
    <w:rsid w:val="00386ABF"/>
    <w:rsid w:val="00386D95"/>
    <w:rsid w:val="00386F69"/>
    <w:rsid w:val="003873E6"/>
    <w:rsid w:val="00387BC6"/>
    <w:rsid w:val="00390841"/>
    <w:rsid w:val="0039095F"/>
    <w:rsid w:val="00391348"/>
    <w:rsid w:val="0039193F"/>
    <w:rsid w:val="0039213C"/>
    <w:rsid w:val="00392AA0"/>
    <w:rsid w:val="00393101"/>
    <w:rsid w:val="00393173"/>
    <w:rsid w:val="00393504"/>
    <w:rsid w:val="003936EC"/>
    <w:rsid w:val="00393809"/>
    <w:rsid w:val="00394797"/>
    <w:rsid w:val="00394862"/>
    <w:rsid w:val="003952D5"/>
    <w:rsid w:val="00395648"/>
    <w:rsid w:val="00395C00"/>
    <w:rsid w:val="00396146"/>
    <w:rsid w:val="003962F7"/>
    <w:rsid w:val="00396552"/>
    <w:rsid w:val="00396F8C"/>
    <w:rsid w:val="003976AF"/>
    <w:rsid w:val="003A002A"/>
    <w:rsid w:val="003A0753"/>
    <w:rsid w:val="003A09CA"/>
    <w:rsid w:val="003A171B"/>
    <w:rsid w:val="003A1C93"/>
    <w:rsid w:val="003A1EF0"/>
    <w:rsid w:val="003A2117"/>
    <w:rsid w:val="003A2259"/>
    <w:rsid w:val="003A2A33"/>
    <w:rsid w:val="003A3983"/>
    <w:rsid w:val="003A403D"/>
    <w:rsid w:val="003A430F"/>
    <w:rsid w:val="003A4790"/>
    <w:rsid w:val="003A49FF"/>
    <w:rsid w:val="003A5001"/>
    <w:rsid w:val="003A5FB0"/>
    <w:rsid w:val="003A620C"/>
    <w:rsid w:val="003A6ADA"/>
    <w:rsid w:val="003A740F"/>
    <w:rsid w:val="003A7787"/>
    <w:rsid w:val="003A7C49"/>
    <w:rsid w:val="003B0B44"/>
    <w:rsid w:val="003B0BD5"/>
    <w:rsid w:val="003B0DE4"/>
    <w:rsid w:val="003B1226"/>
    <w:rsid w:val="003B13C4"/>
    <w:rsid w:val="003B170B"/>
    <w:rsid w:val="003B1724"/>
    <w:rsid w:val="003B29CE"/>
    <w:rsid w:val="003B2F14"/>
    <w:rsid w:val="003B3120"/>
    <w:rsid w:val="003B336B"/>
    <w:rsid w:val="003B3EE5"/>
    <w:rsid w:val="003B42F6"/>
    <w:rsid w:val="003B4467"/>
    <w:rsid w:val="003B4703"/>
    <w:rsid w:val="003B506A"/>
    <w:rsid w:val="003B5B65"/>
    <w:rsid w:val="003B5C74"/>
    <w:rsid w:val="003B5D50"/>
    <w:rsid w:val="003B5DE1"/>
    <w:rsid w:val="003B6343"/>
    <w:rsid w:val="003B643C"/>
    <w:rsid w:val="003B64E5"/>
    <w:rsid w:val="003B65FC"/>
    <w:rsid w:val="003B66E3"/>
    <w:rsid w:val="003B6761"/>
    <w:rsid w:val="003B67F7"/>
    <w:rsid w:val="003B77F8"/>
    <w:rsid w:val="003B7C10"/>
    <w:rsid w:val="003C027C"/>
    <w:rsid w:val="003C0842"/>
    <w:rsid w:val="003C09DF"/>
    <w:rsid w:val="003C0D37"/>
    <w:rsid w:val="003C0E27"/>
    <w:rsid w:val="003C20EF"/>
    <w:rsid w:val="003C359B"/>
    <w:rsid w:val="003C37ED"/>
    <w:rsid w:val="003C394B"/>
    <w:rsid w:val="003C3A42"/>
    <w:rsid w:val="003C3F3D"/>
    <w:rsid w:val="003C47B5"/>
    <w:rsid w:val="003C47E3"/>
    <w:rsid w:val="003C49C8"/>
    <w:rsid w:val="003C4D8B"/>
    <w:rsid w:val="003C51F6"/>
    <w:rsid w:val="003C56E3"/>
    <w:rsid w:val="003C5BDE"/>
    <w:rsid w:val="003C5C51"/>
    <w:rsid w:val="003C5D9A"/>
    <w:rsid w:val="003C6885"/>
    <w:rsid w:val="003C6C35"/>
    <w:rsid w:val="003C7B8D"/>
    <w:rsid w:val="003D0326"/>
    <w:rsid w:val="003D10EE"/>
    <w:rsid w:val="003D1583"/>
    <w:rsid w:val="003D327C"/>
    <w:rsid w:val="003D3817"/>
    <w:rsid w:val="003D3F72"/>
    <w:rsid w:val="003D400E"/>
    <w:rsid w:val="003D41A0"/>
    <w:rsid w:val="003D4CD3"/>
    <w:rsid w:val="003D4FD3"/>
    <w:rsid w:val="003D556F"/>
    <w:rsid w:val="003D6405"/>
    <w:rsid w:val="003D649E"/>
    <w:rsid w:val="003D64F6"/>
    <w:rsid w:val="003D6899"/>
    <w:rsid w:val="003D6B89"/>
    <w:rsid w:val="003D6D25"/>
    <w:rsid w:val="003D6D28"/>
    <w:rsid w:val="003D7004"/>
    <w:rsid w:val="003D7C06"/>
    <w:rsid w:val="003D7CB2"/>
    <w:rsid w:val="003E0406"/>
    <w:rsid w:val="003E0FE7"/>
    <w:rsid w:val="003E15ED"/>
    <w:rsid w:val="003E1803"/>
    <w:rsid w:val="003E18D0"/>
    <w:rsid w:val="003E1B2B"/>
    <w:rsid w:val="003E1D0F"/>
    <w:rsid w:val="003E1FEF"/>
    <w:rsid w:val="003E3145"/>
    <w:rsid w:val="003E3237"/>
    <w:rsid w:val="003E35AB"/>
    <w:rsid w:val="003E3984"/>
    <w:rsid w:val="003E3A77"/>
    <w:rsid w:val="003E4713"/>
    <w:rsid w:val="003E5503"/>
    <w:rsid w:val="003E5C96"/>
    <w:rsid w:val="003E61ED"/>
    <w:rsid w:val="003E7178"/>
    <w:rsid w:val="003E7790"/>
    <w:rsid w:val="003E7C97"/>
    <w:rsid w:val="003E7E83"/>
    <w:rsid w:val="003F048C"/>
    <w:rsid w:val="003F0569"/>
    <w:rsid w:val="003F0D48"/>
    <w:rsid w:val="003F1A68"/>
    <w:rsid w:val="003F1D23"/>
    <w:rsid w:val="003F1D65"/>
    <w:rsid w:val="003F2297"/>
    <w:rsid w:val="003F323C"/>
    <w:rsid w:val="003F330A"/>
    <w:rsid w:val="003F3693"/>
    <w:rsid w:val="003F3B86"/>
    <w:rsid w:val="003F6299"/>
    <w:rsid w:val="003F67E9"/>
    <w:rsid w:val="003F6A33"/>
    <w:rsid w:val="003F6FDC"/>
    <w:rsid w:val="003F70B9"/>
    <w:rsid w:val="003F7731"/>
    <w:rsid w:val="003F7985"/>
    <w:rsid w:val="003F7E2B"/>
    <w:rsid w:val="00400104"/>
    <w:rsid w:val="00400D6E"/>
    <w:rsid w:val="004017D4"/>
    <w:rsid w:val="00402585"/>
    <w:rsid w:val="00402C60"/>
    <w:rsid w:val="00402FE0"/>
    <w:rsid w:val="00403F6E"/>
    <w:rsid w:val="00404053"/>
    <w:rsid w:val="004045A2"/>
    <w:rsid w:val="004047B2"/>
    <w:rsid w:val="00404880"/>
    <w:rsid w:val="00404A41"/>
    <w:rsid w:val="00404E70"/>
    <w:rsid w:val="0040782F"/>
    <w:rsid w:val="00407AB8"/>
    <w:rsid w:val="00407E5E"/>
    <w:rsid w:val="00410290"/>
    <w:rsid w:val="00410B77"/>
    <w:rsid w:val="00410BE8"/>
    <w:rsid w:val="00410EA1"/>
    <w:rsid w:val="004116FA"/>
    <w:rsid w:val="00411716"/>
    <w:rsid w:val="00411792"/>
    <w:rsid w:val="00411C6E"/>
    <w:rsid w:val="00411CC3"/>
    <w:rsid w:val="00411ED6"/>
    <w:rsid w:val="004125A6"/>
    <w:rsid w:val="004129CC"/>
    <w:rsid w:val="00412E41"/>
    <w:rsid w:val="00413748"/>
    <w:rsid w:val="004137B7"/>
    <w:rsid w:val="004138F0"/>
    <w:rsid w:val="00413B62"/>
    <w:rsid w:val="00413F33"/>
    <w:rsid w:val="004140C2"/>
    <w:rsid w:val="004141FF"/>
    <w:rsid w:val="00414B2D"/>
    <w:rsid w:val="00415BE3"/>
    <w:rsid w:val="00415C28"/>
    <w:rsid w:val="00415C6C"/>
    <w:rsid w:val="004164EA"/>
    <w:rsid w:val="004169E2"/>
    <w:rsid w:val="00416F39"/>
    <w:rsid w:val="004178F1"/>
    <w:rsid w:val="00417932"/>
    <w:rsid w:val="00420436"/>
    <w:rsid w:val="004208F0"/>
    <w:rsid w:val="0042105D"/>
    <w:rsid w:val="00422190"/>
    <w:rsid w:val="004231A9"/>
    <w:rsid w:val="0042323C"/>
    <w:rsid w:val="00423F9F"/>
    <w:rsid w:val="00425BAE"/>
    <w:rsid w:val="00426F52"/>
    <w:rsid w:val="00427178"/>
    <w:rsid w:val="0043005C"/>
    <w:rsid w:val="00430C9D"/>
    <w:rsid w:val="00430D45"/>
    <w:rsid w:val="00431280"/>
    <w:rsid w:val="0043130D"/>
    <w:rsid w:val="004314A7"/>
    <w:rsid w:val="004318E7"/>
    <w:rsid w:val="00431A89"/>
    <w:rsid w:val="0043209F"/>
    <w:rsid w:val="0043234D"/>
    <w:rsid w:val="004324FA"/>
    <w:rsid w:val="00432583"/>
    <w:rsid w:val="004338D2"/>
    <w:rsid w:val="0043464E"/>
    <w:rsid w:val="00434741"/>
    <w:rsid w:val="00434752"/>
    <w:rsid w:val="0043497A"/>
    <w:rsid w:val="004350A0"/>
    <w:rsid w:val="0043597C"/>
    <w:rsid w:val="00435DA0"/>
    <w:rsid w:val="00436D5E"/>
    <w:rsid w:val="00437592"/>
    <w:rsid w:val="004378F8"/>
    <w:rsid w:val="00437CE4"/>
    <w:rsid w:val="00440289"/>
    <w:rsid w:val="00440681"/>
    <w:rsid w:val="00440981"/>
    <w:rsid w:val="00440BE1"/>
    <w:rsid w:val="004410DA"/>
    <w:rsid w:val="0044186D"/>
    <w:rsid w:val="0044191E"/>
    <w:rsid w:val="004419EA"/>
    <w:rsid w:val="00441E77"/>
    <w:rsid w:val="00442628"/>
    <w:rsid w:val="00443890"/>
    <w:rsid w:val="00443F71"/>
    <w:rsid w:val="0044529F"/>
    <w:rsid w:val="0044542D"/>
    <w:rsid w:val="004457A2"/>
    <w:rsid w:val="0044598F"/>
    <w:rsid w:val="0044703A"/>
    <w:rsid w:val="004501C8"/>
    <w:rsid w:val="004506C5"/>
    <w:rsid w:val="00450702"/>
    <w:rsid w:val="00451634"/>
    <w:rsid w:val="00451C23"/>
    <w:rsid w:val="00452354"/>
    <w:rsid w:val="00452BEA"/>
    <w:rsid w:val="0045390B"/>
    <w:rsid w:val="0045393C"/>
    <w:rsid w:val="00453AF5"/>
    <w:rsid w:val="00453F40"/>
    <w:rsid w:val="00454080"/>
    <w:rsid w:val="004548B9"/>
    <w:rsid w:val="00454EB6"/>
    <w:rsid w:val="00455167"/>
    <w:rsid w:val="004552FC"/>
    <w:rsid w:val="004557A0"/>
    <w:rsid w:val="004557C1"/>
    <w:rsid w:val="0045611A"/>
    <w:rsid w:val="004562A3"/>
    <w:rsid w:val="004565A7"/>
    <w:rsid w:val="00456782"/>
    <w:rsid w:val="004568D5"/>
    <w:rsid w:val="00456ECD"/>
    <w:rsid w:val="0045723D"/>
    <w:rsid w:val="00457E7B"/>
    <w:rsid w:val="00457F80"/>
    <w:rsid w:val="004607C8"/>
    <w:rsid w:val="00460815"/>
    <w:rsid w:val="0046185D"/>
    <w:rsid w:val="00461F15"/>
    <w:rsid w:val="00461F2A"/>
    <w:rsid w:val="0046288E"/>
    <w:rsid w:val="00462891"/>
    <w:rsid w:val="00462BFD"/>
    <w:rsid w:val="00463417"/>
    <w:rsid w:val="004635A3"/>
    <w:rsid w:val="00463700"/>
    <w:rsid w:val="0046413A"/>
    <w:rsid w:val="00464977"/>
    <w:rsid w:val="004654C8"/>
    <w:rsid w:val="00465AB7"/>
    <w:rsid w:val="00466BE1"/>
    <w:rsid w:val="00466C31"/>
    <w:rsid w:val="00467864"/>
    <w:rsid w:val="00467E23"/>
    <w:rsid w:val="00470100"/>
    <w:rsid w:val="004704BB"/>
    <w:rsid w:val="00470DE4"/>
    <w:rsid w:val="00471418"/>
    <w:rsid w:val="004714FE"/>
    <w:rsid w:val="00471624"/>
    <w:rsid w:val="00471C50"/>
    <w:rsid w:val="00471D48"/>
    <w:rsid w:val="00473250"/>
    <w:rsid w:val="00473455"/>
    <w:rsid w:val="0047355E"/>
    <w:rsid w:val="00473FDB"/>
    <w:rsid w:val="00474402"/>
    <w:rsid w:val="004745DF"/>
    <w:rsid w:val="00474C4F"/>
    <w:rsid w:val="00474C68"/>
    <w:rsid w:val="00475193"/>
    <w:rsid w:val="004751DD"/>
    <w:rsid w:val="004753A9"/>
    <w:rsid w:val="00475528"/>
    <w:rsid w:val="004755B5"/>
    <w:rsid w:val="00475CBD"/>
    <w:rsid w:val="00476083"/>
    <w:rsid w:val="004767EA"/>
    <w:rsid w:val="00476CEC"/>
    <w:rsid w:val="00476D48"/>
    <w:rsid w:val="00477597"/>
    <w:rsid w:val="0047765F"/>
    <w:rsid w:val="0048003F"/>
    <w:rsid w:val="00481073"/>
    <w:rsid w:val="004816BA"/>
    <w:rsid w:val="00482747"/>
    <w:rsid w:val="00482DDD"/>
    <w:rsid w:val="004832C5"/>
    <w:rsid w:val="0048442F"/>
    <w:rsid w:val="00484526"/>
    <w:rsid w:val="0048482F"/>
    <w:rsid w:val="00484A0D"/>
    <w:rsid w:val="00485E30"/>
    <w:rsid w:val="0048678B"/>
    <w:rsid w:val="00486795"/>
    <w:rsid w:val="00486AD0"/>
    <w:rsid w:val="00486CC2"/>
    <w:rsid w:val="00487844"/>
    <w:rsid w:val="00487E11"/>
    <w:rsid w:val="00487FE7"/>
    <w:rsid w:val="00490215"/>
    <w:rsid w:val="00490B2A"/>
    <w:rsid w:val="00490D03"/>
    <w:rsid w:val="00490D52"/>
    <w:rsid w:val="004913AC"/>
    <w:rsid w:val="00491470"/>
    <w:rsid w:val="00491DDA"/>
    <w:rsid w:val="004922A9"/>
    <w:rsid w:val="00492A20"/>
    <w:rsid w:val="004935B6"/>
    <w:rsid w:val="004936AF"/>
    <w:rsid w:val="00493A2C"/>
    <w:rsid w:val="00493E2D"/>
    <w:rsid w:val="0049452C"/>
    <w:rsid w:val="004945C4"/>
    <w:rsid w:val="0049469D"/>
    <w:rsid w:val="004948F6"/>
    <w:rsid w:val="0049589E"/>
    <w:rsid w:val="004958F2"/>
    <w:rsid w:val="00495C83"/>
    <w:rsid w:val="00496500"/>
    <w:rsid w:val="004966A4"/>
    <w:rsid w:val="00497136"/>
    <w:rsid w:val="0049798A"/>
    <w:rsid w:val="00497EF1"/>
    <w:rsid w:val="004A0AF7"/>
    <w:rsid w:val="004A0C9A"/>
    <w:rsid w:val="004A0FD8"/>
    <w:rsid w:val="004A16FC"/>
    <w:rsid w:val="004A182E"/>
    <w:rsid w:val="004A19E1"/>
    <w:rsid w:val="004A2804"/>
    <w:rsid w:val="004A28DF"/>
    <w:rsid w:val="004A2E8C"/>
    <w:rsid w:val="004A32A4"/>
    <w:rsid w:val="004A34B3"/>
    <w:rsid w:val="004A4394"/>
    <w:rsid w:val="004A4943"/>
    <w:rsid w:val="004A4A19"/>
    <w:rsid w:val="004A4B09"/>
    <w:rsid w:val="004A4C49"/>
    <w:rsid w:val="004A4D7A"/>
    <w:rsid w:val="004A55CA"/>
    <w:rsid w:val="004A59C3"/>
    <w:rsid w:val="004A6D57"/>
    <w:rsid w:val="004A7344"/>
    <w:rsid w:val="004A7686"/>
    <w:rsid w:val="004A77CD"/>
    <w:rsid w:val="004A791A"/>
    <w:rsid w:val="004A7BAE"/>
    <w:rsid w:val="004B00E5"/>
    <w:rsid w:val="004B0B84"/>
    <w:rsid w:val="004B0C46"/>
    <w:rsid w:val="004B0E87"/>
    <w:rsid w:val="004B1669"/>
    <w:rsid w:val="004B16C1"/>
    <w:rsid w:val="004B1AAD"/>
    <w:rsid w:val="004B2215"/>
    <w:rsid w:val="004B2311"/>
    <w:rsid w:val="004B2414"/>
    <w:rsid w:val="004B243F"/>
    <w:rsid w:val="004B2A56"/>
    <w:rsid w:val="004B2CED"/>
    <w:rsid w:val="004B2DBC"/>
    <w:rsid w:val="004B31C5"/>
    <w:rsid w:val="004B3545"/>
    <w:rsid w:val="004B36F1"/>
    <w:rsid w:val="004B41EC"/>
    <w:rsid w:val="004B4329"/>
    <w:rsid w:val="004B496A"/>
    <w:rsid w:val="004B4B7A"/>
    <w:rsid w:val="004B4D0C"/>
    <w:rsid w:val="004B568B"/>
    <w:rsid w:val="004B5ACC"/>
    <w:rsid w:val="004B5C6D"/>
    <w:rsid w:val="004B778F"/>
    <w:rsid w:val="004B7B70"/>
    <w:rsid w:val="004B7B98"/>
    <w:rsid w:val="004B7CBF"/>
    <w:rsid w:val="004B7CC7"/>
    <w:rsid w:val="004C1191"/>
    <w:rsid w:val="004C1BCB"/>
    <w:rsid w:val="004C24A9"/>
    <w:rsid w:val="004C297C"/>
    <w:rsid w:val="004C29F9"/>
    <w:rsid w:val="004C2DC7"/>
    <w:rsid w:val="004C32CD"/>
    <w:rsid w:val="004C3612"/>
    <w:rsid w:val="004C48C5"/>
    <w:rsid w:val="004C4B8B"/>
    <w:rsid w:val="004C4BD5"/>
    <w:rsid w:val="004C4C26"/>
    <w:rsid w:val="004C5BBF"/>
    <w:rsid w:val="004C636B"/>
    <w:rsid w:val="004C64AE"/>
    <w:rsid w:val="004C673D"/>
    <w:rsid w:val="004C6EEE"/>
    <w:rsid w:val="004C6FC5"/>
    <w:rsid w:val="004D0079"/>
    <w:rsid w:val="004D0B74"/>
    <w:rsid w:val="004D106F"/>
    <w:rsid w:val="004D1161"/>
    <w:rsid w:val="004D15A6"/>
    <w:rsid w:val="004D167E"/>
    <w:rsid w:val="004D1EC5"/>
    <w:rsid w:val="004D2CBB"/>
    <w:rsid w:val="004D2E1D"/>
    <w:rsid w:val="004D2F3F"/>
    <w:rsid w:val="004D2F97"/>
    <w:rsid w:val="004D3124"/>
    <w:rsid w:val="004D3366"/>
    <w:rsid w:val="004D3756"/>
    <w:rsid w:val="004D3A17"/>
    <w:rsid w:val="004D3EB5"/>
    <w:rsid w:val="004D3F99"/>
    <w:rsid w:val="004D5494"/>
    <w:rsid w:val="004D5D7D"/>
    <w:rsid w:val="004D6EF7"/>
    <w:rsid w:val="004D786D"/>
    <w:rsid w:val="004D7C3B"/>
    <w:rsid w:val="004D7FB8"/>
    <w:rsid w:val="004E0DC5"/>
    <w:rsid w:val="004E0F7F"/>
    <w:rsid w:val="004E1903"/>
    <w:rsid w:val="004E1A86"/>
    <w:rsid w:val="004E1BD4"/>
    <w:rsid w:val="004E1EA9"/>
    <w:rsid w:val="004E1F37"/>
    <w:rsid w:val="004E23E5"/>
    <w:rsid w:val="004E244C"/>
    <w:rsid w:val="004E3DD0"/>
    <w:rsid w:val="004E44F9"/>
    <w:rsid w:val="004E4D02"/>
    <w:rsid w:val="004E5D33"/>
    <w:rsid w:val="004E641D"/>
    <w:rsid w:val="004E66C9"/>
    <w:rsid w:val="004E66E4"/>
    <w:rsid w:val="004E6CA8"/>
    <w:rsid w:val="004E7882"/>
    <w:rsid w:val="004F04CE"/>
    <w:rsid w:val="004F09CA"/>
    <w:rsid w:val="004F0F87"/>
    <w:rsid w:val="004F133F"/>
    <w:rsid w:val="004F1577"/>
    <w:rsid w:val="004F1BCF"/>
    <w:rsid w:val="004F1F81"/>
    <w:rsid w:val="004F232B"/>
    <w:rsid w:val="004F2AA4"/>
    <w:rsid w:val="004F3D95"/>
    <w:rsid w:val="004F3F49"/>
    <w:rsid w:val="004F45A6"/>
    <w:rsid w:val="004F471E"/>
    <w:rsid w:val="004F4FE6"/>
    <w:rsid w:val="004F5128"/>
    <w:rsid w:val="004F5747"/>
    <w:rsid w:val="004F5964"/>
    <w:rsid w:val="004F677D"/>
    <w:rsid w:val="004F690E"/>
    <w:rsid w:val="004F735D"/>
    <w:rsid w:val="004F77B4"/>
    <w:rsid w:val="004F7AE8"/>
    <w:rsid w:val="004F7BC4"/>
    <w:rsid w:val="004F7C95"/>
    <w:rsid w:val="0050062F"/>
    <w:rsid w:val="00500B5F"/>
    <w:rsid w:val="0050240F"/>
    <w:rsid w:val="005025D7"/>
    <w:rsid w:val="00503CA7"/>
    <w:rsid w:val="00504924"/>
    <w:rsid w:val="005061E3"/>
    <w:rsid w:val="005062B3"/>
    <w:rsid w:val="00506594"/>
    <w:rsid w:val="00506BFB"/>
    <w:rsid w:val="00506C6E"/>
    <w:rsid w:val="00507CBE"/>
    <w:rsid w:val="00507FEC"/>
    <w:rsid w:val="0051011C"/>
    <w:rsid w:val="0051024D"/>
    <w:rsid w:val="00510DD3"/>
    <w:rsid w:val="005114CD"/>
    <w:rsid w:val="0051233A"/>
    <w:rsid w:val="0051274B"/>
    <w:rsid w:val="00512B9B"/>
    <w:rsid w:val="00512E33"/>
    <w:rsid w:val="00513475"/>
    <w:rsid w:val="00513E22"/>
    <w:rsid w:val="00513EF9"/>
    <w:rsid w:val="00514C10"/>
    <w:rsid w:val="00514F68"/>
    <w:rsid w:val="005151A8"/>
    <w:rsid w:val="005157F4"/>
    <w:rsid w:val="00516291"/>
    <w:rsid w:val="00516B03"/>
    <w:rsid w:val="00517A35"/>
    <w:rsid w:val="00517AE9"/>
    <w:rsid w:val="00520994"/>
    <w:rsid w:val="0052139B"/>
    <w:rsid w:val="00521AA3"/>
    <w:rsid w:val="00521D8E"/>
    <w:rsid w:val="00521FBB"/>
    <w:rsid w:val="0052223B"/>
    <w:rsid w:val="00522ABB"/>
    <w:rsid w:val="00522BBB"/>
    <w:rsid w:val="00523134"/>
    <w:rsid w:val="005232F1"/>
    <w:rsid w:val="0052338E"/>
    <w:rsid w:val="005235B0"/>
    <w:rsid w:val="005236DE"/>
    <w:rsid w:val="0052452E"/>
    <w:rsid w:val="0052548C"/>
    <w:rsid w:val="005257B7"/>
    <w:rsid w:val="0052626C"/>
    <w:rsid w:val="00526299"/>
    <w:rsid w:val="00526795"/>
    <w:rsid w:val="0052683D"/>
    <w:rsid w:val="00526BC5"/>
    <w:rsid w:val="00526C53"/>
    <w:rsid w:val="005272FA"/>
    <w:rsid w:val="00527B90"/>
    <w:rsid w:val="00531458"/>
    <w:rsid w:val="0053166E"/>
    <w:rsid w:val="00531F79"/>
    <w:rsid w:val="005320F5"/>
    <w:rsid w:val="00532A87"/>
    <w:rsid w:val="00532EB6"/>
    <w:rsid w:val="00533405"/>
    <w:rsid w:val="00533438"/>
    <w:rsid w:val="00533CAE"/>
    <w:rsid w:val="00533E4F"/>
    <w:rsid w:val="005344A9"/>
    <w:rsid w:val="00534874"/>
    <w:rsid w:val="005348B9"/>
    <w:rsid w:val="00534DDD"/>
    <w:rsid w:val="00535DB3"/>
    <w:rsid w:val="00535E0D"/>
    <w:rsid w:val="00535E0E"/>
    <w:rsid w:val="00535F6C"/>
    <w:rsid w:val="0053609F"/>
    <w:rsid w:val="00536276"/>
    <w:rsid w:val="00536455"/>
    <w:rsid w:val="00536A58"/>
    <w:rsid w:val="00536F63"/>
    <w:rsid w:val="00537E2D"/>
    <w:rsid w:val="00537F9E"/>
    <w:rsid w:val="005400FE"/>
    <w:rsid w:val="005402AD"/>
    <w:rsid w:val="0054066D"/>
    <w:rsid w:val="00540815"/>
    <w:rsid w:val="00540D59"/>
    <w:rsid w:val="005415FB"/>
    <w:rsid w:val="0054161C"/>
    <w:rsid w:val="00541E4A"/>
    <w:rsid w:val="00541EC1"/>
    <w:rsid w:val="0054293D"/>
    <w:rsid w:val="005432CB"/>
    <w:rsid w:val="00544087"/>
    <w:rsid w:val="0054437E"/>
    <w:rsid w:val="005445DB"/>
    <w:rsid w:val="00544678"/>
    <w:rsid w:val="005451B7"/>
    <w:rsid w:val="005454C2"/>
    <w:rsid w:val="00545866"/>
    <w:rsid w:val="00545897"/>
    <w:rsid w:val="0054615B"/>
    <w:rsid w:val="005462B9"/>
    <w:rsid w:val="00546F33"/>
    <w:rsid w:val="00547036"/>
    <w:rsid w:val="00547BC0"/>
    <w:rsid w:val="0055116C"/>
    <w:rsid w:val="00551C04"/>
    <w:rsid w:val="00552F5C"/>
    <w:rsid w:val="005550ED"/>
    <w:rsid w:val="00555200"/>
    <w:rsid w:val="005556DA"/>
    <w:rsid w:val="005558F0"/>
    <w:rsid w:val="00556287"/>
    <w:rsid w:val="00556289"/>
    <w:rsid w:val="0055644C"/>
    <w:rsid w:val="00556BE1"/>
    <w:rsid w:val="00556F91"/>
    <w:rsid w:val="0055702E"/>
    <w:rsid w:val="00557055"/>
    <w:rsid w:val="005574D4"/>
    <w:rsid w:val="00557C3D"/>
    <w:rsid w:val="00560275"/>
    <w:rsid w:val="00560B5A"/>
    <w:rsid w:val="00560BD4"/>
    <w:rsid w:val="00560CDE"/>
    <w:rsid w:val="00560EA4"/>
    <w:rsid w:val="00561243"/>
    <w:rsid w:val="005616CF"/>
    <w:rsid w:val="00562464"/>
    <w:rsid w:val="00562864"/>
    <w:rsid w:val="00562ABA"/>
    <w:rsid w:val="00563167"/>
    <w:rsid w:val="0056347A"/>
    <w:rsid w:val="00563B9A"/>
    <w:rsid w:val="00563C31"/>
    <w:rsid w:val="00563D38"/>
    <w:rsid w:val="00563ECC"/>
    <w:rsid w:val="00563ED0"/>
    <w:rsid w:val="0056464F"/>
    <w:rsid w:val="00564798"/>
    <w:rsid w:val="0056493F"/>
    <w:rsid w:val="005649EF"/>
    <w:rsid w:val="00564D00"/>
    <w:rsid w:val="00564F34"/>
    <w:rsid w:val="00564FD5"/>
    <w:rsid w:val="00565180"/>
    <w:rsid w:val="0056573A"/>
    <w:rsid w:val="00565EEF"/>
    <w:rsid w:val="00566285"/>
    <w:rsid w:val="005668A7"/>
    <w:rsid w:val="005669D3"/>
    <w:rsid w:val="00566AA1"/>
    <w:rsid w:val="00566F98"/>
    <w:rsid w:val="00567003"/>
    <w:rsid w:val="005673DE"/>
    <w:rsid w:val="00567F96"/>
    <w:rsid w:val="0057011D"/>
    <w:rsid w:val="00570E6D"/>
    <w:rsid w:val="00570E80"/>
    <w:rsid w:val="005713A9"/>
    <w:rsid w:val="00571670"/>
    <w:rsid w:val="00572A6C"/>
    <w:rsid w:val="0057354E"/>
    <w:rsid w:val="00574694"/>
    <w:rsid w:val="005749AB"/>
    <w:rsid w:val="00574BC8"/>
    <w:rsid w:val="00574CE7"/>
    <w:rsid w:val="00575676"/>
    <w:rsid w:val="005762FF"/>
    <w:rsid w:val="00576A0A"/>
    <w:rsid w:val="00576CD0"/>
    <w:rsid w:val="005772C6"/>
    <w:rsid w:val="005772F7"/>
    <w:rsid w:val="00577E4C"/>
    <w:rsid w:val="00577F8D"/>
    <w:rsid w:val="0058027E"/>
    <w:rsid w:val="00580932"/>
    <w:rsid w:val="00580F21"/>
    <w:rsid w:val="00580F65"/>
    <w:rsid w:val="00580FA5"/>
    <w:rsid w:val="00581602"/>
    <w:rsid w:val="00581C6C"/>
    <w:rsid w:val="005825C1"/>
    <w:rsid w:val="00583728"/>
    <w:rsid w:val="005837F5"/>
    <w:rsid w:val="005838D4"/>
    <w:rsid w:val="00584341"/>
    <w:rsid w:val="00584C80"/>
    <w:rsid w:val="00584EAB"/>
    <w:rsid w:val="00585024"/>
    <w:rsid w:val="00585135"/>
    <w:rsid w:val="0058544C"/>
    <w:rsid w:val="00585B66"/>
    <w:rsid w:val="00585C93"/>
    <w:rsid w:val="00586594"/>
    <w:rsid w:val="00586BFA"/>
    <w:rsid w:val="0058732D"/>
    <w:rsid w:val="00587337"/>
    <w:rsid w:val="00587374"/>
    <w:rsid w:val="005877C2"/>
    <w:rsid w:val="00590993"/>
    <w:rsid w:val="00590B01"/>
    <w:rsid w:val="00591950"/>
    <w:rsid w:val="00591C13"/>
    <w:rsid w:val="00592A54"/>
    <w:rsid w:val="00592E77"/>
    <w:rsid w:val="0059386B"/>
    <w:rsid w:val="005940B4"/>
    <w:rsid w:val="00594D6A"/>
    <w:rsid w:val="00595DB4"/>
    <w:rsid w:val="00596645"/>
    <w:rsid w:val="00596853"/>
    <w:rsid w:val="00596D68"/>
    <w:rsid w:val="00596EF3"/>
    <w:rsid w:val="005977B3"/>
    <w:rsid w:val="005A0278"/>
    <w:rsid w:val="005A0E95"/>
    <w:rsid w:val="005A0ED2"/>
    <w:rsid w:val="005A1F8C"/>
    <w:rsid w:val="005A270B"/>
    <w:rsid w:val="005A2F3B"/>
    <w:rsid w:val="005A36C7"/>
    <w:rsid w:val="005A40B6"/>
    <w:rsid w:val="005A46B8"/>
    <w:rsid w:val="005A492F"/>
    <w:rsid w:val="005A5C7A"/>
    <w:rsid w:val="005A5D4C"/>
    <w:rsid w:val="005A5D70"/>
    <w:rsid w:val="005A628A"/>
    <w:rsid w:val="005A629F"/>
    <w:rsid w:val="005A6615"/>
    <w:rsid w:val="005A6A57"/>
    <w:rsid w:val="005A756D"/>
    <w:rsid w:val="005A7B91"/>
    <w:rsid w:val="005A7C73"/>
    <w:rsid w:val="005A7CE9"/>
    <w:rsid w:val="005A7E3A"/>
    <w:rsid w:val="005B0001"/>
    <w:rsid w:val="005B001E"/>
    <w:rsid w:val="005B021C"/>
    <w:rsid w:val="005B0248"/>
    <w:rsid w:val="005B0A42"/>
    <w:rsid w:val="005B0C25"/>
    <w:rsid w:val="005B0DC6"/>
    <w:rsid w:val="005B1225"/>
    <w:rsid w:val="005B2580"/>
    <w:rsid w:val="005B262A"/>
    <w:rsid w:val="005B2670"/>
    <w:rsid w:val="005B34E3"/>
    <w:rsid w:val="005B397E"/>
    <w:rsid w:val="005B3FE5"/>
    <w:rsid w:val="005B4C96"/>
    <w:rsid w:val="005B5321"/>
    <w:rsid w:val="005B5A68"/>
    <w:rsid w:val="005B6584"/>
    <w:rsid w:val="005B681C"/>
    <w:rsid w:val="005B7301"/>
    <w:rsid w:val="005B735A"/>
    <w:rsid w:val="005B771E"/>
    <w:rsid w:val="005B7761"/>
    <w:rsid w:val="005B7AE2"/>
    <w:rsid w:val="005C08AE"/>
    <w:rsid w:val="005C093A"/>
    <w:rsid w:val="005C193D"/>
    <w:rsid w:val="005C1BB0"/>
    <w:rsid w:val="005C2317"/>
    <w:rsid w:val="005C264D"/>
    <w:rsid w:val="005C27E5"/>
    <w:rsid w:val="005C32DF"/>
    <w:rsid w:val="005C3596"/>
    <w:rsid w:val="005C372B"/>
    <w:rsid w:val="005C3917"/>
    <w:rsid w:val="005C39FB"/>
    <w:rsid w:val="005C44BB"/>
    <w:rsid w:val="005C4C8F"/>
    <w:rsid w:val="005C4E34"/>
    <w:rsid w:val="005C543A"/>
    <w:rsid w:val="005C5699"/>
    <w:rsid w:val="005C576A"/>
    <w:rsid w:val="005C586B"/>
    <w:rsid w:val="005C5A7A"/>
    <w:rsid w:val="005C5C08"/>
    <w:rsid w:val="005C5C09"/>
    <w:rsid w:val="005C6776"/>
    <w:rsid w:val="005C6A65"/>
    <w:rsid w:val="005C722A"/>
    <w:rsid w:val="005C7898"/>
    <w:rsid w:val="005D069B"/>
    <w:rsid w:val="005D0967"/>
    <w:rsid w:val="005D1A4E"/>
    <w:rsid w:val="005D1B23"/>
    <w:rsid w:val="005D2B08"/>
    <w:rsid w:val="005D3AB9"/>
    <w:rsid w:val="005D3CCB"/>
    <w:rsid w:val="005D4073"/>
    <w:rsid w:val="005D4724"/>
    <w:rsid w:val="005D4E9E"/>
    <w:rsid w:val="005D5657"/>
    <w:rsid w:val="005D5D39"/>
    <w:rsid w:val="005D5FD0"/>
    <w:rsid w:val="005D63EF"/>
    <w:rsid w:val="005D6541"/>
    <w:rsid w:val="005D6765"/>
    <w:rsid w:val="005D74B9"/>
    <w:rsid w:val="005E0179"/>
    <w:rsid w:val="005E03A4"/>
    <w:rsid w:val="005E06AA"/>
    <w:rsid w:val="005E0FA8"/>
    <w:rsid w:val="005E1517"/>
    <w:rsid w:val="005E1545"/>
    <w:rsid w:val="005E16D1"/>
    <w:rsid w:val="005E1969"/>
    <w:rsid w:val="005E22C5"/>
    <w:rsid w:val="005E249E"/>
    <w:rsid w:val="005E30BA"/>
    <w:rsid w:val="005E33AD"/>
    <w:rsid w:val="005E4DFE"/>
    <w:rsid w:val="005E515C"/>
    <w:rsid w:val="005E5608"/>
    <w:rsid w:val="005E5897"/>
    <w:rsid w:val="005E5D1C"/>
    <w:rsid w:val="005E7088"/>
    <w:rsid w:val="005E7914"/>
    <w:rsid w:val="005E7AE4"/>
    <w:rsid w:val="005F0A3A"/>
    <w:rsid w:val="005F0EAE"/>
    <w:rsid w:val="005F1424"/>
    <w:rsid w:val="005F1972"/>
    <w:rsid w:val="005F2052"/>
    <w:rsid w:val="005F270F"/>
    <w:rsid w:val="005F2C3C"/>
    <w:rsid w:val="005F33AD"/>
    <w:rsid w:val="005F33B9"/>
    <w:rsid w:val="005F33F3"/>
    <w:rsid w:val="005F3C83"/>
    <w:rsid w:val="005F404A"/>
    <w:rsid w:val="005F4876"/>
    <w:rsid w:val="005F4B41"/>
    <w:rsid w:val="005F4B82"/>
    <w:rsid w:val="005F5302"/>
    <w:rsid w:val="005F54FF"/>
    <w:rsid w:val="005F55EC"/>
    <w:rsid w:val="005F573C"/>
    <w:rsid w:val="005F59BC"/>
    <w:rsid w:val="005F59FD"/>
    <w:rsid w:val="005F6408"/>
    <w:rsid w:val="005F64D2"/>
    <w:rsid w:val="005F6A4F"/>
    <w:rsid w:val="005F6FD2"/>
    <w:rsid w:val="005F7954"/>
    <w:rsid w:val="005F79E7"/>
    <w:rsid w:val="006000FE"/>
    <w:rsid w:val="00600AB8"/>
    <w:rsid w:val="00602033"/>
    <w:rsid w:val="0060214B"/>
    <w:rsid w:val="006024D9"/>
    <w:rsid w:val="0060281B"/>
    <w:rsid w:val="00602861"/>
    <w:rsid w:val="00602904"/>
    <w:rsid w:val="00602C06"/>
    <w:rsid w:val="00603092"/>
    <w:rsid w:val="0060334B"/>
    <w:rsid w:val="00603739"/>
    <w:rsid w:val="00603CB0"/>
    <w:rsid w:val="00604425"/>
    <w:rsid w:val="00604D1B"/>
    <w:rsid w:val="00604D25"/>
    <w:rsid w:val="00605172"/>
    <w:rsid w:val="0060526E"/>
    <w:rsid w:val="006052E8"/>
    <w:rsid w:val="006055E2"/>
    <w:rsid w:val="0060610B"/>
    <w:rsid w:val="006066DF"/>
    <w:rsid w:val="00606822"/>
    <w:rsid w:val="00606B1E"/>
    <w:rsid w:val="00606C39"/>
    <w:rsid w:val="00607DBF"/>
    <w:rsid w:val="00607E9B"/>
    <w:rsid w:val="00610AEE"/>
    <w:rsid w:val="00610BAD"/>
    <w:rsid w:val="00611091"/>
    <w:rsid w:val="00611331"/>
    <w:rsid w:val="006114D2"/>
    <w:rsid w:val="006117DE"/>
    <w:rsid w:val="006117F5"/>
    <w:rsid w:val="00611CAF"/>
    <w:rsid w:val="0061208B"/>
    <w:rsid w:val="00612724"/>
    <w:rsid w:val="00613691"/>
    <w:rsid w:val="006136DD"/>
    <w:rsid w:val="00614895"/>
    <w:rsid w:val="006152DD"/>
    <w:rsid w:val="00615373"/>
    <w:rsid w:val="0061573C"/>
    <w:rsid w:val="006157C9"/>
    <w:rsid w:val="006158E8"/>
    <w:rsid w:val="00615CEF"/>
    <w:rsid w:val="00616045"/>
    <w:rsid w:val="0061646F"/>
    <w:rsid w:val="00616B4F"/>
    <w:rsid w:val="00616D1B"/>
    <w:rsid w:val="00616D5D"/>
    <w:rsid w:val="006173E3"/>
    <w:rsid w:val="00617C6B"/>
    <w:rsid w:val="00620205"/>
    <w:rsid w:val="00620271"/>
    <w:rsid w:val="00620859"/>
    <w:rsid w:val="00620F0C"/>
    <w:rsid w:val="0062187B"/>
    <w:rsid w:val="0062225F"/>
    <w:rsid w:val="00622D41"/>
    <w:rsid w:val="006243C3"/>
    <w:rsid w:val="00624513"/>
    <w:rsid w:val="00624A9E"/>
    <w:rsid w:val="00624BC5"/>
    <w:rsid w:val="00625672"/>
    <w:rsid w:val="00625A88"/>
    <w:rsid w:val="006263D1"/>
    <w:rsid w:val="00626E15"/>
    <w:rsid w:val="0062719B"/>
    <w:rsid w:val="006275D5"/>
    <w:rsid w:val="00627A2A"/>
    <w:rsid w:val="00630127"/>
    <w:rsid w:val="0063048B"/>
    <w:rsid w:val="006306A2"/>
    <w:rsid w:val="00630D6A"/>
    <w:rsid w:val="00630F84"/>
    <w:rsid w:val="00631113"/>
    <w:rsid w:val="00631906"/>
    <w:rsid w:val="00631ED4"/>
    <w:rsid w:val="00633195"/>
    <w:rsid w:val="00633C96"/>
    <w:rsid w:val="006346C3"/>
    <w:rsid w:val="00634819"/>
    <w:rsid w:val="00634F80"/>
    <w:rsid w:val="00635695"/>
    <w:rsid w:val="006360B3"/>
    <w:rsid w:val="00636BB7"/>
    <w:rsid w:val="00636C7A"/>
    <w:rsid w:val="0063737C"/>
    <w:rsid w:val="00637445"/>
    <w:rsid w:val="006400EE"/>
    <w:rsid w:val="00640141"/>
    <w:rsid w:val="006409C9"/>
    <w:rsid w:val="00640DEE"/>
    <w:rsid w:val="00641A7E"/>
    <w:rsid w:val="00641E52"/>
    <w:rsid w:val="0064270B"/>
    <w:rsid w:val="00642C75"/>
    <w:rsid w:val="0064369F"/>
    <w:rsid w:val="00643DD6"/>
    <w:rsid w:val="00643FE4"/>
    <w:rsid w:val="00644200"/>
    <w:rsid w:val="0064464E"/>
    <w:rsid w:val="00644E1E"/>
    <w:rsid w:val="00644FAB"/>
    <w:rsid w:val="00644FF7"/>
    <w:rsid w:val="00645D00"/>
    <w:rsid w:val="00646205"/>
    <w:rsid w:val="00646A66"/>
    <w:rsid w:val="00646EB3"/>
    <w:rsid w:val="00646F75"/>
    <w:rsid w:val="00647275"/>
    <w:rsid w:val="00647284"/>
    <w:rsid w:val="00647E0D"/>
    <w:rsid w:val="00650019"/>
    <w:rsid w:val="0065019C"/>
    <w:rsid w:val="006507CC"/>
    <w:rsid w:val="006511AF"/>
    <w:rsid w:val="0065140A"/>
    <w:rsid w:val="006515A6"/>
    <w:rsid w:val="00651628"/>
    <w:rsid w:val="006517F6"/>
    <w:rsid w:val="00651A6E"/>
    <w:rsid w:val="00651D4C"/>
    <w:rsid w:val="0065241A"/>
    <w:rsid w:val="00652800"/>
    <w:rsid w:val="00652CA1"/>
    <w:rsid w:val="00652D0E"/>
    <w:rsid w:val="006534FB"/>
    <w:rsid w:val="0065416D"/>
    <w:rsid w:val="006549F0"/>
    <w:rsid w:val="00654BF7"/>
    <w:rsid w:val="00654C7E"/>
    <w:rsid w:val="0065535B"/>
    <w:rsid w:val="00656125"/>
    <w:rsid w:val="00656922"/>
    <w:rsid w:val="00656DC3"/>
    <w:rsid w:val="0065743F"/>
    <w:rsid w:val="00657AEC"/>
    <w:rsid w:val="00657D91"/>
    <w:rsid w:val="00660180"/>
    <w:rsid w:val="006609C5"/>
    <w:rsid w:val="00661268"/>
    <w:rsid w:val="006615C1"/>
    <w:rsid w:val="00661731"/>
    <w:rsid w:val="00661A77"/>
    <w:rsid w:val="00661AB4"/>
    <w:rsid w:val="0066266B"/>
    <w:rsid w:val="00662ACD"/>
    <w:rsid w:val="006635C6"/>
    <w:rsid w:val="00663AE7"/>
    <w:rsid w:val="00663ED0"/>
    <w:rsid w:val="006641D9"/>
    <w:rsid w:val="0066471C"/>
    <w:rsid w:val="00664733"/>
    <w:rsid w:val="0066487A"/>
    <w:rsid w:val="00664B11"/>
    <w:rsid w:val="00664B48"/>
    <w:rsid w:val="00664C8F"/>
    <w:rsid w:val="00664FB8"/>
    <w:rsid w:val="006652F5"/>
    <w:rsid w:val="0066569C"/>
    <w:rsid w:val="00665718"/>
    <w:rsid w:val="00665D5C"/>
    <w:rsid w:val="006673E0"/>
    <w:rsid w:val="00667C19"/>
    <w:rsid w:val="006706D2"/>
    <w:rsid w:val="00670833"/>
    <w:rsid w:val="00670840"/>
    <w:rsid w:val="00671A35"/>
    <w:rsid w:val="00671F57"/>
    <w:rsid w:val="0067218F"/>
    <w:rsid w:val="0067290D"/>
    <w:rsid w:val="006729DE"/>
    <w:rsid w:val="006734ED"/>
    <w:rsid w:val="00673908"/>
    <w:rsid w:val="00673ECD"/>
    <w:rsid w:val="006740D1"/>
    <w:rsid w:val="00675D48"/>
    <w:rsid w:val="00676216"/>
    <w:rsid w:val="006776CF"/>
    <w:rsid w:val="006778F9"/>
    <w:rsid w:val="00677AB8"/>
    <w:rsid w:val="00680630"/>
    <w:rsid w:val="0068069D"/>
    <w:rsid w:val="00680D8B"/>
    <w:rsid w:val="00680DC1"/>
    <w:rsid w:val="00681B4C"/>
    <w:rsid w:val="00681CCD"/>
    <w:rsid w:val="00681D58"/>
    <w:rsid w:val="00682096"/>
    <w:rsid w:val="0068226B"/>
    <w:rsid w:val="00682684"/>
    <w:rsid w:val="00682BFD"/>
    <w:rsid w:val="00682CD2"/>
    <w:rsid w:val="00682CF8"/>
    <w:rsid w:val="006835CF"/>
    <w:rsid w:val="006837DE"/>
    <w:rsid w:val="00683DE7"/>
    <w:rsid w:val="00683EBD"/>
    <w:rsid w:val="00683FE6"/>
    <w:rsid w:val="00684BAE"/>
    <w:rsid w:val="00684F09"/>
    <w:rsid w:val="006850DF"/>
    <w:rsid w:val="006855D9"/>
    <w:rsid w:val="006856F1"/>
    <w:rsid w:val="00686217"/>
    <w:rsid w:val="00686697"/>
    <w:rsid w:val="00686947"/>
    <w:rsid w:val="00686B33"/>
    <w:rsid w:val="00686FAF"/>
    <w:rsid w:val="006870EC"/>
    <w:rsid w:val="006871EA"/>
    <w:rsid w:val="00687830"/>
    <w:rsid w:val="00687C39"/>
    <w:rsid w:val="00687CE8"/>
    <w:rsid w:val="006906CC"/>
    <w:rsid w:val="00690BA5"/>
    <w:rsid w:val="00690D25"/>
    <w:rsid w:val="00691064"/>
    <w:rsid w:val="00691DDA"/>
    <w:rsid w:val="00692013"/>
    <w:rsid w:val="00692434"/>
    <w:rsid w:val="006928EA"/>
    <w:rsid w:val="00692ACD"/>
    <w:rsid w:val="0069306C"/>
    <w:rsid w:val="00693266"/>
    <w:rsid w:val="00693D21"/>
    <w:rsid w:val="00694436"/>
    <w:rsid w:val="00694765"/>
    <w:rsid w:val="006953AF"/>
    <w:rsid w:val="00695B0E"/>
    <w:rsid w:val="0069623F"/>
    <w:rsid w:val="006966B9"/>
    <w:rsid w:val="0069738F"/>
    <w:rsid w:val="006974C6"/>
    <w:rsid w:val="006975CF"/>
    <w:rsid w:val="006979A7"/>
    <w:rsid w:val="006A00CC"/>
    <w:rsid w:val="006A0106"/>
    <w:rsid w:val="006A0383"/>
    <w:rsid w:val="006A0A91"/>
    <w:rsid w:val="006A0E5A"/>
    <w:rsid w:val="006A13A4"/>
    <w:rsid w:val="006A1BDE"/>
    <w:rsid w:val="006A228F"/>
    <w:rsid w:val="006A23EA"/>
    <w:rsid w:val="006A25FD"/>
    <w:rsid w:val="006A2CFE"/>
    <w:rsid w:val="006A3B87"/>
    <w:rsid w:val="006A3CF5"/>
    <w:rsid w:val="006A3E56"/>
    <w:rsid w:val="006A3EE8"/>
    <w:rsid w:val="006A4213"/>
    <w:rsid w:val="006A45DA"/>
    <w:rsid w:val="006A550A"/>
    <w:rsid w:val="006A57D6"/>
    <w:rsid w:val="006A5CD3"/>
    <w:rsid w:val="006A5F44"/>
    <w:rsid w:val="006A6480"/>
    <w:rsid w:val="006A67F5"/>
    <w:rsid w:val="006A6AA5"/>
    <w:rsid w:val="006A7DCB"/>
    <w:rsid w:val="006B0081"/>
    <w:rsid w:val="006B014D"/>
    <w:rsid w:val="006B0215"/>
    <w:rsid w:val="006B0BFF"/>
    <w:rsid w:val="006B1038"/>
    <w:rsid w:val="006B11D0"/>
    <w:rsid w:val="006B1718"/>
    <w:rsid w:val="006B1B37"/>
    <w:rsid w:val="006B2006"/>
    <w:rsid w:val="006B27A3"/>
    <w:rsid w:val="006B27BB"/>
    <w:rsid w:val="006B2A85"/>
    <w:rsid w:val="006B2F57"/>
    <w:rsid w:val="006B2F87"/>
    <w:rsid w:val="006B333F"/>
    <w:rsid w:val="006B3821"/>
    <w:rsid w:val="006B4078"/>
    <w:rsid w:val="006B40FC"/>
    <w:rsid w:val="006B45D1"/>
    <w:rsid w:val="006B45F3"/>
    <w:rsid w:val="006B4A0B"/>
    <w:rsid w:val="006B4C21"/>
    <w:rsid w:val="006B4C24"/>
    <w:rsid w:val="006B4E3C"/>
    <w:rsid w:val="006B4FAA"/>
    <w:rsid w:val="006B5051"/>
    <w:rsid w:val="006B5A3B"/>
    <w:rsid w:val="006B6332"/>
    <w:rsid w:val="006B7061"/>
    <w:rsid w:val="006B76E8"/>
    <w:rsid w:val="006B7C1D"/>
    <w:rsid w:val="006C0203"/>
    <w:rsid w:val="006C0F4E"/>
    <w:rsid w:val="006C137A"/>
    <w:rsid w:val="006C1717"/>
    <w:rsid w:val="006C19C9"/>
    <w:rsid w:val="006C1ACA"/>
    <w:rsid w:val="006C22A5"/>
    <w:rsid w:val="006C2335"/>
    <w:rsid w:val="006C2A80"/>
    <w:rsid w:val="006C30C2"/>
    <w:rsid w:val="006C3705"/>
    <w:rsid w:val="006C4B9D"/>
    <w:rsid w:val="006C5042"/>
    <w:rsid w:val="006C5145"/>
    <w:rsid w:val="006C5581"/>
    <w:rsid w:val="006C5A51"/>
    <w:rsid w:val="006C5D7E"/>
    <w:rsid w:val="006C6232"/>
    <w:rsid w:val="006C6572"/>
    <w:rsid w:val="006C674A"/>
    <w:rsid w:val="006C7703"/>
    <w:rsid w:val="006D000F"/>
    <w:rsid w:val="006D02A4"/>
    <w:rsid w:val="006D06A2"/>
    <w:rsid w:val="006D0793"/>
    <w:rsid w:val="006D087E"/>
    <w:rsid w:val="006D0FCC"/>
    <w:rsid w:val="006D11A0"/>
    <w:rsid w:val="006D11F6"/>
    <w:rsid w:val="006D142E"/>
    <w:rsid w:val="006D1585"/>
    <w:rsid w:val="006D1E07"/>
    <w:rsid w:val="006D203C"/>
    <w:rsid w:val="006D2D1A"/>
    <w:rsid w:val="006D3803"/>
    <w:rsid w:val="006D39F7"/>
    <w:rsid w:val="006D3FE8"/>
    <w:rsid w:val="006D4473"/>
    <w:rsid w:val="006D4932"/>
    <w:rsid w:val="006D60B8"/>
    <w:rsid w:val="006D631A"/>
    <w:rsid w:val="006D752D"/>
    <w:rsid w:val="006D758A"/>
    <w:rsid w:val="006E002B"/>
    <w:rsid w:val="006E0606"/>
    <w:rsid w:val="006E12FA"/>
    <w:rsid w:val="006E142B"/>
    <w:rsid w:val="006E1447"/>
    <w:rsid w:val="006E1483"/>
    <w:rsid w:val="006E15F0"/>
    <w:rsid w:val="006E1BE0"/>
    <w:rsid w:val="006E1EEC"/>
    <w:rsid w:val="006E2537"/>
    <w:rsid w:val="006E2A3E"/>
    <w:rsid w:val="006E30EB"/>
    <w:rsid w:val="006E3833"/>
    <w:rsid w:val="006E3ED9"/>
    <w:rsid w:val="006E4DD4"/>
    <w:rsid w:val="006E55B9"/>
    <w:rsid w:val="006E60E1"/>
    <w:rsid w:val="006E6287"/>
    <w:rsid w:val="006E62C7"/>
    <w:rsid w:val="006E630B"/>
    <w:rsid w:val="006E6454"/>
    <w:rsid w:val="006E6B52"/>
    <w:rsid w:val="006E74D2"/>
    <w:rsid w:val="006E777D"/>
    <w:rsid w:val="006F004A"/>
    <w:rsid w:val="006F0334"/>
    <w:rsid w:val="006F0707"/>
    <w:rsid w:val="006F07B2"/>
    <w:rsid w:val="006F0E7C"/>
    <w:rsid w:val="006F1580"/>
    <w:rsid w:val="006F16A8"/>
    <w:rsid w:val="006F1CA3"/>
    <w:rsid w:val="006F2728"/>
    <w:rsid w:val="006F29FC"/>
    <w:rsid w:val="006F3177"/>
    <w:rsid w:val="006F3199"/>
    <w:rsid w:val="006F32C0"/>
    <w:rsid w:val="006F3685"/>
    <w:rsid w:val="006F3778"/>
    <w:rsid w:val="006F4727"/>
    <w:rsid w:val="006F4C50"/>
    <w:rsid w:val="006F4C91"/>
    <w:rsid w:val="006F56F3"/>
    <w:rsid w:val="006F5D59"/>
    <w:rsid w:val="006F5F8F"/>
    <w:rsid w:val="006F6320"/>
    <w:rsid w:val="006F671F"/>
    <w:rsid w:val="006F6F8B"/>
    <w:rsid w:val="006F713E"/>
    <w:rsid w:val="006F71E9"/>
    <w:rsid w:val="006F72E1"/>
    <w:rsid w:val="00700483"/>
    <w:rsid w:val="00700E55"/>
    <w:rsid w:val="007011AB"/>
    <w:rsid w:val="00701334"/>
    <w:rsid w:val="00701E35"/>
    <w:rsid w:val="00701E40"/>
    <w:rsid w:val="00702961"/>
    <w:rsid w:val="0070297D"/>
    <w:rsid w:val="00702ED7"/>
    <w:rsid w:val="007031FC"/>
    <w:rsid w:val="007036BB"/>
    <w:rsid w:val="00704070"/>
    <w:rsid w:val="00704352"/>
    <w:rsid w:val="00704ACB"/>
    <w:rsid w:val="00704B2B"/>
    <w:rsid w:val="00704E44"/>
    <w:rsid w:val="00705127"/>
    <w:rsid w:val="00705241"/>
    <w:rsid w:val="0070553C"/>
    <w:rsid w:val="007058C9"/>
    <w:rsid w:val="00705D88"/>
    <w:rsid w:val="00705DFD"/>
    <w:rsid w:val="00706089"/>
    <w:rsid w:val="00706CBC"/>
    <w:rsid w:val="00707177"/>
    <w:rsid w:val="007075A4"/>
    <w:rsid w:val="00707A1D"/>
    <w:rsid w:val="00707E95"/>
    <w:rsid w:val="007114CA"/>
    <w:rsid w:val="00711617"/>
    <w:rsid w:val="007119E6"/>
    <w:rsid w:val="00711DCB"/>
    <w:rsid w:val="007127D5"/>
    <w:rsid w:val="00712851"/>
    <w:rsid w:val="00712929"/>
    <w:rsid w:val="00713541"/>
    <w:rsid w:val="00713578"/>
    <w:rsid w:val="007138E1"/>
    <w:rsid w:val="007138ED"/>
    <w:rsid w:val="00713ECF"/>
    <w:rsid w:val="00713FED"/>
    <w:rsid w:val="00714526"/>
    <w:rsid w:val="00714671"/>
    <w:rsid w:val="0071609E"/>
    <w:rsid w:val="007166AF"/>
    <w:rsid w:val="00716BF8"/>
    <w:rsid w:val="00717664"/>
    <w:rsid w:val="0071779D"/>
    <w:rsid w:val="0071798C"/>
    <w:rsid w:val="00717C89"/>
    <w:rsid w:val="00717F59"/>
    <w:rsid w:val="0072004F"/>
    <w:rsid w:val="007214FD"/>
    <w:rsid w:val="00721946"/>
    <w:rsid w:val="00721ADD"/>
    <w:rsid w:val="00722755"/>
    <w:rsid w:val="00723904"/>
    <w:rsid w:val="00723A24"/>
    <w:rsid w:val="00723B24"/>
    <w:rsid w:val="007241D6"/>
    <w:rsid w:val="00724AE0"/>
    <w:rsid w:val="00724F01"/>
    <w:rsid w:val="0072500D"/>
    <w:rsid w:val="007250A2"/>
    <w:rsid w:val="007256DD"/>
    <w:rsid w:val="007256EF"/>
    <w:rsid w:val="00725BB9"/>
    <w:rsid w:val="00725D3E"/>
    <w:rsid w:val="00726792"/>
    <w:rsid w:val="00726A19"/>
    <w:rsid w:val="007271F0"/>
    <w:rsid w:val="00727535"/>
    <w:rsid w:val="007275EF"/>
    <w:rsid w:val="0072765D"/>
    <w:rsid w:val="0072767F"/>
    <w:rsid w:val="00730360"/>
    <w:rsid w:val="0073060D"/>
    <w:rsid w:val="007306B5"/>
    <w:rsid w:val="00730B38"/>
    <w:rsid w:val="00732CD7"/>
    <w:rsid w:val="00734A8A"/>
    <w:rsid w:val="00734A8F"/>
    <w:rsid w:val="00734AA1"/>
    <w:rsid w:val="00734F0F"/>
    <w:rsid w:val="007350A0"/>
    <w:rsid w:val="00735A8A"/>
    <w:rsid w:val="00736698"/>
    <w:rsid w:val="0073685D"/>
    <w:rsid w:val="00736DAF"/>
    <w:rsid w:val="0073739B"/>
    <w:rsid w:val="007379F7"/>
    <w:rsid w:val="00737D30"/>
    <w:rsid w:val="0074328B"/>
    <w:rsid w:val="00745312"/>
    <w:rsid w:val="0074574D"/>
    <w:rsid w:val="00745D42"/>
    <w:rsid w:val="00745E2E"/>
    <w:rsid w:val="0074683C"/>
    <w:rsid w:val="007469EA"/>
    <w:rsid w:val="00747685"/>
    <w:rsid w:val="00750402"/>
    <w:rsid w:val="00750763"/>
    <w:rsid w:val="00750942"/>
    <w:rsid w:val="00750C82"/>
    <w:rsid w:val="00750D1D"/>
    <w:rsid w:val="00751FBB"/>
    <w:rsid w:val="0075236A"/>
    <w:rsid w:val="007528F3"/>
    <w:rsid w:val="00752B32"/>
    <w:rsid w:val="00752BBD"/>
    <w:rsid w:val="00752CE0"/>
    <w:rsid w:val="007548A8"/>
    <w:rsid w:val="0075546F"/>
    <w:rsid w:val="0075623C"/>
    <w:rsid w:val="007565E2"/>
    <w:rsid w:val="00756A0C"/>
    <w:rsid w:val="00757256"/>
    <w:rsid w:val="00760080"/>
    <w:rsid w:val="007603D4"/>
    <w:rsid w:val="007607AB"/>
    <w:rsid w:val="007609A1"/>
    <w:rsid w:val="007613F1"/>
    <w:rsid w:val="007615CB"/>
    <w:rsid w:val="007618E6"/>
    <w:rsid w:val="007623E5"/>
    <w:rsid w:val="0076253D"/>
    <w:rsid w:val="007628CE"/>
    <w:rsid w:val="007637DC"/>
    <w:rsid w:val="007637E7"/>
    <w:rsid w:val="00763E02"/>
    <w:rsid w:val="0076411E"/>
    <w:rsid w:val="007646A5"/>
    <w:rsid w:val="0076480C"/>
    <w:rsid w:val="00764A5B"/>
    <w:rsid w:val="00764C40"/>
    <w:rsid w:val="00764DF9"/>
    <w:rsid w:val="00764EBD"/>
    <w:rsid w:val="0076549E"/>
    <w:rsid w:val="0076562B"/>
    <w:rsid w:val="00765A6C"/>
    <w:rsid w:val="0076625D"/>
    <w:rsid w:val="0076681F"/>
    <w:rsid w:val="00766BB1"/>
    <w:rsid w:val="00766D8F"/>
    <w:rsid w:val="007670B4"/>
    <w:rsid w:val="00770163"/>
    <w:rsid w:val="007705F1"/>
    <w:rsid w:val="00770885"/>
    <w:rsid w:val="00770A24"/>
    <w:rsid w:val="0077102C"/>
    <w:rsid w:val="00771249"/>
    <w:rsid w:val="00771FEC"/>
    <w:rsid w:val="0077260F"/>
    <w:rsid w:val="00772703"/>
    <w:rsid w:val="00772AC7"/>
    <w:rsid w:val="00773B93"/>
    <w:rsid w:val="00773C48"/>
    <w:rsid w:val="007747ED"/>
    <w:rsid w:val="00774FCF"/>
    <w:rsid w:val="0077596A"/>
    <w:rsid w:val="00776058"/>
    <w:rsid w:val="00776149"/>
    <w:rsid w:val="00776CDA"/>
    <w:rsid w:val="00777265"/>
    <w:rsid w:val="007774EB"/>
    <w:rsid w:val="00777FF8"/>
    <w:rsid w:val="00780C24"/>
    <w:rsid w:val="00781ACB"/>
    <w:rsid w:val="00782138"/>
    <w:rsid w:val="007822F0"/>
    <w:rsid w:val="007826BF"/>
    <w:rsid w:val="00782772"/>
    <w:rsid w:val="00783608"/>
    <w:rsid w:val="007838C1"/>
    <w:rsid w:val="00783BA2"/>
    <w:rsid w:val="00783F69"/>
    <w:rsid w:val="00784991"/>
    <w:rsid w:val="00785072"/>
    <w:rsid w:val="00785267"/>
    <w:rsid w:val="00785E19"/>
    <w:rsid w:val="00785F5E"/>
    <w:rsid w:val="007864B8"/>
    <w:rsid w:val="00786898"/>
    <w:rsid w:val="007875FA"/>
    <w:rsid w:val="00787889"/>
    <w:rsid w:val="00787A51"/>
    <w:rsid w:val="00787C4D"/>
    <w:rsid w:val="0079100C"/>
    <w:rsid w:val="007916B9"/>
    <w:rsid w:val="0079181E"/>
    <w:rsid w:val="0079195B"/>
    <w:rsid w:val="00791D25"/>
    <w:rsid w:val="00793B19"/>
    <w:rsid w:val="007946A4"/>
    <w:rsid w:val="00794745"/>
    <w:rsid w:val="00794B57"/>
    <w:rsid w:val="00795AAB"/>
    <w:rsid w:val="00795F2C"/>
    <w:rsid w:val="00796B9D"/>
    <w:rsid w:val="00797BB8"/>
    <w:rsid w:val="007A01DF"/>
    <w:rsid w:val="007A078C"/>
    <w:rsid w:val="007A09FB"/>
    <w:rsid w:val="007A0E32"/>
    <w:rsid w:val="007A0F32"/>
    <w:rsid w:val="007A0FC1"/>
    <w:rsid w:val="007A12EE"/>
    <w:rsid w:val="007A13A4"/>
    <w:rsid w:val="007A16C1"/>
    <w:rsid w:val="007A19EE"/>
    <w:rsid w:val="007A1D14"/>
    <w:rsid w:val="007A303D"/>
    <w:rsid w:val="007A316A"/>
    <w:rsid w:val="007A33AC"/>
    <w:rsid w:val="007A3A4F"/>
    <w:rsid w:val="007A3EAA"/>
    <w:rsid w:val="007A4528"/>
    <w:rsid w:val="007A48D1"/>
    <w:rsid w:val="007A4B42"/>
    <w:rsid w:val="007A542E"/>
    <w:rsid w:val="007A551A"/>
    <w:rsid w:val="007A5769"/>
    <w:rsid w:val="007A58EB"/>
    <w:rsid w:val="007A63AC"/>
    <w:rsid w:val="007A684E"/>
    <w:rsid w:val="007A7F9F"/>
    <w:rsid w:val="007B02FB"/>
    <w:rsid w:val="007B0E6E"/>
    <w:rsid w:val="007B1262"/>
    <w:rsid w:val="007B1F46"/>
    <w:rsid w:val="007B25DE"/>
    <w:rsid w:val="007B26F3"/>
    <w:rsid w:val="007B2D4B"/>
    <w:rsid w:val="007B2E17"/>
    <w:rsid w:val="007B38AB"/>
    <w:rsid w:val="007B4032"/>
    <w:rsid w:val="007B450C"/>
    <w:rsid w:val="007B58FA"/>
    <w:rsid w:val="007B674B"/>
    <w:rsid w:val="007B6E3F"/>
    <w:rsid w:val="007B76D0"/>
    <w:rsid w:val="007B78B5"/>
    <w:rsid w:val="007C0274"/>
    <w:rsid w:val="007C045D"/>
    <w:rsid w:val="007C078A"/>
    <w:rsid w:val="007C085B"/>
    <w:rsid w:val="007C0B5B"/>
    <w:rsid w:val="007C0F63"/>
    <w:rsid w:val="007C10B3"/>
    <w:rsid w:val="007C1253"/>
    <w:rsid w:val="007C1B2D"/>
    <w:rsid w:val="007C1B4E"/>
    <w:rsid w:val="007C2A29"/>
    <w:rsid w:val="007C2B4F"/>
    <w:rsid w:val="007C37EA"/>
    <w:rsid w:val="007C435A"/>
    <w:rsid w:val="007C4487"/>
    <w:rsid w:val="007C44B9"/>
    <w:rsid w:val="007C482B"/>
    <w:rsid w:val="007C5E4E"/>
    <w:rsid w:val="007C5E51"/>
    <w:rsid w:val="007C61EB"/>
    <w:rsid w:val="007C7871"/>
    <w:rsid w:val="007C7DA6"/>
    <w:rsid w:val="007D09BC"/>
    <w:rsid w:val="007D0E1A"/>
    <w:rsid w:val="007D1573"/>
    <w:rsid w:val="007D2035"/>
    <w:rsid w:val="007D204D"/>
    <w:rsid w:val="007D25FE"/>
    <w:rsid w:val="007D32DB"/>
    <w:rsid w:val="007D3310"/>
    <w:rsid w:val="007D3F5B"/>
    <w:rsid w:val="007D3FFF"/>
    <w:rsid w:val="007D46E4"/>
    <w:rsid w:val="007D4938"/>
    <w:rsid w:val="007D519B"/>
    <w:rsid w:val="007D55D4"/>
    <w:rsid w:val="007D5FD2"/>
    <w:rsid w:val="007D66F2"/>
    <w:rsid w:val="007D6785"/>
    <w:rsid w:val="007D6ED0"/>
    <w:rsid w:val="007D7BC1"/>
    <w:rsid w:val="007E0314"/>
    <w:rsid w:val="007E04EA"/>
    <w:rsid w:val="007E0F4D"/>
    <w:rsid w:val="007E1782"/>
    <w:rsid w:val="007E1E7B"/>
    <w:rsid w:val="007E1FD5"/>
    <w:rsid w:val="007E26FF"/>
    <w:rsid w:val="007E2C13"/>
    <w:rsid w:val="007E2FA6"/>
    <w:rsid w:val="007E3045"/>
    <w:rsid w:val="007E316E"/>
    <w:rsid w:val="007E4824"/>
    <w:rsid w:val="007E4922"/>
    <w:rsid w:val="007E493C"/>
    <w:rsid w:val="007E5763"/>
    <w:rsid w:val="007E5BD2"/>
    <w:rsid w:val="007E5C6B"/>
    <w:rsid w:val="007E5DDE"/>
    <w:rsid w:val="007E6251"/>
    <w:rsid w:val="007E6A90"/>
    <w:rsid w:val="007E71A6"/>
    <w:rsid w:val="007E7224"/>
    <w:rsid w:val="007E76E8"/>
    <w:rsid w:val="007E7A2A"/>
    <w:rsid w:val="007E7A96"/>
    <w:rsid w:val="007E7F57"/>
    <w:rsid w:val="007F013E"/>
    <w:rsid w:val="007F0313"/>
    <w:rsid w:val="007F122E"/>
    <w:rsid w:val="007F15B7"/>
    <w:rsid w:val="007F1813"/>
    <w:rsid w:val="007F1BE9"/>
    <w:rsid w:val="007F2761"/>
    <w:rsid w:val="007F29C8"/>
    <w:rsid w:val="007F2BEF"/>
    <w:rsid w:val="007F320C"/>
    <w:rsid w:val="007F3667"/>
    <w:rsid w:val="007F396A"/>
    <w:rsid w:val="007F439B"/>
    <w:rsid w:val="007F4668"/>
    <w:rsid w:val="007F4B3D"/>
    <w:rsid w:val="007F638E"/>
    <w:rsid w:val="007F68CF"/>
    <w:rsid w:val="007F70C9"/>
    <w:rsid w:val="007F7537"/>
    <w:rsid w:val="007F7906"/>
    <w:rsid w:val="008005FA"/>
    <w:rsid w:val="0080072F"/>
    <w:rsid w:val="008009FF"/>
    <w:rsid w:val="00800A73"/>
    <w:rsid w:val="0080167A"/>
    <w:rsid w:val="008017D1"/>
    <w:rsid w:val="0080184D"/>
    <w:rsid w:val="00801EB1"/>
    <w:rsid w:val="00802276"/>
    <w:rsid w:val="00802693"/>
    <w:rsid w:val="008029B7"/>
    <w:rsid w:val="00803195"/>
    <w:rsid w:val="008032D3"/>
    <w:rsid w:val="0080336C"/>
    <w:rsid w:val="00803A1C"/>
    <w:rsid w:val="008040E7"/>
    <w:rsid w:val="0080421C"/>
    <w:rsid w:val="0080429C"/>
    <w:rsid w:val="008046C3"/>
    <w:rsid w:val="00804884"/>
    <w:rsid w:val="00804AEA"/>
    <w:rsid w:val="008050F2"/>
    <w:rsid w:val="0080542E"/>
    <w:rsid w:val="00806E62"/>
    <w:rsid w:val="00806FA4"/>
    <w:rsid w:val="00807298"/>
    <w:rsid w:val="00807DCD"/>
    <w:rsid w:val="00807EEC"/>
    <w:rsid w:val="0081008A"/>
    <w:rsid w:val="008107CF"/>
    <w:rsid w:val="0081188A"/>
    <w:rsid w:val="008122F9"/>
    <w:rsid w:val="008125A5"/>
    <w:rsid w:val="008128D9"/>
    <w:rsid w:val="0081349E"/>
    <w:rsid w:val="00813CF3"/>
    <w:rsid w:val="00813E42"/>
    <w:rsid w:val="00813F47"/>
    <w:rsid w:val="00814566"/>
    <w:rsid w:val="00814F23"/>
    <w:rsid w:val="0081537A"/>
    <w:rsid w:val="008155D3"/>
    <w:rsid w:val="00815DCF"/>
    <w:rsid w:val="00815E22"/>
    <w:rsid w:val="008162D1"/>
    <w:rsid w:val="00816C0D"/>
    <w:rsid w:val="00816F6B"/>
    <w:rsid w:val="00817279"/>
    <w:rsid w:val="00817AD6"/>
    <w:rsid w:val="00820425"/>
    <w:rsid w:val="00820AEB"/>
    <w:rsid w:val="00820CE8"/>
    <w:rsid w:val="00821796"/>
    <w:rsid w:val="00821799"/>
    <w:rsid w:val="0082190D"/>
    <w:rsid w:val="00821EF1"/>
    <w:rsid w:val="0082215D"/>
    <w:rsid w:val="0082221C"/>
    <w:rsid w:val="00822B11"/>
    <w:rsid w:val="00822CFE"/>
    <w:rsid w:val="00823AB6"/>
    <w:rsid w:val="00823CAB"/>
    <w:rsid w:val="0082511F"/>
    <w:rsid w:val="008252AC"/>
    <w:rsid w:val="008257B8"/>
    <w:rsid w:val="00825E02"/>
    <w:rsid w:val="008265B8"/>
    <w:rsid w:val="00826AD3"/>
    <w:rsid w:val="00826EE8"/>
    <w:rsid w:val="00826F95"/>
    <w:rsid w:val="008274BC"/>
    <w:rsid w:val="0082797D"/>
    <w:rsid w:val="00827E61"/>
    <w:rsid w:val="008302EF"/>
    <w:rsid w:val="00830C8B"/>
    <w:rsid w:val="00830D9A"/>
    <w:rsid w:val="00831171"/>
    <w:rsid w:val="008318A2"/>
    <w:rsid w:val="00831D89"/>
    <w:rsid w:val="00832792"/>
    <w:rsid w:val="00832E7B"/>
    <w:rsid w:val="00835235"/>
    <w:rsid w:val="008352B9"/>
    <w:rsid w:val="00835586"/>
    <w:rsid w:val="00835C9B"/>
    <w:rsid w:val="008360F6"/>
    <w:rsid w:val="008362D7"/>
    <w:rsid w:val="0083668C"/>
    <w:rsid w:val="0084109B"/>
    <w:rsid w:val="0084152D"/>
    <w:rsid w:val="0084157F"/>
    <w:rsid w:val="00842574"/>
    <w:rsid w:val="0084257B"/>
    <w:rsid w:val="008429B7"/>
    <w:rsid w:val="00842AAD"/>
    <w:rsid w:val="00842F7B"/>
    <w:rsid w:val="00842F87"/>
    <w:rsid w:val="008435EA"/>
    <w:rsid w:val="00843BAB"/>
    <w:rsid w:val="00844083"/>
    <w:rsid w:val="00844111"/>
    <w:rsid w:val="00844A09"/>
    <w:rsid w:val="00844B5C"/>
    <w:rsid w:val="008455DC"/>
    <w:rsid w:val="0084562C"/>
    <w:rsid w:val="00845BD8"/>
    <w:rsid w:val="00845E48"/>
    <w:rsid w:val="00846830"/>
    <w:rsid w:val="008470CD"/>
    <w:rsid w:val="0084799B"/>
    <w:rsid w:val="00847CC7"/>
    <w:rsid w:val="00847E9C"/>
    <w:rsid w:val="00847F85"/>
    <w:rsid w:val="00850B5A"/>
    <w:rsid w:val="00850DCC"/>
    <w:rsid w:val="00850E63"/>
    <w:rsid w:val="00850EFA"/>
    <w:rsid w:val="00852C97"/>
    <w:rsid w:val="00853797"/>
    <w:rsid w:val="00853D41"/>
    <w:rsid w:val="008541B9"/>
    <w:rsid w:val="0085455B"/>
    <w:rsid w:val="008545A7"/>
    <w:rsid w:val="00854AE2"/>
    <w:rsid w:val="00854DC8"/>
    <w:rsid w:val="00854DE8"/>
    <w:rsid w:val="00855F14"/>
    <w:rsid w:val="0085642F"/>
    <w:rsid w:val="00856CB1"/>
    <w:rsid w:val="00856DEF"/>
    <w:rsid w:val="00857F78"/>
    <w:rsid w:val="00860BF2"/>
    <w:rsid w:val="00860CC3"/>
    <w:rsid w:val="00861656"/>
    <w:rsid w:val="008618CE"/>
    <w:rsid w:val="00861929"/>
    <w:rsid w:val="00861AF8"/>
    <w:rsid w:val="00861CAE"/>
    <w:rsid w:val="00861E1B"/>
    <w:rsid w:val="008622A9"/>
    <w:rsid w:val="00862870"/>
    <w:rsid w:val="00862E99"/>
    <w:rsid w:val="00863012"/>
    <w:rsid w:val="00863980"/>
    <w:rsid w:val="008639C5"/>
    <w:rsid w:val="00864228"/>
    <w:rsid w:val="00864594"/>
    <w:rsid w:val="008647CB"/>
    <w:rsid w:val="00864DEC"/>
    <w:rsid w:val="00864F88"/>
    <w:rsid w:val="008652B2"/>
    <w:rsid w:val="00865476"/>
    <w:rsid w:val="008667EC"/>
    <w:rsid w:val="00867972"/>
    <w:rsid w:val="00867A7E"/>
    <w:rsid w:val="00867DA3"/>
    <w:rsid w:val="008705B0"/>
    <w:rsid w:val="008707A3"/>
    <w:rsid w:val="0087089D"/>
    <w:rsid w:val="00870CC6"/>
    <w:rsid w:val="00870CE8"/>
    <w:rsid w:val="00870FBD"/>
    <w:rsid w:val="00871510"/>
    <w:rsid w:val="00872080"/>
    <w:rsid w:val="00872188"/>
    <w:rsid w:val="00873B40"/>
    <w:rsid w:val="0087425D"/>
    <w:rsid w:val="00874886"/>
    <w:rsid w:val="00875374"/>
    <w:rsid w:val="0087552E"/>
    <w:rsid w:val="00875886"/>
    <w:rsid w:val="00877156"/>
    <w:rsid w:val="00877592"/>
    <w:rsid w:val="00877A36"/>
    <w:rsid w:val="00877AE3"/>
    <w:rsid w:val="008810E2"/>
    <w:rsid w:val="00881820"/>
    <w:rsid w:val="00881CE9"/>
    <w:rsid w:val="00882416"/>
    <w:rsid w:val="00882829"/>
    <w:rsid w:val="00882D3C"/>
    <w:rsid w:val="00882D8C"/>
    <w:rsid w:val="00882F80"/>
    <w:rsid w:val="008836CA"/>
    <w:rsid w:val="00883787"/>
    <w:rsid w:val="00883E0C"/>
    <w:rsid w:val="00883F2E"/>
    <w:rsid w:val="00883FC4"/>
    <w:rsid w:val="00884086"/>
    <w:rsid w:val="0088419E"/>
    <w:rsid w:val="00884CA4"/>
    <w:rsid w:val="008852C7"/>
    <w:rsid w:val="008854CF"/>
    <w:rsid w:val="0088568E"/>
    <w:rsid w:val="00885698"/>
    <w:rsid w:val="00885C39"/>
    <w:rsid w:val="008864D2"/>
    <w:rsid w:val="008869B9"/>
    <w:rsid w:val="00886CA6"/>
    <w:rsid w:val="00886CCB"/>
    <w:rsid w:val="00887189"/>
    <w:rsid w:val="00887382"/>
    <w:rsid w:val="00887819"/>
    <w:rsid w:val="00890159"/>
    <w:rsid w:val="0089018B"/>
    <w:rsid w:val="00890631"/>
    <w:rsid w:val="00891420"/>
    <w:rsid w:val="00892D96"/>
    <w:rsid w:val="00893410"/>
    <w:rsid w:val="00893EFB"/>
    <w:rsid w:val="00894386"/>
    <w:rsid w:val="008946E6"/>
    <w:rsid w:val="00895710"/>
    <w:rsid w:val="00896505"/>
    <w:rsid w:val="008969E8"/>
    <w:rsid w:val="00896B39"/>
    <w:rsid w:val="00896E2B"/>
    <w:rsid w:val="00897B25"/>
    <w:rsid w:val="008A0617"/>
    <w:rsid w:val="008A0A5D"/>
    <w:rsid w:val="008A1040"/>
    <w:rsid w:val="008A1424"/>
    <w:rsid w:val="008A1CD0"/>
    <w:rsid w:val="008A23FC"/>
    <w:rsid w:val="008A2745"/>
    <w:rsid w:val="008A2C3A"/>
    <w:rsid w:val="008A2E24"/>
    <w:rsid w:val="008A4CF1"/>
    <w:rsid w:val="008A4E58"/>
    <w:rsid w:val="008A515C"/>
    <w:rsid w:val="008A548E"/>
    <w:rsid w:val="008A6251"/>
    <w:rsid w:val="008A62FF"/>
    <w:rsid w:val="008A64F0"/>
    <w:rsid w:val="008A6767"/>
    <w:rsid w:val="008A6EE1"/>
    <w:rsid w:val="008A7416"/>
    <w:rsid w:val="008B0C19"/>
    <w:rsid w:val="008B0F92"/>
    <w:rsid w:val="008B13FD"/>
    <w:rsid w:val="008B1762"/>
    <w:rsid w:val="008B1EEA"/>
    <w:rsid w:val="008B21E6"/>
    <w:rsid w:val="008B226E"/>
    <w:rsid w:val="008B22E8"/>
    <w:rsid w:val="008B26D0"/>
    <w:rsid w:val="008B3094"/>
    <w:rsid w:val="008B35D0"/>
    <w:rsid w:val="008B3664"/>
    <w:rsid w:val="008B39B6"/>
    <w:rsid w:val="008B3E39"/>
    <w:rsid w:val="008B4439"/>
    <w:rsid w:val="008B4536"/>
    <w:rsid w:val="008B497C"/>
    <w:rsid w:val="008B4BD5"/>
    <w:rsid w:val="008B4D16"/>
    <w:rsid w:val="008B4EF1"/>
    <w:rsid w:val="008B50CD"/>
    <w:rsid w:val="008B5321"/>
    <w:rsid w:val="008B551C"/>
    <w:rsid w:val="008B5533"/>
    <w:rsid w:val="008B5A47"/>
    <w:rsid w:val="008B5A71"/>
    <w:rsid w:val="008B62EB"/>
    <w:rsid w:val="008B6895"/>
    <w:rsid w:val="008B7267"/>
    <w:rsid w:val="008B74DE"/>
    <w:rsid w:val="008B79E1"/>
    <w:rsid w:val="008C0129"/>
    <w:rsid w:val="008C01B1"/>
    <w:rsid w:val="008C0308"/>
    <w:rsid w:val="008C0A18"/>
    <w:rsid w:val="008C0FFB"/>
    <w:rsid w:val="008C10D8"/>
    <w:rsid w:val="008C1AB3"/>
    <w:rsid w:val="008C1B2F"/>
    <w:rsid w:val="008C2130"/>
    <w:rsid w:val="008C2668"/>
    <w:rsid w:val="008C3A0B"/>
    <w:rsid w:val="008C3B8A"/>
    <w:rsid w:val="008C4135"/>
    <w:rsid w:val="008C41B3"/>
    <w:rsid w:val="008C49A9"/>
    <w:rsid w:val="008C5311"/>
    <w:rsid w:val="008C561A"/>
    <w:rsid w:val="008C5740"/>
    <w:rsid w:val="008C58F9"/>
    <w:rsid w:val="008C598F"/>
    <w:rsid w:val="008C5DF4"/>
    <w:rsid w:val="008C66FE"/>
    <w:rsid w:val="008C78E9"/>
    <w:rsid w:val="008C7B9A"/>
    <w:rsid w:val="008D0FA1"/>
    <w:rsid w:val="008D1113"/>
    <w:rsid w:val="008D1138"/>
    <w:rsid w:val="008D12B1"/>
    <w:rsid w:val="008D18AF"/>
    <w:rsid w:val="008D1D48"/>
    <w:rsid w:val="008D2211"/>
    <w:rsid w:val="008D2252"/>
    <w:rsid w:val="008D2C8D"/>
    <w:rsid w:val="008D315E"/>
    <w:rsid w:val="008D31D6"/>
    <w:rsid w:val="008D3B42"/>
    <w:rsid w:val="008D3D8B"/>
    <w:rsid w:val="008D4B8A"/>
    <w:rsid w:val="008D51AE"/>
    <w:rsid w:val="008D5990"/>
    <w:rsid w:val="008D5E6C"/>
    <w:rsid w:val="008D61D9"/>
    <w:rsid w:val="008D62AA"/>
    <w:rsid w:val="008D6AD6"/>
    <w:rsid w:val="008D6D92"/>
    <w:rsid w:val="008D6EA1"/>
    <w:rsid w:val="008D7049"/>
    <w:rsid w:val="008E01FC"/>
    <w:rsid w:val="008E0585"/>
    <w:rsid w:val="008E06AF"/>
    <w:rsid w:val="008E0E97"/>
    <w:rsid w:val="008E2022"/>
    <w:rsid w:val="008E3317"/>
    <w:rsid w:val="008E36A7"/>
    <w:rsid w:val="008E3BF8"/>
    <w:rsid w:val="008E3D9F"/>
    <w:rsid w:val="008E4E2A"/>
    <w:rsid w:val="008E4E64"/>
    <w:rsid w:val="008E4FE6"/>
    <w:rsid w:val="008E5173"/>
    <w:rsid w:val="008E5A37"/>
    <w:rsid w:val="008E5C07"/>
    <w:rsid w:val="008E5EF1"/>
    <w:rsid w:val="008E667D"/>
    <w:rsid w:val="008E6C49"/>
    <w:rsid w:val="008E6E25"/>
    <w:rsid w:val="008E73A9"/>
    <w:rsid w:val="008E7478"/>
    <w:rsid w:val="008E7C7D"/>
    <w:rsid w:val="008F02CB"/>
    <w:rsid w:val="008F0478"/>
    <w:rsid w:val="008F0479"/>
    <w:rsid w:val="008F080E"/>
    <w:rsid w:val="008F0981"/>
    <w:rsid w:val="008F0A74"/>
    <w:rsid w:val="008F0CE7"/>
    <w:rsid w:val="008F0E7C"/>
    <w:rsid w:val="008F141D"/>
    <w:rsid w:val="008F2867"/>
    <w:rsid w:val="008F28C6"/>
    <w:rsid w:val="008F5574"/>
    <w:rsid w:val="008F58B0"/>
    <w:rsid w:val="008F599C"/>
    <w:rsid w:val="008F5E1F"/>
    <w:rsid w:val="008F5EF1"/>
    <w:rsid w:val="008F5F34"/>
    <w:rsid w:val="008F60FC"/>
    <w:rsid w:val="008F6179"/>
    <w:rsid w:val="008F6521"/>
    <w:rsid w:val="008F78F2"/>
    <w:rsid w:val="008F7D36"/>
    <w:rsid w:val="008F7D4E"/>
    <w:rsid w:val="00900C4E"/>
    <w:rsid w:val="00900CAE"/>
    <w:rsid w:val="00900EEC"/>
    <w:rsid w:val="00901572"/>
    <w:rsid w:val="0090185B"/>
    <w:rsid w:val="00901C17"/>
    <w:rsid w:val="00901EC2"/>
    <w:rsid w:val="009022FB"/>
    <w:rsid w:val="00902A3E"/>
    <w:rsid w:val="00902FA6"/>
    <w:rsid w:val="009030BB"/>
    <w:rsid w:val="009037A4"/>
    <w:rsid w:val="0090403B"/>
    <w:rsid w:val="0090461E"/>
    <w:rsid w:val="00905495"/>
    <w:rsid w:val="00906416"/>
    <w:rsid w:val="00906673"/>
    <w:rsid w:val="00906718"/>
    <w:rsid w:val="00906CD7"/>
    <w:rsid w:val="00906CDD"/>
    <w:rsid w:val="00907861"/>
    <w:rsid w:val="00907EDD"/>
    <w:rsid w:val="009105A1"/>
    <w:rsid w:val="009107C5"/>
    <w:rsid w:val="00910BEA"/>
    <w:rsid w:val="00910E9B"/>
    <w:rsid w:val="00910EAF"/>
    <w:rsid w:val="00911036"/>
    <w:rsid w:val="009117D3"/>
    <w:rsid w:val="00912194"/>
    <w:rsid w:val="009125AF"/>
    <w:rsid w:val="009126E9"/>
    <w:rsid w:val="00912D35"/>
    <w:rsid w:val="00912DCC"/>
    <w:rsid w:val="009130B4"/>
    <w:rsid w:val="00913F5F"/>
    <w:rsid w:val="0091402D"/>
    <w:rsid w:val="009140CC"/>
    <w:rsid w:val="00914CDB"/>
    <w:rsid w:val="0091519F"/>
    <w:rsid w:val="00915B38"/>
    <w:rsid w:val="0091640B"/>
    <w:rsid w:val="00916645"/>
    <w:rsid w:val="00916721"/>
    <w:rsid w:val="009172AC"/>
    <w:rsid w:val="009174E3"/>
    <w:rsid w:val="00917AB9"/>
    <w:rsid w:val="00917B79"/>
    <w:rsid w:val="0092046B"/>
    <w:rsid w:val="009205CA"/>
    <w:rsid w:val="009208DF"/>
    <w:rsid w:val="00920E77"/>
    <w:rsid w:val="00920F10"/>
    <w:rsid w:val="00921925"/>
    <w:rsid w:val="00921AAC"/>
    <w:rsid w:val="00921B4D"/>
    <w:rsid w:val="00922461"/>
    <w:rsid w:val="00922F09"/>
    <w:rsid w:val="0092388A"/>
    <w:rsid w:val="00923B92"/>
    <w:rsid w:val="0092400C"/>
    <w:rsid w:val="0092425F"/>
    <w:rsid w:val="009243F9"/>
    <w:rsid w:val="009246C5"/>
    <w:rsid w:val="0092496D"/>
    <w:rsid w:val="00924A2E"/>
    <w:rsid w:val="009252AB"/>
    <w:rsid w:val="00925870"/>
    <w:rsid w:val="009258F8"/>
    <w:rsid w:val="00926089"/>
    <w:rsid w:val="00926901"/>
    <w:rsid w:val="009269C3"/>
    <w:rsid w:val="009275D4"/>
    <w:rsid w:val="00927855"/>
    <w:rsid w:val="00927928"/>
    <w:rsid w:val="00927974"/>
    <w:rsid w:val="00927B34"/>
    <w:rsid w:val="00927ED9"/>
    <w:rsid w:val="00927F03"/>
    <w:rsid w:val="00930839"/>
    <w:rsid w:val="00930E29"/>
    <w:rsid w:val="00930EE2"/>
    <w:rsid w:val="00930EFC"/>
    <w:rsid w:val="00931639"/>
    <w:rsid w:val="00931DA9"/>
    <w:rsid w:val="009333F9"/>
    <w:rsid w:val="009335C7"/>
    <w:rsid w:val="00933C20"/>
    <w:rsid w:val="00933CF0"/>
    <w:rsid w:val="00933D7D"/>
    <w:rsid w:val="00933F39"/>
    <w:rsid w:val="00934B55"/>
    <w:rsid w:val="00934C83"/>
    <w:rsid w:val="00934D19"/>
    <w:rsid w:val="00935BEB"/>
    <w:rsid w:val="00936B3D"/>
    <w:rsid w:val="00936EFE"/>
    <w:rsid w:val="00937CEE"/>
    <w:rsid w:val="00937F7D"/>
    <w:rsid w:val="00940D11"/>
    <w:rsid w:val="009415B0"/>
    <w:rsid w:val="00941C3F"/>
    <w:rsid w:val="00942EDC"/>
    <w:rsid w:val="009443A1"/>
    <w:rsid w:val="00944E40"/>
    <w:rsid w:val="00944E64"/>
    <w:rsid w:val="0094506C"/>
    <w:rsid w:val="009458CF"/>
    <w:rsid w:val="00946580"/>
    <w:rsid w:val="00946BA7"/>
    <w:rsid w:val="00946DD7"/>
    <w:rsid w:val="00950429"/>
    <w:rsid w:val="00950643"/>
    <w:rsid w:val="00951559"/>
    <w:rsid w:val="00951886"/>
    <w:rsid w:val="0095261D"/>
    <w:rsid w:val="00952AC4"/>
    <w:rsid w:val="00952B53"/>
    <w:rsid w:val="00953784"/>
    <w:rsid w:val="00953B34"/>
    <w:rsid w:val="00953F16"/>
    <w:rsid w:val="00954A91"/>
    <w:rsid w:val="00954D9F"/>
    <w:rsid w:val="0095512D"/>
    <w:rsid w:val="009554AA"/>
    <w:rsid w:val="009555E0"/>
    <w:rsid w:val="00956258"/>
    <w:rsid w:val="00956B48"/>
    <w:rsid w:val="00957DED"/>
    <w:rsid w:val="009610E5"/>
    <w:rsid w:val="00961753"/>
    <w:rsid w:val="00961FA0"/>
    <w:rsid w:val="00962064"/>
    <w:rsid w:val="00962310"/>
    <w:rsid w:val="009628DF"/>
    <w:rsid w:val="00962AD9"/>
    <w:rsid w:val="00963023"/>
    <w:rsid w:val="009630CE"/>
    <w:rsid w:val="0096356C"/>
    <w:rsid w:val="009642D9"/>
    <w:rsid w:val="00964A01"/>
    <w:rsid w:val="009655C1"/>
    <w:rsid w:val="009658A1"/>
    <w:rsid w:val="009663BF"/>
    <w:rsid w:val="00966565"/>
    <w:rsid w:val="00966A1F"/>
    <w:rsid w:val="00966CFF"/>
    <w:rsid w:val="00966EBF"/>
    <w:rsid w:val="00967954"/>
    <w:rsid w:val="00967A84"/>
    <w:rsid w:val="00967FC4"/>
    <w:rsid w:val="009704AA"/>
    <w:rsid w:val="00970789"/>
    <w:rsid w:val="00971A64"/>
    <w:rsid w:val="00971EBB"/>
    <w:rsid w:val="00972BD0"/>
    <w:rsid w:val="0097349F"/>
    <w:rsid w:val="009734AA"/>
    <w:rsid w:val="009742ED"/>
    <w:rsid w:val="00974638"/>
    <w:rsid w:val="009747E0"/>
    <w:rsid w:val="00974B20"/>
    <w:rsid w:val="00974DFB"/>
    <w:rsid w:val="009757F9"/>
    <w:rsid w:val="009759EA"/>
    <w:rsid w:val="00976628"/>
    <w:rsid w:val="0097703B"/>
    <w:rsid w:val="0097709B"/>
    <w:rsid w:val="00977106"/>
    <w:rsid w:val="0097764C"/>
    <w:rsid w:val="0097772F"/>
    <w:rsid w:val="009778AA"/>
    <w:rsid w:val="00977CBF"/>
    <w:rsid w:val="009812F4"/>
    <w:rsid w:val="00981B73"/>
    <w:rsid w:val="00981BF1"/>
    <w:rsid w:val="00981C5E"/>
    <w:rsid w:val="00981E8B"/>
    <w:rsid w:val="00981FB9"/>
    <w:rsid w:val="009838B2"/>
    <w:rsid w:val="00983A72"/>
    <w:rsid w:val="00983F68"/>
    <w:rsid w:val="00984021"/>
    <w:rsid w:val="0098434B"/>
    <w:rsid w:val="0098466B"/>
    <w:rsid w:val="009846E9"/>
    <w:rsid w:val="00984C1E"/>
    <w:rsid w:val="00985C61"/>
    <w:rsid w:val="00986414"/>
    <w:rsid w:val="0098665E"/>
    <w:rsid w:val="00986918"/>
    <w:rsid w:val="00986DB3"/>
    <w:rsid w:val="0098757C"/>
    <w:rsid w:val="00987675"/>
    <w:rsid w:val="00987895"/>
    <w:rsid w:val="00987F8E"/>
    <w:rsid w:val="009907CD"/>
    <w:rsid w:val="009909EB"/>
    <w:rsid w:val="00990B5C"/>
    <w:rsid w:val="00990E70"/>
    <w:rsid w:val="00991979"/>
    <w:rsid w:val="00991A3A"/>
    <w:rsid w:val="00991B6D"/>
    <w:rsid w:val="00991C30"/>
    <w:rsid w:val="00991F28"/>
    <w:rsid w:val="00992233"/>
    <w:rsid w:val="00992703"/>
    <w:rsid w:val="00992E3B"/>
    <w:rsid w:val="00993176"/>
    <w:rsid w:val="00993232"/>
    <w:rsid w:val="0099343F"/>
    <w:rsid w:val="00993473"/>
    <w:rsid w:val="0099457E"/>
    <w:rsid w:val="009947CA"/>
    <w:rsid w:val="0099484D"/>
    <w:rsid w:val="00994E06"/>
    <w:rsid w:val="00994E75"/>
    <w:rsid w:val="00995420"/>
    <w:rsid w:val="009957BF"/>
    <w:rsid w:val="00995BC5"/>
    <w:rsid w:val="00995F65"/>
    <w:rsid w:val="0099661C"/>
    <w:rsid w:val="009966FA"/>
    <w:rsid w:val="009971EF"/>
    <w:rsid w:val="009972FE"/>
    <w:rsid w:val="009975DD"/>
    <w:rsid w:val="009A036B"/>
    <w:rsid w:val="009A0791"/>
    <w:rsid w:val="009A0EB5"/>
    <w:rsid w:val="009A1075"/>
    <w:rsid w:val="009A1284"/>
    <w:rsid w:val="009A1AC5"/>
    <w:rsid w:val="009A1E68"/>
    <w:rsid w:val="009A226C"/>
    <w:rsid w:val="009A26FB"/>
    <w:rsid w:val="009A294C"/>
    <w:rsid w:val="009A3386"/>
    <w:rsid w:val="009A3709"/>
    <w:rsid w:val="009A3E8B"/>
    <w:rsid w:val="009A3FA9"/>
    <w:rsid w:val="009A44BB"/>
    <w:rsid w:val="009A4534"/>
    <w:rsid w:val="009A47E3"/>
    <w:rsid w:val="009A4A84"/>
    <w:rsid w:val="009A5642"/>
    <w:rsid w:val="009A5663"/>
    <w:rsid w:val="009A56E7"/>
    <w:rsid w:val="009A5F91"/>
    <w:rsid w:val="009A6697"/>
    <w:rsid w:val="009A6A98"/>
    <w:rsid w:val="009A6C89"/>
    <w:rsid w:val="009A752F"/>
    <w:rsid w:val="009A77C9"/>
    <w:rsid w:val="009A7BDD"/>
    <w:rsid w:val="009A7D44"/>
    <w:rsid w:val="009B0054"/>
    <w:rsid w:val="009B09A6"/>
    <w:rsid w:val="009B0F7C"/>
    <w:rsid w:val="009B129F"/>
    <w:rsid w:val="009B14E5"/>
    <w:rsid w:val="009B1CC2"/>
    <w:rsid w:val="009B1E93"/>
    <w:rsid w:val="009B1EC6"/>
    <w:rsid w:val="009B22CF"/>
    <w:rsid w:val="009B2979"/>
    <w:rsid w:val="009B2C1E"/>
    <w:rsid w:val="009B380A"/>
    <w:rsid w:val="009B4665"/>
    <w:rsid w:val="009B492A"/>
    <w:rsid w:val="009B4956"/>
    <w:rsid w:val="009B4EC0"/>
    <w:rsid w:val="009B5CAB"/>
    <w:rsid w:val="009B6107"/>
    <w:rsid w:val="009B6376"/>
    <w:rsid w:val="009B6FA1"/>
    <w:rsid w:val="009B733F"/>
    <w:rsid w:val="009B75EE"/>
    <w:rsid w:val="009C0533"/>
    <w:rsid w:val="009C0F7B"/>
    <w:rsid w:val="009C18ED"/>
    <w:rsid w:val="009C2273"/>
    <w:rsid w:val="009C240A"/>
    <w:rsid w:val="009C2CC6"/>
    <w:rsid w:val="009C33E8"/>
    <w:rsid w:val="009C347B"/>
    <w:rsid w:val="009C405F"/>
    <w:rsid w:val="009C45E4"/>
    <w:rsid w:val="009C4BF0"/>
    <w:rsid w:val="009C4CE5"/>
    <w:rsid w:val="009C5099"/>
    <w:rsid w:val="009C56EB"/>
    <w:rsid w:val="009C5CD8"/>
    <w:rsid w:val="009C5D22"/>
    <w:rsid w:val="009C6228"/>
    <w:rsid w:val="009C66AE"/>
    <w:rsid w:val="009C6CE2"/>
    <w:rsid w:val="009C7E75"/>
    <w:rsid w:val="009D007C"/>
    <w:rsid w:val="009D00FB"/>
    <w:rsid w:val="009D0EBC"/>
    <w:rsid w:val="009D0EBD"/>
    <w:rsid w:val="009D11BF"/>
    <w:rsid w:val="009D1344"/>
    <w:rsid w:val="009D1DED"/>
    <w:rsid w:val="009D269C"/>
    <w:rsid w:val="009D26D0"/>
    <w:rsid w:val="009D2A94"/>
    <w:rsid w:val="009D2DEF"/>
    <w:rsid w:val="009D3676"/>
    <w:rsid w:val="009D3B88"/>
    <w:rsid w:val="009D44EA"/>
    <w:rsid w:val="009D4694"/>
    <w:rsid w:val="009D5063"/>
    <w:rsid w:val="009D52F1"/>
    <w:rsid w:val="009D545D"/>
    <w:rsid w:val="009D5AC7"/>
    <w:rsid w:val="009D5D1E"/>
    <w:rsid w:val="009D607C"/>
    <w:rsid w:val="009D6130"/>
    <w:rsid w:val="009D677F"/>
    <w:rsid w:val="009D68B6"/>
    <w:rsid w:val="009D70AD"/>
    <w:rsid w:val="009E012C"/>
    <w:rsid w:val="009E1030"/>
    <w:rsid w:val="009E10AD"/>
    <w:rsid w:val="009E10AF"/>
    <w:rsid w:val="009E117D"/>
    <w:rsid w:val="009E1A02"/>
    <w:rsid w:val="009E21CE"/>
    <w:rsid w:val="009E23BD"/>
    <w:rsid w:val="009E37F6"/>
    <w:rsid w:val="009E3BA8"/>
    <w:rsid w:val="009E3BAC"/>
    <w:rsid w:val="009E3C74"/>
    <w:rsid w:val="009E45B0"/>
    <w:rsid w:val="009E4C54"/>
    <w:rsid w:val="009E4DE8"/>
    <w:rsid w:val="009E50E9"/>
    <w:rsid w:val="009E7916"/>
    <w:rsid w:val="009E7A66"/>
    <w:rsid w:val="009E7F63"/>
    <w:rsid w:val="009F0516"/>
    <w:rsid w:val="009F08C7"/>
    <w:rsid w:val="009F095A"/>
    <w:rsid w:val="009F0A1E"/>
    <w:rsid w:val="009F148A"/>
    <w:rsid w:val="009F1A7B"/>
    <w:rsid w:val="009F2188"/>
    <w:rsid w:val="009F2FB3"/>
    <w:rsid w:val="009F3481"/>
    <w:rsid w:val="009F476F"/>
    <w:rsid w:val="009F4C6F"/>
    <w:rsid w:val="009F4E70"/>
    <w:rsid w:val="009F577E"/>
    <w:rsid w:val="009F5927"/>
    <w:rsid w:val="009F6577"/>
    <w:rsid w:val="009F6E7F"/>
    <w:rsid w:val="009F7D62"/>
    <w:rsid w:val="00A0141D"/>
    <w:rsid w:val="00A01652"/>
    <w:rsid w:val="00A01AEB"/>
    <w:rsid w:val="00A01C90"/>
    <w:rsid w:val="00A024F4"/>
    <w:rsid w:val="00A02772"/>
    <w:rsid w:val="00A027A1"/>
    <w:rsid w:val="00A03127"/>
    <w:rsid w:val="00A0366D"/>
    <w:rsid w:val="00A03783"/>
    <w:rsid w:val="00A03D84"/>
    <w:rsid w:val="00A04155"/>
    <w:rsid w:val="00A04A64"/>
    <w:rsid w:val="00A04B77"/>
    <w:rsid w:val="00A05097"/>
    <w:rsid w:val="00A0570A"/>
    <w:rsid w:val="00A057B9"/>
    <w:rsid w:val="00A0582B"/>
    <w:rsid w:val="00A05907"/>
    <w:rsid w:val="00A05C4B"/>
    <w:rsid w:val="00A068C0"/>
    <w:rsid w:val="00A069D5"/>
    <w:rsid w:val="00A074F6"/>
    <w:rsid w:val="00A079FF"/>
    <w:rsid w:val="00A07AD8"/>
    <w:rsid w:val="00A07EBE"/>
    <w:rsid w:val="00A1021E"/>
    <w:rsid w:val="00A104C8"/>
    <w:rsid w:val="00A109F8"/>
    <w:rsid w:val="00A10AFB"/>
    <w:rsid w:val="00A111A3"/>
    <w:rsid w:val="00A11341"/>
    <w:rsid w:val="00A11703"/>
    <w:rsid w:val="00A119BA"/>
    <w:rsid w:val="00A11C9F"/>
    <w:rsid w:val="00A122D6"/>
    <w:rsid w:val="00A1455A"/>
    <w:rsid w:val="00A14664"/>
    <w:rsid w:val="00A14851"/>
    <w:rsid w:val="00A14C6B"/>
    <w:rsid w:val="00A155E2"/>
    <w:rsid w:val="00A15887"/>
    <w:rsid w:val="00A1589E"/>
    <w:rsid w:val="00A15D6C"/>
    <w:rsid w:val="00A1635C"/>
    <w:rsid w:val="00A16424"/>
    <w:rsid w:val="00A16551"/>
    <w:rsid w:val="00A16634"/>
    <w:rsid w:val="00A16706"/>
    <w:rsid w:val="00A16949"/>
    <w:rsid w:val="00A16B28"/>
    <w:rsid w:val="00A171C6"/>
    <w:rsid w:val="00A17273"/>
    <w:rsid w:val="00A20735"/>
    <w:rsid w:val="00A207CA"/>
    <w:rsid w:val="00A21ED5"/>
    <w:rsid w:val="00A22104"/>
    <w:rsid w:val="00A22AEF"/>
    <w:rsid w:val="00A23D9B"/>
    <w:rsid w:val="00A23F06"/>
    <w:rsid w:val="00A242BB"/>
    <w:rsid w:val="00A24625"/>
    <w:rsid w:val="00A24CAF"/>
    <w:rsid w:val="00A2536D"/>
    <w:rsid w:val="00A2539D"/>
    <w:rsid w:val="00A25C8C"/>
    <w:rsid w:val="00A26AED"/>
    <w:rsid w:val="00A27038"/>
    <w:rsid w:val="00A27654"/>
    <w:rsid w:val="00A27B69"/>
    <w:rsid w:val="00A27F19"/>
    <w:rsid w:val="00A27F53"/>
    <w:rsid w:val="00A30315"/>
    <w:rsid w:val="00A30A84"/>
    <w:rsid w:val="00A30BB2"/>
    <w:rsid w:val="00A3111F"/>
    <w:rsid w:val="00A31484"/>
    <w:rsid w:val="00A316CA"/>
    <w:rsid w:val="00A31B05"/>
    <w:rsid w:val="00A31C48"/>
    <w:rsid w:val="00A3206F"/>
    <w:rsid w:val="00A32075"/>
    <w:rsid w:val="00A32E30"/>
    <w:rsid w:val="00A32EC7"/>
    <w:rsid w:val="00A33473"/>
    <w:rsid w:val="00A33499"/>
    <w:rsid w:val="00A34616"/>
    <w:rsid w:val="00A34686"/>
    <w:rsid w:val="00A34881"/>
    <w:rsid w:val="00A34CA1"/>
    <w:rsid w:val="00A35326"/>
    <w:rsid w:val="00A35A05"/>
    <w:rsid w:val="00A35DD7"/>
    <w:rsid w:val="00A35E0A"/>
    <w:rsid w:val="00A35E47"/>
    <w:rsid w:val="00A35FE3"/>
    <w:rsid w:val="00A361A3"/>
    <w:rsid w:val="00A36374"/>
    <w:rsid w:val="00A36543"/>
    <w:rsid w:val="00A36FC0"/>
    <w:rsid w:val="00A37083"/>
    <w:rsid w:val="00A3730D"/>
    <w:rsid w:val="00A3750E"/>
    <w:rsid w:val="00A40353"/>
    <w:rsid w:val="00A4072B"/>
    <w:rsid w:val="00A41580"/>
    <w:rsid w:val="00A4180B"/>
    <w:rsid w:val="00A41815"/>
    <w:rsid w:val="00A41C52"/>
    <w:rsid w:val="00A41D1F"/>
    <w:rsid w:val="00A42176"/>
    <w:rsid w:val="00A4247E"/>
    <w:rsid w:val="00A4248A"/>
    <w:rsid w:val="00A42B63"/>
    <w:rsid w:val="00A42BA9"/>
    <w:rsid w:val="00A42F19"/>
    <w:rsid w:val="00A44F1E"/>
    <w:rsid w:val="00A46D71"/>
    <w:rsid w:val="00A47186"/>
    <w:rsid w:val="00A47209"/>
    <w:rsid w:val="00A473F6"/>
    <w:rsid w:val="00A5029E"/>
    <w:rsid w:val="00A504B8"/>
    <w:rsid w:val="00A5069B"/>
    <w:rsid w:val="00A50887"/>
    <w:rsid w:val="00A50CFA"/>
    <w:rsid w:val="00A51DC0"/>
    <w:rsid w:val="00A527AD"/>
    <w:rsid w:val="00A52BA3"/>
    <w:rsid w:val="00A53A94"/>
    <w:rsid w:val="00A54ECF"/>
    <w:rsid w:val="00A550DC"/>
    <w:rsid w:val="00A56564"/>
    <w:rsid w:val="00A56B7D"/>
    <w:rsid w:val="00A575AC"/>
    <w:rsid w:val="00A57A2D"/>
    <w:rsid w:val="00A60713"/>
    <w:rsid w:val="00A60BD7"/>
    <w:rsid w:val="00A60D9C"/>
    <w:rsid w:val="00A60E5B"/>
    <w:rsid w:val="00A629DE"/>
    <w:rsid w:val="00A638A2"/>
    <w:rsid w:val="00A6486F"/>
    <w:rsid w:val="00A64896"/>
    <w:rsid w:val="00A649BD"/>
    <w:rsid w:val="00A64A5C"/>
    <w:rsid w:val="00A65102"/>
    <w:rsid w:val="00A6566D"/>
    <w:rsid w:val="00A659BF"/>
    <w:rsid w:val="00A66142"/>
    <w:rsid w:val="00A6666C"/>
    <w:rsid w:val="00A66933"/>
    <w:rsid w:val="00A67097"/>
    <w:rsid w:val="00A6713F"/>
    <w:rsid w:val="00A677C4"/>
    <w:rsid w:val="00A679A3"/>
    <w:rsid w:val="00A67AB9"/>
    <w:rsid w:val="00A67BCC"/>
    <w:rsid w:val="00A67CB6"/>
    <w:rsid w:val="00A67D3E"/>
    <w:rsid w:val="00A67F14"/>
    <w:rsid w:val="00A70490"/>
    <w:rsid w:val="00A705BE"/>
    <w:rsid w:val="00A71DC5"/>
    <w:rsid w:val="00A72194"/>
    <w:rsid w:val="00A727DC"/>
    <w:rsid w:val="00A72E0C"/>
    <w:rsid w:val="00A73233"/>
    <w:rsid w:val="00A73545"/>
    <w:rsid w:val="00A73C0F"/>
    <w:rsid w:val="00A7504E"/>
    <w:rsid w:val="00A75942"/>
    <w:rsid w:val="00A75956"/>
    <w:rsid w:val="00A75E6C"/>
    <w:rsid w:val="00A760DF"/>
    <w:rsid w:val="00A76179"/>
    <w:rsid w:val="00A77EC1"/>
    <w:rsid w:val="00A80318"/>
    <w:rsid w:val="00A805C9"/>
    <w:rsid w:val="00A806C6"/>
    <w:rsid w:val="00A807B1"/>
    <w:rsid w:val="00A80D21"/>
    <w:rsid w:val="00A81FA7"/>
    <w:rsid w:val="00A8229C"/>
    <w:rsid w:val="00A822E5"/>
    <w:rsid w:val="00A826D6"/>
    <w:rsid w:val="00A84537"/>
    <w:rsid w:val="00A846AD"/>
    <w:rsid w:val="00A85173"/>
    <w:rsid w:val="00A85297"/>
    <w:rsid w:val="00A85846"/>
    <w:rsid w:val="00A868E5"/>
    <w:rsid w:val="00A86BE4"/>
    <w:rsid w:val="00A87529"/>
    <w:rsid w:val="00A875E2"/>
    <w:rsid w:val="00A87FBB"/>
    <w:rsid w:val="00A901AB"/>
    <w:rsid w:val="00A90CC0"/>
    <w:rsid w:val="00A90CE6"/>
    <w:rsid w:val="00A91240"/>
    <w:rsid w:val="00A916DD"/>
    <w:rsid w:val="00A9177C"/>
    <w:rsid w:val="00A91995"/>
    <w:rsid w:val="00A91F33"/>
    <w:rsid w:val="00A92116"/>
    <w:rsid w:val="00A92372"/>
    <w:rsid w:val="00A92629"/>
    <w:rsid w:val="00A92C0B"/>
    <w:rsid w:val="00A94115"/>
    <w:rsid w:val="00A94742"/>
    <w:rsid w:val="00A94C52"/>
    <w:rsid w:val="00A94E7A"/>
    <w:rsid w:val="00A95276"/>
    <w:rsid w:val="00A9539F"/>
    <w:rsid w:val="00A956B9"/>
    <w:rsid w:val="00A9574A"/>
    <w:rsid w:val="00A961D2"/>
    <w:rsid w:val="00A96ADA"/>
    <w:rsid w:val="00A975FF"/>
    <w:rsid w:val="00A97C10"/>
    <w:rsid w:val="00A97F34"/>
    <w:rsid w:val="00AA0615"/>
    <w:rsid w:val="00AA1141"/>
    <w:rsid w:val="00AA18D6"/>
    <w:rsid w:val="00AA1F34"/>
    <w:rsid w:val="00AA21A5"/>
    <w:rsid w:val="00AA2572"/>
    <w:rsid w:val="00AA30A7"/>
    <w:rsid w:val="00AA3724"/>
    <w:rsid w:val="00AA40BA"/>
    <w:rsid w:val="00AA41E2"/>
    <w:rsid w:val="00AA43A0"/>
    <w:rsid w:val="00AA47F2"/>
    <w:rsid w:val="00AA4ABA"/>
    <w:rsid w:val="00AA4EEC"/>
    <w:rsid w:val="00AA5799"/>
    <w:rsid w:val="00AA5966"/>
    <w:rsid w:val="00AA5A63"/>
    <w:rsid w:val="00AA6EDB"/>
    <w:rsid w:val="00AA7013"/>
    <w:rsid w:val="00AB0416"/>
    <w:rsid w:val="00AB118B"/>
    <w:rsid w:val="00AB15AB"/>
    <w:rsid w:val="00AB16D5"/>
    <w:rsid w:val="00AB22E0"/>
    <w:rsid w:val="00AB261A"/>
    <w:rsid w:val="00AB2B15"/>
    <w:rsid w:val="00AB3141"/>
    <w:rsid w:val="00AB33C5"/>
    <w:rsid w:val="00AB36D4"/>
    <w:rsid w:val="00AB39EE"/>
    <w:rsid w:val="00AB4C32"/>
    <w:rsid w:val="00AB4D2C"/>
    <w:rsid w:val="00AB5445"/>
    <w:rsid w:val="00AB55EE"/>
    <w:rsid w:val="00AB5C03"/>
    <w:rsid w:val="00AB65BD"/>
    <w:rsid w:val="00AB6BB7"/>
    <w:rsid w:val="00AB73E5"/>
    <w:rsid w:val="00AB74D1"/>
    <w:rsid w:val="00AB7A40"/>
    <w:rsid w:val="00AC07EE"/>
    <w:rsid w:val="00AC07F2"/>
    <w:rsid w:val="00AC10E1"/>
    <w:rsid w:val="00AC2344"/>
    <w:rsid w:val="00AC246B"/>
    <w:rsid w:val="00AC2750"/>
    <w:rsid w:val="00AC2DE0"/>
    <w:rsid w:val="00AC3647"/>
    <w:rsid w:val="00AC3665"/>
    <w:rsid w:val="00AC3A13"/>
    <w:rsid w:val="00AC3C94"/>
    <w:rsid w:val="00AC3D81"/>
    <w:rsid w:val="00AC4712"/>
    <w:rsid w:val="00AC4A2A"/>
    <w:rsid w:val="00AC4BAE"/>
    <w:rsid w:val="00AC7E49"/>
    <w:rsid w:val="00AC7E62"/>
    <w:rsid w:val="00AD0050"/>
    <w:rsid w:val="00AD01CB"/>
    <w:rsid w:val="00AD0B20"/>
    <w:rsid w:val="00AD0ED3"/>
    <w:rsid w:val="00AD0EFE"/>
    <w:rsid w:val="00AD1C75"/>
    <w:rsid w:val="00AD2034"/>
    <w:rsid w:val="00AD226A"/>
    <w:rsid w:val="00AD27EC"/>
    <w:rsid w:val="00AD3F70"/>
    <w:rsid w:val="00AD51DC"/>
    <w:rsid w:val="00AD5F65"/>
    <w:rsid w:val="00AD5F66"/>
    <w:rsid w:val="00AD75FF"/>
    <w:rsid w:val="00AE06CC"/>
    <w:rsid w:val="00AE08C9"/>
    <w:rsid w:val="00AE0F24"/>
    <w:rsid w:val="00AE0F79"/>
    <w:rsid w:val="00AE13C7"/>
    <w:rsid w:val="00AE16ED"/>
    <w:rsid w:val="00AE1814"/>
    <w:rsid w:val="00AE1EBC"/>
    <w:rsid w:val="00AE2140"/>
    <w:rsid w:val="00AE218B"/>
    <w:rsid w:val="00AE24DA"/>
    <w:rsid w:val="00AE3432"/>
    <w:rsid w:val="00AE36A5"/>
    <w:rsid w:val="00AE3C10"/>
    <w:rsid w:val="00AE537F"/>
    <w:rsid w:val="00AE577A"/>
    <w:rsid w:val="00AE6EF9"/>
    <w:rsid w:val="00AE71AB"/>
    <w:rsid w:val="00AE7653"/>
    <w:rsid w:val="00AE7754"/>
    <w:rsid w:val="00AF053E"/>
    <w:rsid w:val="00AF0E31"/>
    <w:rsid w:val="00AF0E90"/>
    <w:rsid w:val="00AF12C8"/>
    <w:rsid w:val="00AF1456"/>
    <w:rsid w:val="00AF154B"/>
    <w:rsid w:val="00AF1625"/>
    <w:rsid w:val="00AF1BDE"/>
    <w:rsid w:val="00AF1DDE"/>
    <w:rsid w:val="00AF2435"/>
    <w:rsid w:val="00AF2601"/>
    <w:rsid w:val="00AF28A2"/>
    <w:rsid w:val="00AF29DB"/>
    <w:rsid w:val="00AF2AA4"/>
    <w:rsid w:val="00AF2DBD"/>
    <w:rsid w:val="00AF30E0"/>
    <w:rsid w:val="00AF3642"/>
    <w:rsid w:val="00AF3852"/>
    <w:rsid w:val="00AF39EB"/>
    <w:rsid w:val="00AF4447"/>
    <w:rsid w:val="00AF4EEC"/>
    <w:rsid w:val="00AF4F0C"/>
    <w:rsid w:val="00AF5561"/>
    <w:rsid w:val="00AF5622"/>
    <w:rsid w:val="00AF5E7A"/>
    <w:rsid w:val="00AF5EBC"/>
    <w:rsid w:val="00AF6752"/>
    <w:rsid w:val="00AF6A8A"/>
    <w:rsid w:val="00AF6D65"/>
    <w:rsid w:val="00AF6E69"/>
    <w:rsid w:val="00AF6EBA"/>
    <w:rsid w:val="00AF701E"/>
    <w:rsid w:val="00AF7E1F"/>
    <w:rsid w:val="00B00AF9"/>
    <w:rsid w:val="00B00DDC"/>
    <w:rsid w:val="00B00F24"/>
    <w:rsid w:val="00B013AF"/>
    <w:rsid w:val="00B01542"/>
    <w:rsid w:val="00B02109"/>
    <w:rsid w:val="00B025BC"/>
    <w:rsid w:val="00B03933"/>
    <w:rsid w:val="00B044AE"/>
    <w:rsid w:val="00B0459A"/>
    <w:rsid w:val="00B058E5"/>
    <w:rsid w:val="00B06133"/>
    <w:rsid w:val="00B0622F"/>
    <w:rsid w:val="00B068A1"/>
    <w:rsid w:val="00B07068"/>
    <w:rsid w:val="00B077A6"/>
    <w:rsid w:val="00B10806"/>
    <w:rsid w:val="00B109F1"/>
    <w:rsid w:val="00B10DC6"/>
    <w:rsid w:val="00B116A7"/>
    <w:rsid w:val="00B11AC6"/>
    <w:rsid w:val="00B11E13"/>
    <w:rsid w:val="00B12022"/>
    <w:rsid w:val="00B121B6"/>
    <w:rsid w:val="00B1294C"/>
    <w:rsid w:val="00B12ED6"/>
    <w:rsid w:val="00B13489"/>
    <w:rsid w:val="00B134C5"/>
    <w:rsid w:val="00B136E5"/>
    <w:rsid w:val="00B13D6A"/>
    <w:rsid w:val="00B14352"/>
    <w:rsid w:val="00B149F3"/>
    <w:rsid w:val="00B14A8A"/>
    <w:rsid w:val="00B1505D"/>
    <w:rsid w:val="00B15976"/>
    <w:rsid w:val="00B15AEA"/>
    <w:rsid w:val="00B15B0E"/>
    <w:rsid w:val="00B16288"/>
    <w:rsid w:val="00B162B9"/>
    <w:rsid w:val="00B168AC"/>
    <w:rsid w:val="00B169C4"/>
    <w:rsid w:val="00B17918"/>
    <w:rsid w:val="00B20B6F"/>
    <w:rsid w:val="00B20DA3"/>
    <w:rsid w:val="00B2100C"/>
    <w:rsid w:val="00B218A8"/>
    <w:rsid w:val="00B21CE4"/>
    <w:rsid w:val="00B21FAC"/>
    <w:rsid w:val="00B221AE"/>
    <w:rsid w:val="00B22310"/>
    <w:rsid w:val="00B22AB6"/>
    <w:rsid w:val="00B22B60"/>
    <w:rsid w:val="00B22E94"/>
    <w:rsid w:val="00B230CE"/>
    <w:rsid w:val="00B23857"/>
    <w:rsid w:val="00B23F35"/>
    <w:rsid w:val="00B23F69"/>
    <w:rsid w:val="00B248D5"/>
    <w:rsid w:val="00B257D6"/>
    <w:rsid w:val="00B2594D"/>
    <w:rsid w:val="00B26885"/>
    <w:rsid w:val="00B27245"/>
    <w:rsid w:val="00B3065D"/>
    <w:rsid w:val="00B306B1"/>
    <w:rsid w:val="00B3110A"/>
    <w:rsid w:val="00B314E4"/>
    <w:rsid w:val="00B31626"/>
    <w:rsid w:val="00B31958"/>
    <w:rsid w:val="00B31B1A"/>
    <w:rsid w:val="00B31BDB"/>
    <w:rsid w:val="00B31DE5"/>
    <w:rsid w:val="00B31F15"/>
    <w:rsid w:val="00B3288A"/>
    <w:rsid w:val="00B3361A"/>
    <w:rsid w:val="00B339C6"/>
    <w:rsid w:val="00B33AE6"/>
    <w:rsid w:val="00B33E0B"/>
    <w:rsid w:val="00B344B7"/>
    <w:rsid w:val="00B3485D"/>
    <w:rsid w:val="00B34D27"/>
    <w:rsid w:val="00B350B8"/>
    <w:rsid w:val="00B35193"/>
    <w:rsid w:val="00B3532D"/>
    <w:rsid w:val="00B36746"/>
    <w:rsid w:val="00B369B0"/>
    <w:rsid w:val="00B4056C"/>
    <w:rsid w:val="00B4095D"/>
    <w:rsid w:val="00B4234B"/>
    <w:rsid w:val="00B42B09"/>
    <w:rsid w:val="00B42BF0"/>
    <w:rsid w:val="00B42E6A"/>
    <w:rsid w:val="00B42F40"/>
    <w:rsid w:val="00B4324A"/>
    <w:rsid w:val="00B432BE"/>
    <w:rsid w:val="00B43BA0"/>
    <w:rsid w:val="00B440C7"/>
    <w:rsid w:val="00B441F6"/>
    <w:rsid w:val="00B44743"/>
    <w:rsid w:val="00B448E1"/>
    <w:rsid w:val="00B44968"/>
    <w:rsid w:val="00B4496E"/>
    <w:rsid w:val="00B44B3E"/>
    <w:rsid w:val="00B44DC4"/>
    <w:rsid w:val="00B456AE"/>
    <w:rsid w:val="00B45F2E"/>
    <w:rsid w:val="00B46211"/>
    <w:rsid w:val="00B463AA"/>
    <w:rsid w:val="00B46744"/>
    <w:rsid w:val="00B46C75"/>
    <w:rsid w:val="00B472B7"/>
    <w:rsid w:val="00B47F76"/>
    <w:rsid w:val="00B50439"/>
    <w:rsid w:val="00B5051E"/>
    <w:rsid w:val="00B50C1C"/>
    <w:rsid w:val="00B511EF"/>
    <w:rsid w:val="00B51204"/>
    <w:rsid w:val="00B51F41"/>
    <w:rsid w:val="00B523AE"/>
    <w:rsid w:val="00B52460"/>
    <w:rsid w:val="00B53B1F"/>
    <w:rsid w:val="00B53B54"/>
    <w:rsid w:val="00B53FB7"/>
    <w:rsid w:val="00B5418E"/>
    <w:rsid w:val="00B54517"/>
    <w:rsid w:val="00B54AA0"/>
    <w:rsid w:val="00B54B6F"/>
    <w:rsid w:val="00B55AEE"/>
    <w:rsid w:val="00B55C13"/>
    <w:rsid w:val="00B562E1"/>
    <w:rsid w:val="00B57638"/>
    <w:rsid w:val="00B57AB1"/>
    <w:rsid w:val="00B600C6"/>
    <w:rsid w:val="00B604C9"/>
    <w:rsid w:val="00B60AE7"/>
    <w:rsid w:val="00B60E3A"/>
    <w:rsid w:val="00B61109"/>
    <w:rsid w:val="00B61244"/>
    <w:rsid w:val="00B6186D"/>
    <w:rsid w:val="00B61C6E"/>
    <w:rsid w:val="00B62338"/>
    <w:rsid w:val="00B6236A"/>
    <w:rsid w:val="00B6273C"/>
    <w:rsid w:val="00B62885"/>
    <w:rsid w:val="00B628F2"/>
    <w:rsid w:val="00B62C5F"/>
    <w:rsid w:val="00B62D87"/>
    <w:rsid w:val="00B62FDB"/>
    <w:rsid w:val="00B63099"/>
    <w:rsid w:val="00B63125"/>
    <w:rsid w:val="00B64208"/>
    <w:rsid w:val="00B6461D"/>
    <w:rsid w:val="00B64AFF"/>
    <w:rsid w:val="00B6506D"/>
    <w:rsid w:val="00B6598D"/>
    <w:rsid w:val="00B65C91"/>
    <w:rsid w:val="00B6687F"/>
    <w:rsid w:val="00B66D53"/>
    <w:rsid w:val="00B67768"/>
    <w:rsid w:val="00B67995"/>
    <w:rsid w:val="00B701D2"/>
    <w:rsid w:val="00B708D2"/>
    <w:rsid w:val="00B70FAF"/>
    <w:rsid w:val="00B7164A"/>
    <w:rsid w:val="00B71AF2"/>
    <w:rsid w:val="00B71BE3"/>
    <w:rsid w:val="00B729BF"/>
    <w:rsid w:val="00B73A0A"/>
    <w:rsid w:val="00B73F42"/>
    <w:rsid w:val="00B73FEE"/>
    <w:rsid w:val="00B74585"/>
    <w:rsid w:val="00B745FC"/>
    <w:rsid w:val="00B75296"/>
    <w:rsid w:val="00B7605B"/>
    <w:rsid w:val="00B7625C"/>
    <w:rsid w:val="00B76690"/>
    <w:rsid w:val="00B769D5"/>
    <w:rsid w:val="00B76D4C"/>
    <w:rsid w:val="00B76E9B"/>
    <w:rsid w:val="00B77901"/>
    <w:rsid w:val="00B779BE"/>
    <w:rsid w:val="00B77A2E"/>
    <w:rsid w:val="00B77D0F"/>
    <w:rsid w:val="00B77EA8"/>
    <w:rsid w:val="00B802BA"/>
    <w:rsid w:val="00B80380"/>
    <w:rsid w:val="00B80615"/>
    <w:rsid w:val="00B80A02"/>
    <w:rsid w:val="00B80DBE"/>
    <w:rsid w:val="00B8158E"/>
    <w:rsid w:val="00B81B9C"/>
    <w:rsid w:val="00B81C3B"/>
    <w:rsid w:val="00B820DF"/>
    <w:rsid w:val="00B82B67"/>
    <w:rsid w:val="00B8310B"/>
    <w:rsid w:val="00B83686"/>
    <w:rsid w:val="00B836C7"/>
    <w:rsid w:val="00B83A45"/>
    <w:rsid w:val="00B83B7C"/>
    <w:rsid w:val="00B84199"/>
    <w:rsid w:val="00B84A1F"/>
    <w:rsid w:val="00B84A70"/>
    <w:rsid w:val="00B84BE6"/>
    <w:rsid w:val="00B853F7"/>
    <w:rsid w:val="00B8546F"/>
    <w:rsid w:val="00B8589D"/>
    <w:rsid w:val="00B85C34"/>
    <w:rsid w:val="00B85E05"/>
    <w:rsid w:val="00B860D1"/>
    <w:rsid w:val="00B86154"/>
    <w:rsid w:val="00B8626B"/>
    <w:rsid w:val="00B876FC"/>
    <w:rsid w:val="00B87CBD"/>
    <w:rsid w:val="00B901EA"/>
    <w:rsid w:val="00B90D9D"/>
    <w:rsid w:val="00B90E61"/>
    <w:rsid w:val="00B91144"/>
    <w:rsid w:val="00B91F3B"/>
    <w:rsid w:val="00B929A5"/>
    <w:rsid w:val="00B939E4"/>
    <w:rsid w:val="00B94004"/>
    <w:rsid w:val="00B94338"/>
    <w:rsid w:val="00B94A6C"/>
    <w:rsid w:val="00B95202"/>
    <w:rsid w:val="00B95BC3"/>
    <w:rsid w:val="00B961FF"/>
    <w:rsid w:val="00B9682D"/>
    <w:rsid w:val="00B96B1E"/>
    <w:rsid w:val="00B96EA4"/>
    <w:rsid w:val="00B97908"/>
    <w:rsid w:val="00B97BDA"/>
    <w:rsid w:val="00BA01E7"/>
    <w:rsid w:val="00BA04E0"/>
    <w:rsid w:val="00BA0B70"/>
    <w:rsid w:val="00BA0BA0"/>
    <w:rsid w:val="00BA0C6E"/>
    <w:rsid w:val="00BA0D5A"/>
    <w:rsid w:val="00BA114B"/>
    <w:rsid w:val="00BA11DB"/>
    <w:rsid w:val="00BA139A"/>
    <w:rsid w:val="00BA1903"/>
    <w:rsid w:val="00BA1B08"/>
    <w:rsid w:val="00BA1F70"/>
    <w:rsid w:val="00BA2757"/>
    <w:rsid w:val="00BA27B5"/>
    <w:rsid w:val="00BA2F9B"/>
    <w:rsid w:val="00BA3BDB"/>
    <w:rsid w:val="00BA44F4"/>
    <w:rsid w:val="00BA525C"/>
    <w:rsid w:val="00BA56FC"/>
    <w:rsid w:val="00BA5CEA"/>
    <w:rsid w:val="00BA65BB"/>
    <w:rsid w:val="00BA6803"/>
    <w:rsid w:val="00BA6FCD"/>
    <w:rsid w:val="00BA7090"/>
    <w:rsid w:val="00BA71BE"/>
    <w:rsid w:val="00BA7D39"/>
    <w:rsid w:val="00BA7D98"/>
    <w:rsid w:val="00BA7E3E"/>
    <w:rsid w:val="00BA7F43"/>
    <w:rsid w:val="00BA7F4A"/>
    <w:rsid w:val="00BA7FA0"/>
    <w:rsid w:val="00BA7FC2"/>
    <w:rsid w:val="00BB03AB"/>
    <w:rsid w:val="00BB06EB"/>
    <w:rsid w:val="00BB0764"/>
    <w:rsid w:val="00BB096E"/>
    <w:rsid w:val="00BB0B60"/>
    <w:rsid w:val="00BB0D70"/>
    <w:rsid w:val="00BB0FF7"/>
    <w:rsid w:val="00BB1194"/>
    <w:rsid w:val="00BB190C"/>
    <w:rsid w:val="00BB26C8"/>
    <w:rsid w:val="00BB3430"/>
    <w:rsid w:val="00BB36AF"/>
    <w:rsid w:val="00BB3DEA"/>
    <w:rsid w:val="00BB424B"/>
    <w:rsid w:val="00BB526A"/>
    <w:rsid w:val="00BB651B"/>
    <w:rsid w:val="00BB6603"/>
    <w:rsid w:val="00BB6B69"/>
    <w:rsid w:val="00BB6D68"/>
    <w:rsid w:val="00BB72F9"/>
    <w:rsid w:val="00BB73E3"/>
    <w:rsid w:val="00BB75F7"/>
    <w:rsid w:val="00BB76B4"/>
    <w:rsid w:val="00BB78BE"/>
    <w:rsid w:val="00BB7F5F"/>
    <w:rsid w:val="00BC016A"/>
    <w:rsid w:val="00BC0DBB"/>
    <w:rsid w:val="00BC1104"/>
    <w:rsid w:val="00BC1A82"/>
    <w:rsid w:val="00BC30B4"/>
    <w:rsid w:val="00BC3525"/>
    <w:rsid w:val="00BC3543"/>
    <w:rsid w:val="00BC401C"/>
    <w:rsid w:val="00BC464C"/>
    <w:rsid w:val="00BC4E82"/>
    <w:rsid w:val="00BC5292"/>
    <w:rsid w:val="00BC5BDB"/>
    <w:rsid w:val="00BC5EB7"/>
    <w:rsid w:val="00BC63D1"/>
    <w:rsid w:val="00BC6688"/>
    <w:rsid w:val="00BC6747"/>
    <w:rsid w:val="00BC73E3"/>
    <w:rsid w:val="00BC73F9"/>
    <w:rsid w:val="00BC7A6C"/>
    <w:rsid w:val="00BD0073"/>
    <w:rsid w:val="00BD03F4"/>
    <w:rsid w:val="00BD11D6"/>
    <w:rsid w:val="00BD1A2D"/>
    <w:rsid w:val="00BD21F9"/>
    <w:rsid w:val="00BD2492"/>
    <w:rsid w:val="00BD282F"/>
    <w:rsid w:val="00BD2A92"/>
    <w:rsid w:val="00BD326D"/>
    <w:rsid w:val="00BD3CC2"/>
    <w:rsid w:val="00BD3E68"/>
    <w:rsid w:val="00BD3E9B"/>
    <w:rsid w:val="00BD3F01"/>
    <w:rsid w:val="00BD431A"/>
    <w:rsid w:val="00BD4428"/>
    <w:rsid w:val="00BD4DCB"/>
    <w:rsid w:val="00BD5AD4"/>
    <w:rsid w:val="00BD63B4"/>
    <w:rsid w:val="00BD6A49"/>
    <w:rsid w:val="00BD7FE1"/>
    <w:rsid w:val="00BE0153"/>
    <w:rsid w:val="00BE094E"/>
    <w:rsid w:val="00BE0A74"/>
    <w:rsid w:val="00BE11E5"/>
    <w:rsid w:val="00BE1282"/>
    <w:rsid w:val="00BE1508"/>
    <w:rsid w:val="00BE19B9"/>
    <w:rsid w:val="00BE1E0E"/>
    <w:rsid w:val="00BE21A0"/>
    <w:rsid w:val="00BE2478"/>
    <w:rsid w:val="00BE2631"/>
    <w:rsid w:val="00BE2642"/>
    <w:rsid w:val="00BE3933"/>
    <w:rsid w:val="00BE3CFB"/>
    <w:rsid w:val="00BE4BAD"/>
    <w:rsid w:val="00BE4C70"/>
    <w:rsid w:val="00BE56BD"/>
    <w:rsid w:val="00BE5A1D"/>
    <w:rsid w:val="00BE5C6C"/>
    <w:rsid w:val="00BE5E40"/>
    <w:rsid w:val="00BE6645"/>
    <w:rsid w:val="00BE71BE"/>
    <w:rsid w:val="00BF0F55"/>
    <w:rsid w:val="00BF265D"/>
    <w:rsid w:val="00BF3313"/>
    <w:rsid w:val="00BF44F4"/>
    <w:rsid w:val="00BF49B8"/>
    <w:rsid w:val="00BF5018"/>
    <w:rsid w:val="00BF592B"/>
    <w:rsid w:val="00BF5ABA"/>
    <w:rsid w:val="00BF72E2"/>
    <w:rsid w:val="00BF757B"/>
    <w:rsid w:val="00BF762C"/>
    <w:rsid w:val="00BF7BB9"/>
    <w:rsid w:val="00C00431"/>
    <w:rsid w:val="00C00592"/>
    <w:rsid w:val="00C008FD"/>
    <w:rsid w:val="00C00947"/>
    <w:rsid w:val="00C00E65"/>
    <w:rsid w:val="00C02295"/>
    <w:rsid w:val="00C02810"/>
    <w:rsid w:val="00C029A8"/>
    <w:rsid w:val="00C03058"/>
    <w:rsid w:val="00C05696"/>
    <w:rsid w:val="00C05782"/>
    <w:rsid w:val="00C05B7D"/>
    <w:rsid w:val="00C061E2"/>
    <w:rsid w:val="00C0623A"/>
    <w:rsid w:val="00C06AAF"/>
    <w:rsid w:val="00C06E7C"/>
    <w:rsid w:val="00C0727E"/>
    <w:rsid w:val="00C07808"/>
    <w:rsid w:val="00C07A03"/>
    <w:rsid w:val="00C07CA5"/>
    <w:rsid w:val="00C10BE0"/>
    <w:rsid w:val="00C10EB1"/>
    <w:rsid w:val="00C1105A"/>
    <w:rsid w:val="00C11275"/>
    <w:rsid w:val="00C11693"/>
    <w:rsid w:val="00C11D65"/>
    <w:rsid w:val="00C12003"/>
    <w:rsid w:val="00C1218F"/>
    <w:rsid w:val="00C12232"/>
    <w:rsid w:val="00C130C6"/>
    <w:rsid w:val="00C13AC6"/>
    <w:rsid w:val="00C13C26"/>
    <w:rsid w:val="00C13FFB"/>
    <w:rsid w:val="00C14B5C"/>
    <w:rsid w:val="00C14E3D"/>
    <w:rsid w:val="00C1573A"/>
    <w:rsid w:val="00C15BE5"/>
    <w:rsid w:val="00C1685C"/>
    <w:rsid w:val="00C169C7"/>
    <w:rsid w:val="00C16E67"/>
    <w:rsid w:val="00C17BB2"/>
    <w:rsid w:val="00C2063F"/>
    <w:rsid w:val="00C20688"/>
    <w:rsid w:val="00C20723"/>
    <w:rsid w:val="00C21FF1"/>
    <w:rsid w:val="00C227A8"/>
    <w:rsid w:val="00C22C47"/>
    <w:rsid w:val="00C238EC"/>
    <w:rsid w:val="00C23C53"/>
    <w:rsid w:val="00C23DE6"/>
    <w:rsid w:val="00C23FD7"/>
    <w:rsid w:val="00C2483F"/>
    <w:rsid w:val="00C24895"/>
    <w:rsid w:val="00C250E7"/>
    <w:rsid w:val="00C25675"/>
    <w:rsid w:val="00C2572E"/>
    <w:rsid w:val="00C25FA2"/>
    <w:rsid w:val="00C2603C"/>
    <w:rsid w:val="00C26274"/>
    <w:rsid w:val="00C26C96"/>
    <w:rsid w:val="00C26D3A"/>
    <w:rsid w:val="00C27D8A"/>
    <w:rsid w:val="00C27DF0"/>
    <w:rsid w:val="00C307BC"/>
    <w:rsid w:val="00C31269"/>
    <w:rsid w:val="00C312C9"/>
    <w:rsid w:val="00C31E3C"/>
    <w:rsid w:val="00C32638"/>
    <w:rsid w:val="00C327EF"/>
    <w:rsid w:val="00C32B38"/>
    <w:rsid w:val="00C33375"/>
    <w:rsid w:val="00C33A34"/>
    <w:rsid w:val="00C33F8B"/>
    <w:rsid w:val="00C3431F"/>
    <w:rsid w:val="00C344F5"/>
    <w:rsid w:val="00C349F1"/>
    <w:rsid w:val="00C34B16"/>
    <w:rsid w:val="00C35276"/>
    <w:rsid w:val="00C352E1"/>
    <w:rsid w:val="00C353C6"/>
    <w:rsid w:val="00C35A7E"/>
    <w:rsid w:val="00C36326"/>
    <w:rsid w:val="00C363D4"/>
    <w:rsid w:val="00C364C5"/>
    <w:rsid w:val="00C365B7"/>
    <w:rsid w:val="00C369E9"/>
    <w:rsid w:val="00C36D9A"/>
    <w:rsid w:val="00C3737C"/>
    <w:rsid w:val="00C37CAA"/>
    <w:rsid w:val="00C407AC"/>
    <w:rsid w:val="00C408DA"/>
    <w:rsid w:val="00C408E5"/>
    <w:rsid w:val="00C40EB4"/>
    <w:rsid w:val="00C417F3"/>
    <w:rsid w:val="00C424E5"/>
    <w:rsid w:val="00C42A77"/>
    <w:rsid w:val="00C42D35"/>
    <w:rsid w:val="00C42EBD"/>
    <w:rsid w:val="00C42FA3"/>
    <w:rsid w:val="00C430DD"/>
    <w:rsid w:val="00C433D4"/>
    <w:rsid w:val="00C43541"/>
    <w:rsid w:val="00C436B3"/>
    <w:rsid w:val="00C43C59"/>
    <w:rsid w:val="00C43D53"/>
    <w:rsid w:val="00C44149"/>
    <w:rsid w:val="00C4448A"/>
    <w:rsid w:val="00C449DB"/>
    <w:rsid w:val="00C44C28"/>
    <w:rsid w:val="00C4695E"/>
    <w:rsid w:val="00C47CEC"/>
    <w:rsid w:val="00C47CF7"/>
    <w:rsid w:val="00C47E3C"/>
    <w:rsid w:val="00C50108"/>
    <w:rsid w:val="00C501E9"/>
    <w:rsid w:val="00C506E3"/>
    <w:rsid w:val="00C50717"/>
    <w:rsid w:val="00C510E6"/>
    <w:rsid w:val="00C51860"/>
    <w:rsid w:val="00C51A4D"/>
    <w:rsid w:val="00C51DDD"/>
    <w:rsid w:val="00C521B8"/>
    <w:rsid w:val="00C52C3E"/>
    <w:rsid w:val="00C5314E"/>
    <w:rsid w:val="00C5338E"/>
    <w:rsid w:val="00C53DA5"/>
    <w:rsid w:val="00C544E4"/>
    <w:rsid w:val="00C546CB"/>
    <w:rsid w:val="00C55489"/>
    <w:rsid w:val="00C55E0E"/>
    <w:rsid w:val="00C56072"/>
    <w:rsid w:val="00C56462"/>
    <w:rsid w:val="00C56768"/>
    <w:rsid w:val="00C56A70"/>
    <w:rsid w:val="00C600CF"/>
    <w:rsid w:val="00C60175"/>
    <w:rsid w:val="00C605A6"/>
    <w:rsid w:val="00C605CB"/>
    <w:rsid w:val="00C6086D"/>
    <w:rsid w:val="00C60E60"/>
    <w:rsid w:val="00C6162C"/>
    <w:rsid w:val="00C61722"/>
    <w:rsid w:val="00C61FEC"/>
    <w:rsid w:val="00C623A8"/>
    <w:rsid w:val="00C624FD"/>
    <w:rsid w:val="00C62B88"/>
    <w:rsid w:val="00C63A2B"/>
    <w:rsid w:val="00C645D7"/>
    <w:rsid w:val="00C6462E"/>
    <w:rsid w:val="00C64674"/>
    <w:rsid w:val="00C648FC"/>
    <w:rsid w:val="00C64E9E"/>
    <w:rsid w:val="00C65207"/>
    <w:rsid w:val="00C65410"/>
    <w:rsid w:val="00C66831"/>
    <w:rsid w:val="00C67261"/>
    <w:rsid w:val="00C6759F"/>
    <w:rsid w:val="00C67A29"/>
    <w:rsid w:val="00C67E5C"/>
    <w:rsid w:val="00C701E9"/>
    <w:rsid w:val="00C704BA"/>
    <w:rsid w:val="00C71DDA"/>
    <w:rsid w:val="00C72362"/>
    <w:rsid w:val="00C7284F"/>
    <w:rsid w:val="00C73258"/>
    <w:rsid w:val="00C7332A"/>
    <w:rsid w:val="00C73E1E"/>
    <w:rsid w:val="00C74283"/>
    <w:rsid w:val="00C7499D"/>
    <w:rsid w:val="00C75F96"/>
    <w:rsid w:val="00C76C53"/>
    <w:rsid w:val="00C7778B"/>
    <w:rsid w:val="00C77C4B"/>
    <w:rsid w:val="00C80C14"/>
    <w:rsid w:val="00C810EF"/>
    <w:rsid w:val="00C813ED"/>
    <w:rsid w:val="00C820F7"/>
    <w:rsid w:val="00C823C0"/>
    <w:rsid w:val="00C829C9"/>
    <w:rsid w:val="00C82F48"/>
    <w:rsid w:val="00C836E3"/>
    <w:rsid w:val="00C846A7"/>
    <w:rsid w:val="00C849FF"/>
    <w:rsid w:val="00C84BF5"/>
    <w:rsid w:val="00C85122"/>
    <w:rsid w:val="00C8527B"/>
    <w:rsid w:val="00C8750D"/>
    <w:rsid w:val="00C9001D"/>
    <w:rsid w:val="00C9059C"/>
    <w:rsid w:val="00C90B80"/>
    <w:rsid w:val="00C90C0B"/>
    <w:rsid w:val="00C910D2"/>
    <w:rsid w:val="00C910E5"/>
    <w:rsid w:val="00C914AE"/>
    <w:rsid w:val="00C9166F"/>
    <w:rsid w:val="00C91A19"/>
    <w:rsid w:val="00C91CC6"/>
    <w:rsid w:val="00C9311A"/>
    <w:rsid w:val="00C934C4"/>
    <w:rsid w:val="00C9451E"/>
    <w:rsid w:val="00C94D3E"/>
    <w:rsid w:val="00C95117"/>
    <w:rsid w:val="00C9522D"/>
    <w:rsid w:val="00C95A0F"/>
    <w:rsid w:val="00C95F80"/>
    <w:rsid w:val="00C97369"/>
    <w:rsid w:val="00C979D9"/>
    <w:rsid w:val="00C97D8B"/>
    <w:rsid w:val="00C97D90"/>
    <w:rsid w:val="00CA0B3A"/>
    <w:rsid w:val="00CA13C7"/>
    <w:rsid w:val="00CA153A"/>
    <w:rsid w:val="00CA1C18"/>
    <w:rsid w:val="00CA2213"/>
    <w:rsid w:val="00CA2B14"/>
    <w:rsid w:val="00CA2D19"/>
    <w:rsid w:val="00CA3352"/>
    <w:rsid w:val="00CA342C"/>
    <w:rsid w:val="00CA3C56"/>
    <w:rsid w:val="00CA4652"/>
    <w:rsid w:val="00CA5812"/>
    <w:rsid w:val="00CA6738"/>
    <w:rsid w:val="00CA6957"/>
    <w:rsid w:val="00CA69CA"/>
    <w:rsid w:val="00CA6C1F"/>
    <w:rsid w:val="00CA6EB5"/>
    <w:rsid w:val="00CA6F4D"/>
    <w:rsid w:val="00CA713C"/>
    <w:rsid w:val="00CA7210"/>
    <w:rsid w:val="00CA73B3"/>
    <w:rsid w:val="00CA74FE"/>
    <w:rsid w:val="00CA78A5"/>
    <w:rsid w:val="00CB0674"/>
    <w:rsid w:val="00CB0BDD"/>
    <w:rsid w:val="00CB1D05"/>
    <w:rsid w:val="00CB1DF5"/>
    <w:rsid w:val="00CB1FCE"/>
    <w:rsid w:val="00CB20C6"/>
    <w:rsid w:val="00CB25CC"/>
    <w:rsid w:val="00CB282B"/>
    <w:rsid w:val="00CB2AA4"/>
    <w:rsid w:val="00CB2D78"/>
    <w:rsid w:val="00CB55A1"/>
    <w:rsid w:val="00CB6694"/>
    <w:rsid w:val="00CB7CFC"/>
    <w:rsid w:val="00CC04DC"/>
    <w:rsid w:val="00CC0692"/>
    <w:rsid w:val="00CC109B"/>
    <w:rsid w:val="00CC1C14"/>
    <w:rsid w:val="00CC1FE2"/>
    <w:rsid w:val="00CC2829"/>
    <w:rsid w:val="00CC29F6"/>
    <w:rsid w:val="00CC378A"/>
    <w:rsid w:val="00CC4637"/>
    <w:rsid w:val="00CC4A11"/>
    <w:rsid w:val="00CC4AB8"/>
    <w:rsid w:val="00CC4B19"/>
    <w:rsid w:val="00CC5055"/>
    <w:rsid w:val="00CC55EC"/>
    <w:rsid w:val="00CC5BAA"/>
    <w:rsid w:val="00CC5C8B"/>
    <w:rsid w:val="00CC602D"/>
    <w:rsid w:val="00CC63A8"/>
    <w:rsid w:val="00CC702F"/>
    <w:rsid w:val="00CC7555"/>
    <w:rsid w:val="00CC763C"/>
    <w:rsid w:val="00CC7861"/>
    <w:rsid w:val="00CC7888"/>
    <w:rsid w:val="00CC7A64"/>
    <w:rsid w:val="00CC7ED4"/>
    <w:rsid w:val="00CD035B"/>
    <w:rsid w:val="00CD041E"/>
    <w:rsid w:val="00CD05E5"/>
    <w:rsid w:val="00CD07E3"/>
    <w:rsid w:val="00CD09CD"/>
    <w:rsid w:val="00CD0A48"/>
    <w:rsid w:val="00CD14D7"/>
    <w:rsid w:val="00CD1A44"/>
    <w:rsid w:val="00CD1BA0"/>
    <w:rsid w:val="00CD2224"/>
    <w:rsid w:val="00CD22A9"/>
    <w:rsid w:val="00CD251C"/>
    <w:rsid w:val="00CD4104"/>
    <w:rsid w:val="00CD4816"/>
    <w:rsid w:val="00CD49A7"/>
    <w:rsid w:val="00CD49CC"/>
    <w:rsid w:val="00CD514A"/>
    <w:rsid w:val="00CD549A"/>
    <w:rsid w:val="00CD580A"/>
    <w:rsid w:val="00CD5E37"/>
    <w:rsid w:val="00CD6213"/>
    <w:rsid w:val="00CD66A8"/>
    <w:rsid w:val="00CD68DA"/>
    <w:rsid w:val="00CD7531"/>
    <w:rsid w:val="00CD787A"/>
    <w:rsid w:val="00CE00B6"/>
    <w:rsid w:val="00CE03A2"/>
    <w:rsid w:val="00CE0412"/>
    <w:rsid w:val="00CE089D"/>
    <w:rsid w:val="00CE0A0F"/>
    <w:rsid w:val="00CE18C9"/>
    <w:rsid w:val="00CE1ADC"/>
    <w:rsid w:val="00CE2E94"/>
    <w:rsid w:val="00CE3327"/>
    <w:rsid w:val="00CE39B2"/>
    <w:rsid w:val="00CE45C5"/>
    <w:rsid w:val="00CE4997"/>
    <w:rsid w:val="00CE4A26"/>
    <w:rsid w:val="00CE4C45"/>
    <w:rsid w:val="00CE4FD9"/>
    <w:rsid w:val="00CE663E"/>
    <w:rsid w:val="00CE796C"/>
    <w:rsid w:val="00CF0368"/>
    <w:rsid w:val="00CF0D94"/>
    <w:rsid w:val="00CF144E"/>
    <w:rsid w:val="00CF1E92"/>
    <w:rsid w:val="00CF2203"/>
    <w:rsid w:val="00CF2743"/>
    <w:rsid w:val="00CF2AE3"/>
    <w:rsid w:val="00CF3E76"/>
    <w:rsid w:val="00CF40A0"/>
    <w:rsid w:val="00CF41B2"/>
    <w:rsid w:val="00CF4B13"/>
    <w:rsid w:val="00CF4CE3"/>
    <w:rsid w:val="00CF4D9A"/>
    <w:rsid w:val="00CF518B"/>
    <w:rsid w:val="00CF5C4F"/>
    <w:rsid w:val="00CF5D1F"/>
    <w:rsid w:val="00CF5F95"/>
    <w:rsid w:val="00CF6293"/>
    <w:rsid w:val="00CF6BDD"/>
    <w:rsid w:val="00CF714F"/>
    <w:rsid w:val="00CF79FB"/>
    <w:rsid w:val="00D006F1"/>
    <w:rsid w:val="00D010D1"/>
    <w:rsid w:val="00D01DCB"/>
    <w:rsid w:val="00D02196"/>
    <w:rsid w:val="00D0221E"/>
    <w:rsid w:val="00D0398D"/>
    <w:rsid w:val="00D039CB"/>
    <w:rsid w:val="00D039E8"/>
    <w:rsid w:val="00D0411D"/>
    <w:rsid w:val="00D0468A"/>
    <w:rsid w:val="00D04E27"/>
    <w:rsid w:val="00D04FF4"/>
    <w:rsid w:val="00D05609"/>
    <w:rsid w:val="00D07688"/>
    <w:rsid w:val="00D078D1"/>
    <w:rsid w:val="00D10081"/>
    <w:rsid w:val="00D1086E"/>
    <w:rsid w:val="00D10A7C"/>
    <w:rsid w:val="00D10C06"/>
    <w:rsid w:val="00D10E67"/>
    <w:rsid w:val="00D11445"/>
    <w:rsid w:val="00D114D5"/>
    <w:rsid w:val="00D1155B"/>
    <w:rsid w:val="00D115EF"/>
    <w:rsid w:val="00D1184C"/>
    <w:rsid w:val="00D11A6A"/>
    <w:rsid w:val="00D130B9"/>
    <w:rsid w:val="00D13165"/>
    <w:rsid w:val="00D13600"/>
    <w:rsid w:val="00D1399F"/>
    <w:rsid w:val="00D143E9"/>
    <w:rsid w:val="00D14478"/>
    <w:rsid w:val="00D1489B"/>
    <w:rsid w:val="00D14C9A"/>
    <w:rsid w:val="00D155DB"/>
    <w:rsid w:val="00D15661"/>
    <w:rsid w:val="00D169FC"/>
    <w:rsid w:val="00D16A8F"/>
    <w:rsid w:val="00D171F5"/>
    <w:rsid w:val="00D174CA"/>
    <w:rsid w:val="00D17924"/>
    <w:rsid w:val="00D1798E"/>
    <w:rsid w:val="00D17BB5"/>
    <w:rsid w:val="00D200EA"/>
    <w:rsid w:val="00D20926"/>
    <w:rsid w:val="00D22082"/>
    <w:rsid w:val="00D2245F"/>
    <w:rsid w:val="00D224B8"/>
    <w:rsid w:val="00D22BE1"/>
    <w:rsid w:val="00D22FB2"/>
    <w:rsid w:val="00D233CF"/>
    <w:rsid w:val="00D237EF"/>
    <w:rsid w:val="00D2448F"/>
    <w:rsid w:val="00D24B60"/>
    <w:rsid w:val="00D24D56"/>
    <w:rsid w:val="00D2544E"/>
    <w:rsid w:val="00D25AE3"/>
    <w:rsid w:val="00D261A9"/>
    <w:rsid w:val="00D263CF"/>
    <w:rsid w:val="00D266C1"/>
    <w:rsid w:val="00D26719"/>
    <w:rsid w:val="00D26D00"/>
    <w:rsid w:val="00D26DD0"/>
    <w:rsid w:val="00D27246"/>
    <w:rsid w:val="00D2787A"/>
    <w:rsid w:val="00D27B00"/>
    <w:rsid w:val="00D307CF"/>
    <w:rsid w:val="00D309F3"/>
    <w:rsid w:val="00D30FBC"/>
    <w:rsid w:val="00D312DA"/>
    <w:rsid w:val="00D31BA3"/>
    <w:rsid w:val="00D31FAD"/>
    <w:rsid w:val="00D32579"/>
    <w:rsid w:val="00D32882"/>
    <w:rsid w:val="00D32CB9"/>
    <w:rsid w:val="00D32F51"/>
    <w:rsid w:val="00D33BBC"/>
    <w:rsid w:val="00D33E9E"/>
    <w:rsid w:val="00D34E4B"/>
    <w:rsid w:val="00D3510B"/>
    <w:rsid w:val="00D35753"/>
    <w:rsid w:val="00D364D9"/>
    <w:rsid w:val="00D36AA6"/>
    <w:rsid w:val="00D36B23"/>
    <w:rsid w:val="00D370BE"/>
    <w:rsid w:val="00D4011E"/>
    <w:rsid w:val="00D40389"/>
    <w:rsid w:val="00D40576"/>
    <w:rsid w:val="00D40ADF"/>
    <w:rsid w:val="00D41484"/>
    <w:rsid w:val="00D41970"/>
    <w:rsid w:val="00D41C72"/>
    <w:rsid w:val="00D423FD"/>
    <w:rsid w:val="00D42F38"/>
    <w:rsid w:val="00D437AF"/>
    <w:rsid w:val="00D439CE"/>
    <w:rsid w:val="00D448D6"/>
    <w:rsid w:val="00D45152"/>
    <w:rsid w:val="00D453D8"/>
    <w:rsid w:val="00D4562C"/>
    <w:rsid w:val="00D45745"/>
    <w:rsid w:val="00D4674E"/>
    <w:rsid w:val="00D467E9"/>
    <w:rsid w:val="00D46FBE"/>
    <w:rsid w:val="00D4707D"/>
    <w:rsid w:val="00D471D1"/>
    <w:rsid w:val="00D47D42"/>
    <w:rsid w:val="00D50164"/>
    <w:rsid w:val="00D50961"/>
    <w:rsid w:val="00D50979"/>
    <w:rsid w:val="00D50F6D"/>
    <w:rsid w:val="00D511A9"/>
    <w:rsid w:val="00D522B0"/>
    <w:rsid w:val="00D529BC"/>
    <w:rsid w:val="00D5412A"/>
    <w:rsid w:val="00D541D8"/>
    <w:rsid w:val="00D5433F"/>
    <w:rsid w:val="00D546B6"/>
    <w:rsid w:val="00D553AB"/>
    <w:rsid w:val="00D55C19"/>
    <w:rsid w:val="00D5660C"/>
    <w:rsid w:val="00D5665D"/>
    <w:rsid w:val="00D56F6B"/>
    <w:rsid w:val="00D57056"/>
    <w:rsid w:val="00D57DFD"/>
    <w:rsid w:val="00D57ED1"/>
    <w:rsid w:val="00D605D5"/>
    <w:rsid w:val="00D60B6A"/>
    <w:rsid w:val="00D613E9"/>
    <w:rsid w:val="00D61587"/>
    <w:rsid w:val="00D6181B"/>
    <w:rsid w:val="00D6191E"/>
    <w:rsid w:val="00D619E0"/>
    <w:rsid w:val="00D6256F"/>
    <w:rsid w:val="00D62765"/>
    <w:rsid w:val="00D627BA"/>
    <w:rsid w:val="00D62885"/>
    <w:rsid w:val="00D63845"/>
    <w:rsid w:val="00D64B9D"/>
    <w:rsid w:val="00D654C2"/>
    <w:rsid w:val="00D65906"/>
    <w:rsid w:val="00D66AC3"/>
    <w:rsid w:val="00D66C6E"/>
    <w:rsid w:val="00D66E23"/>
    <w:rsid w:val="00D67135"/>
    <w:rsid w:val="00D674B3"/>
    <w:rsid w:val="00D67690"/>
    <w:rsid w:val="00D67DDD"/>
    <w:rsid w:val="00D67E18"/>
    <w:rsid w:val="00D7042C"/>
    <w:rsid w:val="00D718D7"/>
    <w:rsid w:val="00D71F61"/>
    <w:rsid w:val="00D71FCA"/>
    <w:rsid w:val="00D72386"/>
    <w:rsid w:val="00D723FF"/>
    <w:rsid w:val="00D729DE"/>
    <w:rsid w:val="00D72B1C"/>
    <w:rsid w:val="00D73642"/>
    <w:rsid w:val="00D748E8"/>
    <w:rsid w:val="00D74D51"/>
    <w:rsid w:val="00D76244"/>
    <w:rsid w:val="00D76459"/>
    <w:rsid w:val="00D7646A"/>
    <w:rsid w:val="00D76632"/>
    <w:rsid w:val="00D76846"/>
    <w:rsid w:val="00D77187"/>
    <w:rsid w:val="00D7742B"/>
    <w:rsid w:val="00D77A3F"/>
    <w:rsid w:val="00D80322"/>
    <w:rsid w:val="00D80402"/>
    <w:rsid w:val="00D80497"/>
    <w:rsid w:val="00D80747"/>
    <w:rsid w:val="00D80BD4"/>
    <w:rsid w:val="00D80DF9"/>
    <w:rsid w:val="00D80E38"/>
    <w:rsid w:val="00D81410"/>
    <w:rsid w:val="00D81798"/>
    <w:rsid w:val="00D827BC"/>
    <w:rsid w:val="00D82DB5"/>
    <w:rsid w:val="00D830AD"/>
    <w:rsid w:val="00D83120"/>
    <w:rsid w:val="00D8388E"/>
    <w:rsid w:val="00D83B44"/>
    <w:rsid w:val="00D8411B"/>
    <w:rsid w:val="00D8431B"/>
    <w:rsid w:val="00D84692"/>
    <w:rsid w:val="00D84734"/>
    <w:rsid w:val="00D84D5C"/>
    <w:rsid w:val="00D8519D"/>
    <w:rsid w:val="00D864F3"/>
    <w:rsid w:val="00D877A2"/>
    <w:rsid w:val="00D877EA"/>
    <w:rsid w:val="00D87E91"/>
    <w:rsid w:val="00D90177"/>
    <w:rsid w:val="00D9182D"/>
    <w:rsid w:val="00D91B6C"/>
    <w:rsid w:val="00D91F2B"/>
    <w:rsid w:val="00D922A4"/>
    <w:rsid w:val="00D9267C"/>
    <w:rsid w:val="00D92910"/>
    <w:rsid w:val="00D92DB2"/>
    <w:rsid w:val="00D92E2F"/>
    <w:rsid w:val="00D935CB"/>
    <w:rsid w:val="00D93B21"/>
    <w:rsid w:val="00D93E41"/>
    <w:rsid w:val="00D93F34"/>
    <w:rsid w:val="00D943A1"/>
    <w:rsid w:val="00D94E20"/>
    <w:rsid w:val="00D952BB"/>
    <w:rsid w:val="00D952C3"/>
    <w:rsid w:val="00D95C4B"/>
    <w:rsid w:val="00D96112"/>
    <w:rsid w:val="00D97287"/>
    <w:rsid w:val="00D97403"/>
    <w:rsid w:val="00D97F4A"/>
    <w:rsid w:val="00DA02F3"/>
    <w:rsid w:val="00DA04ED"/>
    <w:rsid w:val="00DA0BE9"/>
    <w:rsid w:val="00DA1883"/>
    <w:rsid w:val="00DA2048"/>
    <w:rsid w:val="00DA2377"/>
    <w:rsid w:val="00DA2FF5"/>
    <w:rsid w:val="00DA30A1"/>
    <w:rsid w:val="00DA39CA"/>
    <w:rsid w:val="00DA3B04"/>
    <w:rsid w:val="00DA3EE5"/>
    <w:rsid w:val="00DA40F6"/>
    <w:rsid w:val="00DA42E0"/>
    <w:rsid w:val="00DA439D"/>
    <w:rsid w:val="00DA468E"/>
    <w:rsid w:val="00DA4E71"/>
    <w:rsid w:val="00DA5CCD"/>
    <w:rsid w:val="00DA5D71"/>
    <w:rsid w:val="00DA655C"/>
    <w:rsid w:val="00DA662F"/>
    <w:rsid w:val="00DA6C28"/>
    <w:rsid w:val="00DA6D3D"/>
    <w:rsid w:val="00DA726B"/>
    <w:rsid w:val="00DA7641"/>
    <w:rsid w:val="00DB050A"/>
    <w:rsid w:val="00DB05E8"/>
    <w:rsid w:val="00DB1132"/>
    <w:rsid w:val="00DB116B"/>
    <w:rsid w:val="00DB1366"/>
    <w:rsid w:val="00DB1529"/>
    <w:rsid w:val="00DB1BE2"/>
    <w:rsid w:val="00DB1DC7"/>
    <w:rsid w:val="00DB1F7F"/>
    <w:rsid w:val="00DB2AC8"/>
    <w:rsid w:val="00DB2ECA"/>
    <w:rsid w:val="00DB30C5"/>
    <w:rsid w:val="00DB37CE"/>
    <w:rsid w:val="00DB3EE1"/>
    <w:rsid w:val="00DB45B9"/>
    <w:rsid w:val="00DB4852"/>
    <w:rsid w:val="00DB4B55"/>
    <w:rsid w:val="00DB589D"/>
    <w:rsid w:val="00DB5E30"/>
    <w:rsid w:val="00DB66AD"/>
    <w:rsid w:val="00DB7595"/>
    <w:rsid w:val="00DB7B88"/>
    <w:rsid w:val="00DC003E"/>
    <w:rsid w:val="00DC04C3"/>
    <w:rsid w:val="00DC1671"/>
    <w:rsid w:val="00DC1947"/>
    <w:rsid w:val="00DC1D1B"/>
    <w:rsid w:val="00DC204C"/>
    <w:rsid w:val="00DC2395"/>
    <w:rsid w:val="00DC32B7"/>
    <w:rsid w:val="00DC32D8"/>
    <w:rsid w:val="00DC3B6A"/>
    <w:rsid w:val="00DC3F3C"/>
    <w:rsid w:val="00DC4588"/>
    <w:rsid w:val="00DC4A95"/>
    <w:rsid w:val="00DC4D85"/>
    <w:rsid w:val="00DC548D"/>
    <w:rsid w:val="00DC55AF"/>
    <w:rsid w:val="00DC574C"/>
    <w:rsid w:val="00DC5DFD"/>
    <w:rsid w:val="00DC5FAD"/>
    <w:rsid w:val="00DC6426"/>
    <w:rsid w:val="00DC66B6"/>
    <w:rsid w:val="00DC6D35"/>
    <w:rsid w:val="00DC77FF"/>
    <w:rsid w:val="00DC7973"/>
    <w:rsid w:val="00DC7DC2"/>
    <w:rsid w:val="00DD0827"/>
    <w:rsid w:val="00DD0861"/>
    <w:rsid w:val="00DD0B6C"/>
    <w:rsid w:val="00DD1F3A"/>
    <w:rsid w:val="00DD2859"/>
    <w:rsid w:val="00DD28EC"/>
    <w:rsid w:val="00DD2F2C"/>
    <w:rsid w:val="00DD30D7"/>
    <w:rsid w:val="00DD3128"/>
    <w:rsid w:val="00DD326A"/>
    <w:rsid w:val="00DD41C6"/>
    <w:rsid w:val="00DD46E4"/>
    <w:rsid w:val="00DD4FAC"/>
    <w:rsid w:val="00DD57AE"/>
    <w:rsid w:val="00DD5CE6"/>
    <w:rsid w:val="00DD5DB1"/>
    <w:rsid w:val="00DD644D"/>
    <w:rsid w:val="00DD6E07"/>
    <w:rsid w:val="00DD74BC"/>
    <w:rsid w:val="00DE06AB"/>
    <w:rsid w:val="00DE1085"/>
    <w:rsid w:val="00DE1C85"/>
    <w:rsid w:val="00DE1CC3"/>
    <w:rsid w:val="00DE1F14"/>
    <w:rsid w:val="00DE1F99"/>
    <w:rsid w:val="00DE21C3"/>
    <w:rsid w:val="00DE23F4"/>
    <w:rsid w:val="00DE2E91"/>
    <w:rsid w:val="00DE35C7"/>
    <w:rsid w:val="00DE3A26"/>
    <w:rsid w:val="00DE3ACA"/>
    <w:rsid w:val="00DE5755"/>
    <w:rsid w:val="00DE5A70"/>
    <w:rsid w:val="00DE5AC8"/>
    <w:rsid w:val="00DE6588"/>
    <w:rsid w:val="00DE67F9"/>
    <w:rsid w:val="00DE6B37"/>
    <w:rsid w:val="00DE7377"/>
    <w:rsid w:val="00DE77C1"/>
    <w:rsid w:val="00DE7A9D"/>
    <w:rsid w:val="00DE7D62"/>
    <w:rsid w:val="00DE7DB8"/>
    <w:rsid w:val="00DF03EF"/>
    <w:rsid w:val="00DF077B"/>
    <w:rsid w:val="00DF09CA"/>
    <w:rsid w:val="00DF2075"/>
    <w:rsid w:val="00DF223E"/>
    <w:rsid w:val="00DF23D1"/>
    <w:rsid w:val="00DF276E"/>
    <w:rsid w:val="00DF2B53"/>
    <w:rsid w:val="00DF3CCC"/>
    <w:rsid w:val="00DF500C"/>
    <w:rsid w:val="00DF51CD"/>
    <w:rsid w:val="00DF62B9"/>
    <w:rsid w:val="00DF631F"/>
    <w:rsid w:val="00DF67AB"/>
    <w:rsid w:val="00DF7368"/>
    <w:rsid w:val="00DF7F91"/>
    <w:rsid w:val="00E005A2"/>
    <w:rsid w:val="00E00CA6"/>
    <w:rsid w:val="00E0143E"/>
    <w:rsid w:val="00E02168"/>
    <w:rsid w:val="00E026F7"/>
    <w:rsid w:val="00E027F4"/>
    <w:rsid w:val="00E02985"/>
    <w:rsid w:val="00E02E09"/>
    <w:rsid w:val="00E02E9C"/>
    <w:rsid w:val="00E0302C"/>
    <w:rsid w:val="00E03535"/>
    <w:rsid w:val="00E0367D"/>
    <w:rsid w:val="00E04FED"/>
    <w:rsid w:val="00E06553"/>
    <w:rsid w:val="00E07651"/>
    <w:rsid w:val="00E077B7"/>
    <w:rsid w:val="00E10AF8"/>
    <w:rsid w:val="00E111AD"/>
    <w:rsid w:val="00E11733"/>
    <w:rsid w:val="00E121A7"/>
    <w:rsid w:val="00E128FA"/>
    <w:rsid w:val="00E132A6"/>
    <w:rsid w:val="00E13B04"/>
    <w:rsid w:val="00E1424C"/>
    <w:rsid w:val="00E144B4"/>
    <w:rsid w:val="00E14A5C"/>
    <w:rsid w:val="00E14C0D"/>
    <w:rsid w:val="00E14E49"/>
    <w:rsid w:val="00E15109"/>
    <w:rsid w:val="00E15AFA"/>
    <w:rsid w:val="00E15B97"/>
    <w:rsid w:val="00E1641C"/>
    <w:rsid w:val="00E16424"/>
    <w:rsid w:val="00E16473"/>
    <w:rsid w:val="00E164C5"/>
    <w:rsid w:val="00E16AC8"/>
    <w:rsid w:val="00E16E80"/>
    <w:rsid w:val="00E173CE"/>
    <w:rsid w:val="00E2038C"/>
    <w:rsid w:val="00E204C0"/>
    <w:rsid w:val="00E20AE0"/>
    <w:rsid w:val="00E20C1C"/>
    <w:rsid w:val="00E2115F"/>
    <w:rsid w:val="00E212B8"/>
    <w:rsid w:val="00E21AF3"/>
    <w:rsid w:val="00E21CEF"/>
    <w:rsid w:val="00E221D5"/>
    <w:rsid w:val="00E22432"/>
    <w:rsid w:val="00E225C5"/>
    <w:rsid w:val="00E22F44"/>
    <w:rsid w:val="00E23A44"/>
    <w:rsid w:val="00E23B6E"/>
    <w:rsid w:val="00E23C3D"/>
    <w:rsid w:val="00E24548"/>
    <w:rsid w:val="00E2457A"/>
    <w:rsid w:val="00E2503E"/>
    <w:rsid w:val="00E25603"/>
    <w:rsid w:val="00E2576B"/>
    <w:rsid w:val="00E25778"/>
    <w:rsid w:val="00E257C2"/>
    <w:rsid w:val="00E26672"/>
    <w:rsid w:val="00E268BE"/>
    <w:rsid w:val="00E26ACD"/>
    <w:rsid w:val="00E26B45"/>
    <w:rsid w:val="00E2703F"/>
    <w:rsid w:val="00E27128"/>
    <w:rsid w:val="00E276F5"/>
    <w:rsid w:val="00E27F00"/>
    <w:rsid w:val="00E27F47"/>
    <w:rsid w:val="00E303B1"/>
    <w:rsid w:val="00E30577"/>
    <w:rsid w:val="00E3088F"/>
    <w:rsid w:val="00E30A5A"/>
    <w:rsid w:val="00E30FED"/>
    <w:rsid w:val="00E31868"/>
    <w:rsid w:val="00E31A09"/>
    <w:rsid w:val="00E31F07"/>
    <w:rsid w:val="00E3205E"/>
    <w:rsid w:val="00E32BB8"/>
    <w:rsid w:val="00E32FED"/>
    <w:rsid w:val="00E33363"/>
    <w:rsid w:val="00E338D0"/>
    <w:rsid w:val="00E339A5"/>
    <w:rsid w:val="00E33B52"/>
    <w:rsid w:val="00E34386"/>
    <w:rsid w:val="00E3475A"/>
    <w:rsid w:val="00E34844"/>
    <w:rsid w:val="00E348ED"/>
    <w:rsid w:val="00E35984"/>
    <w:rsid w:val="00E35B1D"/>
    <w:rsid w:val="00E35F1B"/>
    <w:rsid w:val="00E362F9"/>
    <w:rsid w:val="00E36616"/>
    <w:rsid w:val="00E3687B"/>
    <w:rsid w:val="00E37416"/>
    <w:rsid w:val="00E375F6"/>
    <w:rsid w:val="00E3781E"/>
    <w:rsid w:val="00E402F3"/>
    <w:rsid w:val="00E403C0"/>
    <w:rsid w:val="00E40DE8"/>
    <w:rsid w:val="00E41A18"/>
    <w:rsid w:val="00E42100"/>
    <w:rsid w:val="00E42216"/>
    <w:rsid w:val="00E43137"/>
    <w:rsid w:val="00E43314"/>
    <w:rsid w:val="00E4367E"/>
    <w:rsid w:val="00E439F2"/>
    <w:rsid w:val="00E44082"/>
    <w:rsid w:val="00E446E1"/>
    <w:rsid w:val="00E44B20"/>
    <w:rsid w:val="00E45236"/>
    <w:rsid w:val="00E4552E"/>
    <w:rsid w:val="00E45650"/>
    <w:rsid w:val="00E45B53"/>
    <w:rsid w:val="00E46F89"/>
    <w:rsid w:val="00E4730E"/>
    <w:rsid w:val="00E47BD5"/>
    <w:rsid w:val="00E50551"/>
    <w:rsid w:val="00E50642"/>
    <w:rsid w:val="00E50E35"/>
    <w:rsid w:val="00E512F7"/>
    <w:rsid w:val="00E51470"/>
    <w:rsid w:val="00E524EE"/>
    <w:rsid w:val="00E5261A"/>
    <w:rsid w:val="00E52C31"/>
    <w:rsid w:val="00E530F2"/>
    <w:rsid w:val="00E5317D"/>
    <w:rsid w:val="00E533DD"/>
    <w:rsid w:val="00E5357E"/>
    <w:rsid w:val="00E53C53"/>
    <w:rsid w:val="00E54012"/>
    <w:rsid w:val="00E54739"/>
    <w:rsid w:val="00E54A99"/>
    <w:rsid w:val="00E54D38"/>
    <w:rsid w:val="00E55EA6"/>
    <w:rsid w:val="00E5647B"/>
    <w:rsid w:val="00E5657D"/>
    <w:rsid w:val="00E56B05"/>
    <w:rsid w:val="00E56D4E"/>
    <w:rsid w:val="00E574DB"/>
    <w:rsid w:val="00E603AF"/>
    <w:rsid w:val="00E6098C"/>
    <w:rsid w:val="00E60ECD"/>
    <w:rsid w:val="00E61256"/>
    <w:rsid w:val="00E6242D"/>
    <w:rsid w:val="00E626FC"/>
    <w:rsid w:val="00E630BC"/>
    <w:rsid w:val="00E6355C"/>
    <w:rsid w:val="00E63942"/>
    <w:rsid w:val="00E64804"/>
    <w:rsid w:val="00E64AE1"/>
    <w:rsid w:val="00E64C3F"/>
    <w:rsid w:val="00E64DDD"/>
    <w:rsid w:val="00E65E27"/>
    <w:rsid w:val="00E65E73"/>
    <w:rsid w:val="00E65EAA"/>
    <w:rsid w:val="00E66449"/>
    <w:rsid w:val="00E666DC"/>
    <w:rsid w:val="00E666E2"/>
    <w:rsid w:val="00E6673B"/>
    <w:rsid w:val="00E66871"/>
    <w:rsid w:val="00E669D6"/>
    <w:rsid w:val="00E66A55"/>
    <w:rsid w:val="00E66B9E"/>
    <w:rsid w:val="00E672CB"/>
    <w:rsid w:val="00E677A9"/>
    <w:rsid w:val="00E67C3F"/>
    <w:rsid w:val="00E70402"/>
    <w:rsid w:val="00E70410"/>
    <w:rsid w:val="00E706D9"/>
    <w:rsid w:val="00E719D3"/>
    <w:rsid w:val="00E71AD5"/>
    <w:rsid w:val="00E72393"/>
    <w:rsid w:val="00E723F7"/>
    <w:rsid w:val="00E72515"/>
    <w:rsid w:val="00E725DF"/>
    <w:rsid w:val="00E73819"/>
    <w:rsid w:val="00E74069"/>
    <w:rsid w:val="00E750A7"/>
    <w:rsid w:val="00E755E0"/>
    <w:rsid w:val="00E75C09"/>
    <w:rsid w:val="00E7612C"/>
    <w:rsid w:val="00E761E8"/>
    <w:rsid w:val="00E77E98"/>
    <w:rsid w:val="00E8056D"/>
    <w:rsid w:val="00E80671"/>
    <w:rsid w:val="00E81057"/>
    <w:rsid w:val="00E8138F"/>
    <w:rsid w:val="00E81877"/>
    <w:rsid w:val="00E81BD7"/>
    <w:rsid w:val="00E81EB2"/>
    <w:rsid w:val="00E845CF"/>
    <w:rsid w:val="00E84857"/>
    <w:rsid w:val="00E849B4"/>
    <w:rsid w:val="00E84C62"/>
    <w:rsid w:val="00E858C4"/>
    <w:rsid w:val="00E85CB2"/>
    <w:rsid w:val="00E86341"/>
    <w:rsid w:val="00E90024"/>
    <w:rsid w:val="00E905C0"/>
    <w:rsid w:val="00E90B80"/>
    <w:rsid w:val="00E90F90"/>
    <w:rsid w:val="00E91086"/>
    <w:rsid w:val="00E92265"/>
    <w:rsid w:val="00E92686"/>
    <w:rsid w:val="00E92831"/>
    <w:rsid w:val="00E92ED7"/>
    <w:rsid w:val="00E93951"/>
    <w:rsid w:val="00E93CEB"/>
    <w:rsid w:val="00E94A52"/>
    <w:rsid w:val="00E94BAF"/>
    <w:rsid w:val="00E94CFB"/>
    <w:rsid w:val="00E9543F"/>
    <w:rsid w:val="00E95F77"/>
    <w:rsid w:val="00E960B5"/>
    <w:rsid w:val="00E96570"/>
    <w:rsid w:val="00E96680"/>
    <w:rsid w:val="00E97548"/>
    <w:rsid w:val="00E978F2"/>
    <w:rsid w:val="00E97A63"/>
    <w:rsid w:val="00E97C58"/>
    <w:rsid w:val="00E97C63"/>
    <w:rsid w:val="00EA02F5"/>
    <w:rsid w:val="00EA03F1"/>
    <w:rsid w:val="00EA0660"/>
    <w:rsid w:val="00EA0AC1"/>
    <w:rsid w:val="00EA0DD4"/>
    <w:rsid w:val="00EA1A7E"/>
    <w:rsid w:val="00EA23CB"/>
    <w:rsid w:val="00EA25D4"/>
    <w:rsid w:val="00EA3BA9"/>
    <w:rsid w:val="00EA3F04"/>
    <w:rsid w:val="00EA3F9D"/>
    <w:rsid w:val="00EA4399"/>
    <w:rsid w:val="00EA498A"/>
    <w:rsid w:val="00EA4A47"/>
    <w:rsid w:val="00EA4BC8"/>
    <w:rsid w:val="00EA4EC3"/>
    <w:rsid w:val="00EA5038"/>
    <w:rsid w:val="00EA509D"/>
    <w:rsid w:val="00EA5324"/>
    <w:rsid w:val="00EA5901"/>
    <w:rsid w:val="00EA5CE1"/>
    <w:rsid w:val="00EA6075"/>
    <w:rsid w:val="00EA6164"/>
    <w:rsid w:val="00EA61D6"/>
    <w:rsid w:val="00EA6A35"/>
    <w:rsid w:val="00EA6BF9"/>
    <w:rsid w:val="00EA6DC6"/>
    <w:rsid w:val="00EA765D"/>
    <w:rsid w:val="00EA7947"/>
    <w:rsid w:val="00EA7D9E"/>
    <w:rsid w:val="00EB1446"/>
    <w:rsid w:val="00EB1CB8"/>
    <w:rsid w:val="00EB22D7"/>
    <w:rsid w:val="00EB24EF"/>
    <w:rsid w:val="00EB2DF0"/>
    <w:rsid w:val="00EB3417"/>
    <w:rsid w:val="00EB34AD"/>
    <w:rsid w:val="00EB37C3"/>
    <w:rsid w:val="00EB3D38"/>
    <w:rsid w:val="00EB420C"/>
    <w:rsid w:val="00EB4A9E"/>
    <w:rsid w:val="00EB5C96"/>
    <w:rsid w:val="00EB617B"/>
    <w:rsid w:val="00EB61BF"/>
    <w:rsid w:val="00EB6897"/>
    <w:rsid w:val="00EB77EB"/>
    <w:rsid w:val="00EB7D89"/>
    <w:rsid w:val="00EC00D8"/>
    <w:rsid w:val="00EC0351"/>
    <w:rsid w:val="00EC0387"/>
    <w:rsid w:val="00EC0B02"/>
    <w:rsid w:val="00EC13D8"/>
    <w:rsid w:val="00EC170C"/>
    <w:rsid w:val="00EC1B1D"/>
    <w:rsid w:val="00EC1DC1"/>
    <w:rsid w:val="00EC1E67"/>
    <w:rsid w:val="00EC4315"/>
    <w:rsid w:val="00EC51DD"/>
    <w:rsid w:val="00EC5337"/>
    <w:rsid w:val="00EC5556"/>
    <w:rsid w:val="00EC55FF"/>
    <w:rsid w:val="00EC58D7"/>
    <w:rsid w:val="00EC6D3E"/>
    <w:rsid w:val="00EC6D81"/>
    <w:rsid w:val="00EC6F0C"/>
    <w:rsid w:val="00EC72C7"/>
    <w:rsid w:val="00EC73B8"/>
    <w:rsid w:val="00ED0ED2"/>
    <w:rsid w:val="00ED10B6"/>
    <w:rsid w:val="00ED1198"/>
    <w:rsid w:val="00ED1448"/>
    <w:rsid w:val="00ED270B"/>
    <w:rsid w:val="00ED3567"/>
    <w:rsid w:val="00ED3A6E"/>
    <w:rsid w:val="00ED3AB7"/>
    <w:rsid w:val="00ED3E7C"/>
    <w:rsid w:val="00ED4B02"/>
    <w:rsid w:val="00ED4C56"/>
    <w:rsid w:val="00ED4EE8"/>
    <w:rsid w:val="00ED4F19"/>
    <w:rsid w:val="00ED5789"/>
    <w:rsid w:val="00ED57F3"/>
    <w:rsid w:val="00ED58EA"/>
    <w:rsid w:val="00ED5AD1"/>
    <w:rsid w:val="00ED6363"/>
    <w:rsid w:val="00ED66D8"/>
    <w:rsid w:val="00ED6A9E"/>
    <w:rsid w:val="00ED73EB"/>
    <w:rsid w:val="00ED7561"/>
    <w:rsid w:val="00ED7901"/>
    <w:rsid w:val="00EE061C"/>
    <w:rsid w:val="00EE0D9C"/>
    <w:rsid w:val="00EE0F8B"/>
    <w:rsid w:val="00EE2284"/>
    <w:rsid w:val="00EE24C7"/>
    <w:rsid w:val="00EE264F"/>
    <w:rsid w:val="00EE276A"/>
    <w:rsid w:val="00EE2EE0"/>
    <w:rsid w:val="00EE36C5"/>
    <w:rsid w:val="00EE3B37"/>
    <w:rsid w:val="00EE47A9"/>
    <w:rsid w:val="00EE522A"/>
    <w:rsid w:val="00EE5377"/>
    <w:rsid w:val="00EE5629"/>
    <w:rsid w:val="00EE59F0"/>
    <w:rsid w:val="00EE5D1C"/>
    <w:rsid w:val="00EE5ECD"/>
    <w:rsid w:val="00EE6C73"/>
    <w:rsid w:val="00EE73A3"/>
    <w:rsid w:val="00EE7F4F"/>
    <w:rsid w:val="00EF0136"/>
    <w:rsid w:val="00EF21B7"/>
    <w:rsid w:val="00EF325E"/>
    <w:rsid w:val="00EF352D"/>
    <w:rsid w:val="00EF3FB6"/>
    <w:rsid w:val="00EF42C3"/>
    <w:rsid w:val="00EF4309"/>
    <w:rsid w:val="00EF4320"/>
    <w:rsid w:val="00EF52ED"/>
    <w:rsid w:val="00EF539C"/>
    <w:rsid w:val="00EF5998"/>
    <w:rsid w:val="00EF5B95"/>
    <w:rsid w:val="00EF5C76"/>
    <w:rsid w:val="00EF5ECA"/>
    <w:rsid w:val="00EF607E"/>
    <w:rsid w:val="00EF6D7A"/>
    <w:rsid w:val="00EF72BC"/>
    <w:rsid w:val="00EF78EE"/>
    <w:rsid w:val="00F00DD2"/>
    <w:rsid w:val="00F01120"/>
    <w:rsid w:val="00F024D4"/>
    <w:rsid w:val="00F02545"/>
    <w:rsid w:val="00F0274D"/>
    <w:rsid w:val="00F029FD"/>
    <w:rsid w:val="00F03198"/>
    <w:rsid w:val="00F033FE"/>
    <w:rsid w:val="00F03522"/>
    <w:rsid w:val="00F0371A"/>
    <w:rsid w:val="00F03742"/>
    <w:rsid w:val="00F03973"/>
    <w:rsid w:val="00F03C64"/>
    <w:rsid w:val="00F04513"/>
    <w:rsid w:val="00F045EA"/>
    <w:rsid w:val="00F04879"/>
    <w:rsid w:val="00F055A8"/>
    <w:rsid w:val="00F05851"/>
    <w:rsid w:val="00F05A27"/>
    <w:rsid w:val="00F062A9"/>
    <w:rsid w:val="00F0657A"/>
    <w:rsid w:val="00F06770"/>
    <w:rsid w:val="00F07033"/>
    <w:rsid w:val="00F07260"/>
    <w:rsid w:val="00F073F7"/>
    <w:rsid w:val="00F074B7"/>
    <w:rsid w:val="00F0766A"/>
    <w:rsid w:val="00F10344"/>
    <w:rsid w:val="00F108E2"/>
    <w:rsid w:val="00F115F8"/>
    <w:rsid w:val="00F12A14"/>
    <w:rsid w:val="00F1308D"/>
    <w:rsid w:val="00F13477"/>
    <w:rsid w:val="00F13553"/>
    <w:rsid w:val="00F13571"/>
    <w:rsid w:val="00F139ED"/>
    <w:rsid w:val="00F13FC6"/>
    <w:rsid w:val="00F152F7"/>
    <w:rsid w:val="00F15529"/>
    <w:rsid w:val="00F15F0C"/>
    <w:rsid w:val="00F16E9D"/>
    <w:rsid w:val="00F17150"/>
    <w:rsid w:val="00F17A05"/>
    <w:rsid w:val="00F20357"/>
    <w:rsid w:val="00F206FA"/>
    <w:rsid w:val="00F21AA2"/>
    <w:rsid w:val="00F21DA6"/>
    <w:rsid w:val="00F22853"/>
    <w:rsid w:val="00F23234"/>
    <w:rsid w:val="00F2332B"/>
    <w:rsid w:val="00F233A6"/>
    <w:rsid w:val="00F23608"/>
    <w:rsid w:val="00F23C2E"/>
    <w:rsid w:val="00F23FCB"/>
    <w:rsid w:val="00F25480"/>
    <w:rsid w:val="00F25A34"/>
    <w:rsid w:val="00F25ABE"/>
    <w:rsid w:val="00F25C14"/>
    <w:rsid w:val="00F260A2"/>
    <w:rsid w:val="00F26E46"/>
    <w:rsid w:val="00F27AD9"/>
    <w:rsid w:val="00F27FBE"/>
    <w:rsid w:val="00F30696"/>
    <w:rsid w:val="00F30DCF"/>
    <w:rsid w:val="00F30F9F"/>
    <w:rsid w:val="00F3140B"/>
    <w:rsid w:val="00F31B2B"/>
    <w:rsid w:val="00F3254A"/>
    <w:rsid w:val="00F32F1B"/>
    <w:rsid w:val="00F331F8"/>
    <w:rsid w:val="00F33AC8"/>
    <w:rsid w:val="00F33B2B"/>
    <w:rsid w:val="00F34618"/>
    <w:rsid w:val="00F3462F"/>
    <w:rsid w:val="00F35AB8"/>
    <w:rsid w:val="00F35ECB"/>
    <w:rsid w:val="00F3656C"/>
    <w:rsid w:val="00F36A19"/>
    <w:rsid w:val="00F36BBC"/>
    <w:rsid w:val="00F400E7"/>
    <w:rsid w:val="00F40783"/>
    <w:rsid w:val="00F4098C"/>
    <w:rsid w:val="00F40D06"/>
    <w:rsid w:val="00F4125B"/>
    <w:rsid w:val="00F41371"/>
    <w:rsid w:val="00F41565"/>
    <w:rsid w:val="00F422DD"/>
    <w:rsid w:val="00F42604"/>
    <w:rsid w:val="00F4263A"/>
    <w:rsid w:val="00F42F84"/>
    <w:rsid w:val="00F43470"/>
    <w:rsid w:val="00F43925"/>
    <w:rsid w:val="00F43CFA"/>
    <w:rsid w:val="00F43F0B"/>
    <w:rsid w:val="00F443B2"/>
    <w:rsid w:val="00F4443B"/>
    <w:rsid w:val="00F4476A"/>
    <w:rsid w:val="00F447D5"/>
    <w:rsid w:val="00F4493A"/>
    <w:rsid w:val="00F44E06"/>
    <w:rsid w:val="00F4557B"/>
    <w:rsid w:val="00F45AFA"/>
    <w:rsid w:val="00F45DBA"/>
    <w:rsid w:val="00F45DD2"/>
    <w:rsid w:val="00F45E89"/>
    <w:rsid w:val="00F46002"/>
    <w:rsid w:val="00F46591"/>
    <w:rsid w:val="00F468F9"/>
    <w:rsid w:val="00F46A68"/>
    <w:rsid w:val="00F46BBD"/>
    <w:rsid w:val="00F46DC6"/>
    <w:rsid w:val="00F46F9A"/>
    <w:rsid w:val="00F474F2"/>
    <w:rsid w:val="00F47869"/>
    <w:rsid w:val="00F47F2C"/>
    <w:rsid w:val="00F50291"/>
    <w:rsid w:val="00F503C5"/>
    <w:rsid w:val="00F5047E"/>
    <w:rsid w:val="00F507E9"/>
    <w:rsid w:val="00F5129C"/>
    <w:rsid w:val="00F52BCD"/>
    <w:rsid w:val="00F52E05"/>
    <w:rsid w:val="00F5314E"/>
    <w:rsid w:val="00F54255"/>
    <w:rsid w:val="00F547FB"/>
    <w:rsid w:val="00F54A9C"/>
    <w:rsid w:val="00F55194"/>
    <w:rsid w:val="00F551BF"/>
    <w:rsid w:val="00F55E05"/>
    <w:rsid w:val="00F56110"/>
    <w:rsid w:val="00F56D5C"/>
    <w:rsid w:val="00F571D3"/>
    <w:rsid w:val="00F57793"/>
    <w:rsid w:val="00F57954"/>
    <w:rsid w:val="00F60022"/>
    <w:rsid w:val="00F60DED"/>
    <w:rsid w:val="00F6146E"/>
    <w:rsid w:val="00F6199A"/>
    <w:rsid w:val="00F61AFE"/>
    <w:rsid w:val="00F61E7C"/>
    <w:rsid w:val="00F61F65"/>
    <w:rsid w:val="00F62971"/>
    <w:rsid w:val="00F62A6D"/>
    <w:rsid w:val="00F62EB4"/>
    <w:rsid w:val="00F634DA"/>
    <w:rsid w:val="00F64339"/>
    <w:rsid w:val="00F64ACC"/>
    <w:rsid w:val="00F65E33"/>
    <w:rsid w:val="00F66B48"/>
    <w:rsid w:val="00F670A2"/>
    <w:rsid w:val="00F67430"/>
    <w:rsid w:val="00F6781E"/>
    <w:rsid w:val="00F67A7C"/>
    <w:rsid w:val="00F67C67"/>
    <w:rsid w:val="00F70797"/>
    <w:rsid w:val="00F70F70"/>
    <w:rsid w:val="00F7162E"/>
    <w:rsid w:val="00F7187E"/>
    <w:rsid w:val="00F71D07"/>
    <w:rsid w:val="00F72047"/>
    <w:rsid w:val="00F72294"/>
    <w:rsid w:val="00F72427"/>
    <w:rsid w:val="00F72A29"/>
    <w:rsid w:val="00F73145"/>
    <w:rsid w:val="00F73C66"/>
    <w:rsid w:val="00F74886"/>
    <w:rsid w:val="00F748AB"/>
    <w:rsid w:val="00F74AC0"/>
    <w:rsid w:val="00F7531F"/>
    <w:rsid w:val="00F75D96"/>
    <w:rsid w:val="00F75E7E"/>
    <w:rsid w:val="00F75EFC"/>
    <w:rsid w:val="00F75F59"/>
    <w:rsid w:val="00F760A2"/>
    <w:rsid w:val="00F768D3"/>
    <w:rsid w:val="00F76F77"/>
    <w:rsid w:val="00F76F93"/>
    <w:rsid w:val="00F803EE"/>
    <w:rsid w:val="00F818B6"/>
    <w:rsid w:val="00F81C7C"/>
    <w:rsid w:val="00F81D1B"/>
    <w:rsid w:val="00F81D66"/>
    <w:rsid w:val="00F828B2"/>
    <w:rsid w:val="00F82D95"/>
    <w:rsid w:val="00F82F16"/>
    <w:rsid w:val="00F84355"/>
    <w:rsid w:val="00F84743"/>
    <w:rsid w:val="00F8483C"/>
    <w:rsid w:val="00F853B3"/>
    <w:rsid w:val="00F85764"/>
    <w:rsid w:val="00F85DD0"/>
    <w:rsid w:val="00F86197"/>
    <w:rsid w:val="00F86400"/>
    <w:rsid w:val="00F868D9"/>
    <w:rsid w:val="00F86910"/>
    <w:rsid w:val="00F86B3B"/>
    <w:rsid w:val="00F86D29"/>
    <w:rsid w:val="00F86F64"/>
    <w:rsid w:val="00F870AE"/>
    <w:rsid w:val="00F9059E"/>
    <w:rsid w:val="00F90A10"/>
    <w:rsid w:val="00F90C0A"/>
    <w:rsid w:val="00F9164C"/>
    <w:rsid w:val="00F916E4"/>
    <w:rsid w:val="00F9173D"/>
    <w:rsid w:val="00F91B6C"/>
    <w:rsid w:val="00F92526"/>
    <w:rsid w:val="00F9286D"/>
    <w:rsid w:val="00F92944"/>
    <w:rsid w:val="00F9384C"/>
    <w:rsid w:val="00F93DEA"/>
    <w:rsid w:val="00F94AFD"/>
    <w:rsid w:val="00F94B44"/>
    <w:rsid w:val="00F94B8E"/>
    <w:rsid w:val="00F952DB"/>
    <w:rsid w:val="00F95985"/>
    <w:rsid w:val="00F9615A"/>
    <w:rsid w:val="00F96529"/>
    <w:rsid w:val="00F966E7"/>
    <w:rsid w:val="00F96E17"/>
    <w:rsid w:val="00F9788D"/>
    <w:rsid w:val="00F97890"/>
    <w:rsid w:val="00F978C1"/>
    <w:rsid w:val="00F97A84"/>
    <w:rsid w:val="00F97E18"/>
    <w:rsid w:val="00FA07B7"/>
    <w:rsid w:val="00FA0947"/>
    <w:rsid w:val="00FA0C5D"/>
    <w:rsid w:val="00FA1F01"/>
    <w:rsid w:val="00FA226B"/>
    <w:rsid w:val="00FA23A8"/>
    <w:rsid w:val="00FA277B"/>
    <w:rsid w:val="00FA2F2C"/>
    <w:rsid w:val="00FA3844"/>
    <w:rsid w:val="00FA3C1E"/>
    <w:rsid w:val="00FA3F81"/>
    <w:rsid w:val="00FA4B56"/>
    <w:rsid w:val="00FA545E"/>
    <w:rsid w:val="00FA5772"/>
    <w:rsid w:val="00FA579C"/>
    <w:rsid w:val="00FA5DAC"/>
    <w:rsid w:val="00FA7157"/>
    <w:rsid w:val="00FA73AF"/>
    <w:rsid w:val="00FA7FC6"/>
    <w:rsid w:val="00FA7FF9"/>
    <w:rsid w:val="00FB05FD"/>
    <w:rsid w:val="00FB14A6"/>
    <w:rsid w:val="00FB20C7"/>
    <w:rsid w:val="00FB228D"/>
    <w:rsid w:val="00FB2DA1"/>
    <w:rsid w:val="00FB304B"/>
    <w:rsid w:val="00FB320C"/>
    <w:rsid w:val="00FB34DA"/>
    <w:rsid w:val="00FB3500"/>
    <w:rsid w:val="00FB3957"/>
    <w:rsid w:val="00FB3D2A"/>
    <w:rsid w:val="00FB499C"/>
    <w:rsid w:val="00FB4A70"/>
    <w:rsid w:val="00FB5187"/>
    <w:rsid w:val="00FB5A34"/>
    <w:rsid w:val="00FB5DD3"/>
    <w:rsid w:val="00FB6348"/>
    <w:rsid w:val="00FB6364"/>
    <w:rsid w:val="00FB6616"/>
    <w:rsid w:val="00FB677A"/>
    <w:rsid w:val="00FB75EB"/>
    <w:rsid w:val="00FB7908"/>
    <w:rsid w:val="00FB7A17"/>
    <w:rsid w:val="00FB7B4A"/>
    <w:rsid w:val="00FB7CCC"/>
    <w:rsid w:val="00FC00C8"/>
    <w:rsid w:val="00FC0AA7"/>
    <w:rsid w:val="00FC1A7A"/>
    <w:rsid w:val="00FC1C4E"/>
    <w:rsid w:val="00FC1F3C"/>
    <w:rsid w:val="00FC2615"/>
    <w:rsid w:val="00FC2AD8"/>
    <w:rsid w:val="00FC2CCF"/>
    <w:rsid w:val="00FC3805"/>
    <w:rsid w:val="00FC3B2C"/>
    <w:rsid w:val="00FC44CF"/>
    <w:rsid w:val="00FC4C41"/>
    <w:rsid w:val="00FC50AB"/>
    <w:rsid w:val="00FC53FE"/>
    <w:rsid w:val="00FC5513"/>
    <w:rsid w:val="00FC5C75"/>
    <w:rsid w:val="00FC7E3B"/>
    <w:rsid w:val="00FD0851"/>
    <w:rsid w:val="00FD17C3"/>
    <w:rsid w:val="00FD1BA0"/>
    <w:rsid w:val="00FD2F63"/>
    <w:rsid w:val="00FD3034"/>
    <w:rsid w:val="00FD3CEC"/>
    <w:rsid w:val="00FD3F9C"/>
    <w:rsid w:val="00FD4032"/>
    <w:rsid w:val="00FD40DD"/>
    <w:rsid w:val="00FD4335"/>
    <w:rsid w:val="00FD4C8F"/>
    <w:rsid w:val="00FD4ECE"/>
    <w:rsid w:val="00FD5136"/>
    <w:rsid w:val="00FD51AE"/>
    <w:rsid w:val="00FD55AC"/>
    <w:rsid w:val="00FD5739"/>
    <w:rsid w:val="00FD6113"/>
    <w:rsid w:val="00FD64F1"/>
    <w:rsid w:val="00FD6A56"/>
    <w:rsid w:val="00FD6E16"/>
    <w:rsid w:val="00FD6F5B"/>
    <w:rsid w:val="00FD74FA"/>
    <w:rsid w:val="00FE01C9"/>
    <w:rsid w:val="00FE02F4"/>
    <w:rsid w:val="00FE18FA"/>
    <w:rsid w:val="00FE1DAE"/>
    <w:rsid w:val="00FE1FED"/>
    <w:rsid w:val="00FE26C9"/>
    <w:rsid w:val="00FE3238"/>
    <w:rsid w:val="00FE3BCA"/>
    <w:rsid w:val="00FE3DA2"/>
    <w:rsid w:val="00FE3FA4"/>
    <w:rsid w:val="00FE48D1"/>
    <w:rsid w:val="00FE5282"/>
    <w:rsid w:val="00FE5396"/>
    <w:rsid w:val="00FE64F8"/>
    <w:rsid w:val="00FE6E11"/>
    <w:rsid w:val="00FE78F5"/>
    <w:rsid w:val="00FF0015"/>
    <w:rsid w:val="00FF05F2"/>
    <w:rsid w:val="00FF0829"/>
    <w:rsid w:val="00FF0DEE"/>
    <w:rsid w:val="00FF129E"/>
    <w:rsid w:val="00FF22B3"/>
    <w:rsid w:val="00FF2BAA"/>
    <w:rsid w:val="00FF2CE4"/>
    <w:rsid w:val="00FF2F49"/>
    <w:rsid w:val="00FF2F87"/>
    <w:rsid w:val="00FF34B1"/>
    <w:rsid w:val="00FF3652"/>
    <w:rsid w:val="00FF3F25"/>
    <w:rsid w:val="00FF443C"/>
    <w:rsid w:val="00FF4B23"/>
    <w:rsid w:val="00FF4C74"/>
    <w:rsid w:val="00FF5FD9"/>
    <w:rsid w:val="00FF6201"/>
    <w:rsid w:val="00FF68F7"/>
    <w:rsid w:val="00FF69A7"/>
    <w:rsid w:val="00FF6A4C"/>
    <w:rsid w:val="00FF6E14"/>
    <w:rsid w:val="00FF7324"/>
    <w:rsid w:val="00FF7466"/>
    <w:rsid w:val="00FF7859"/>
    <w:rsid w:val="00FF7BCA"/>
    <w:rsid w:val="3683CD9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AE4D3"/>
  <w15:chartTrackingRefBased/>
  <w15:docId w15:val="{6C5DC8A2-926E-4CE7-8ED3-47299F6D5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04A2A"/>
  </w:style>
  <w:style w:type="paragraph" w:styleId="Kop1">
    <w:name w:val="heading 1"/>
    <w:basedOn w:val="Standaard"/>
    <w:next w:val="Standaard"/>
    <w:link w:val="Kop1Char"/>
    <w:uiPriority w:val="9"/>
    <w:qFormat/>
    <w:rsid w:val="000559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22B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94B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0E6FA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E1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60D9C"/>
    <w:pPr>
      <w:ind w:left="720"/>
      <w:contextualSpacing/>
    </w:pPr>
  </w:style>
  <w:style w:type="paragraph" w:customStyle="1" w:styleId="Default">
    <w:name w:val="Default"/>
    <w:rsid w:val="003A7C49"/>
    <w:pPr>
      <w:autoSpaceDE w:val="0"/>
      <w:autoSpaceDN w:val="0"/>
      <w:adjustRightInd w:val="0"/>
      <w:spacing w:after="0" w:line="240" w:lineRule="auto"/>
    </w:pPr>
    <w:rPr>
      <w:rFonts w:ascii="Libre Baskerville" w:hAnsi="Libre Baskerville" w:cs="Libre Baskerville"/>
      <w:color w:val="000000"/>
      <w:sz w:val="24"/>
      <w:szCs w:val="24"/>
    </w:rPr>
  </w:style>
  <w:style w:type="character" w:customStyle="1" w:styleId="Kop1Char">
    <w:name w:val="Kop 1 Char"/>
    <w:basedOn w:val="Standaardalinea-lettertype"/>
    <w:link w:val="Kop1"/>
    <w:uiPriority w:val="9"/>
    <w:rsid w:val="0005594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322BCD"/>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E94BAF"/>
    <w:rPr>
      <w:rFonts w:asciiTheme="majorHAnsi" w:eastAsiaTheme="majorEastAsia" w:hAnsiTheme="majorHAnsi" w:cstheme="majorBidi"/>
      <w:color w:val="1F3763" w:themeColor="accent1" w:themeShade="7F"/>
      <w:sz w:val="24"/>
      <w:szCs w:val="24"/>
    </w:rPr>
  </w:style>
  <w:style w:type="character" w:styleId="Verwijzingopmerking">
    <w:name w:val="annotation reference"/>
    <w:basedOn w:val="Standaardalinea-lettertype"/>
    <w:unhideWhenUsed/>
    <w:rsid w:val="0016310B"/>
    <w:rPr>
      <w:sz w:val="16"/>
      <w:szCs w:val="16"/>
    </w:rPr>
  </w:style>
  <w:style w:type="paragraph" w:styleId="Tekstopmerking">
    <w:name w:val="annotation text"/>
    <w:basedOn w:val="Standaard"/>
    <w:link w:val="TekstopmerkingChar"/>
    <w:unhideWhenUsed/>
    <w:rsid w:val="0016310B"/>
    <w:pPr>
      <w:spacing w:line="240" w:lineRule="auto"/>
    </w:pPr>
    <w:rPr>
      <w:sz w:val="20"/>
      <w:szCs w:val="20"/>
    </w:rPr>
  </w:style>
  <w:style w:type="character" w:customStyle="1" w:styleId="TekstopmerkingChar">
    <w:name w:val="Tekst opmerking Char"/>
    <w:basedOn w:val="Standaardalinea-lettertype"/>
    <w:link w:val="Tekstopmerking"/>
    <w:rsid w:val="0016310B"/>
    <w:rPr>
      <w:sz w:val="20"/>
      <w:szCs w:val="20"/>
    </w:rPr>
  </w:style>
  <w:style w:type="paragraph" w:styleId="Onderwerpvanopmerking">
    <w:name w:val="annotation subject"/>
    <w:basedOn w:val="Tekstopmerking"/>
    <w:next w:val="Tekstopmerking"/>
    <w:link w:val="OnderwerpvanopmerkingChar"/>
    <w:uiPriority w:val="99"/>
    <w:semiHidden/>
    <w:unhideWhenUsed/>
    <w:rsid w:val="0016310B"/>
    <w:rPr>
      <w:b/>
      <w:bCs/>
    </w:rPr>
  </w:style>
  <w:style w:type="character" w:customStyle="1" w:styleId="OnderwerpvanopmerkingChar">
    <w:name w:val="Onderwerp van opmerking Char"/>
    <w:basedOn w:val="TekstopmerkingChar"/>
    <w:link w:val="Onderwerpvanopmerking"/>
    <w:uiPriority w:val="99"/>
    <w:semiHidden/>
    <w:rsid w:val="0016310B"/>
    <w:rPr>
      <w:b/>
      <w:bCs/>
      <w:sz w:val="20"/>
      <w:szCs w:val="20"/>
    </w:rPr>
  </w:style>
  <w:style w:type="paragraph" w:styleId="Koptekst">
    <w:name w:val="header"/>
    <w:basedOn w:val="Standaard"/>
    <w:link w:val="KoptekstChar"/>
    <w:uiPriority w:val="99"/>
    <w:unhideWhenUsed/>
    <w:rsid w:val="00E3781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781E"/>
  </w:style>
  <w:style w:type="paragraph" w:styleId="Voettekst">
    <w:name w:val="footer"/>
    <w:basedOn w:val="Standaard"/>
    <w:link w:val="VoettekstChar"/>
    <w:uiPriority w:val="99"/>
    <w:unhideWhenUsed/>
    <w:rsid w:val="00E3781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781E"/>
  </w:style>
  <w:style w:type="paragraph" w:styleId="Voetnoottekst">
    <w:name w:val="footnote text"/>
    <w:basedOn w:val="Standaard"/>
    <w:link w:val="VoetnoottekstChar"/>
    <w:uiPriority w:val="99"/>
    <w:semiHidden/>
    <w:unhideWhenUsed/>
    <w:rsid w:val="00D04FF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04FF4"/>
    <w:rPr>
      <w:sz w:val="20"/>
      <w:szCs w:val="20"/>
    </w:rPr>
  </w:style>
  <w:style w:type="character" w:styleId="Voetnootmarkering">
    <w:name w:val="footnote reference"/>
    <w:basedOn w:val="Standaardalinea-lettertype"/>
    <w:semiHidden/>
    <w:unhideWhenUsed/>
    <w:rsid w:val="00D04FF4"/>
    <w:rPr>
      <w:vertAlign w:val="superscript"/>
    </w:rPr>
  </w:style>
  <w:style w:type="paragraph" w:customStyle="1" w:styleId="Pa8">
    <w:name w:val="Pa8"/>
    <w:basedOn w:val="Default"/>
    <w:next w:val="Default"/>
    <w:uiPriority w:val="99"/>
    <w:rsid w:val="00DE77C1"/>
    <w:pPr>
      <w:spacing w:line="221" w:lineRule="atLeast"/>
    </w:pPr>
    <w:rPr>
      <w:rFonts w:cstheme="minorBidi"/>
      <w:color w:val="auto"/>
    </w:rPr>
  </w:style>
  <w:style w:type="paragraph" w:styleId="Revisie">
    <w:name w:val="Revision"/>
    <w:hidden/>
    <w:uiPriority w:val="99"/>
    <w:semiHidden/>
    <w:rsid w:val="00F447D5"/>
    <w:pPr>
      <w:spacing w:after="0" w:line="240" w:lineRule="auto"/>
    </w:pPr>
  </w:style>
  <w:style w:type="character" w:styleId="Hyperlink">
    <w:name w:val="Hyperlink"/>
    <w:basedOn w:val="Standaardalinea-lettertype"/>
    <w:uiPriority w:val="99"/>
    <w:unhideWhenUsed/>
    <w:rsid w:val="00F447D5"/>
    <w:rPr>
      <w:color w:val="0563C1" w:themeColor="hyperlink"/>
      <w:u w:val="single"/>
    </w:rPr>
  </w:style>
  <w:style w:type="character" w:styleId="Onopgelostemelding">
    <w:name w:val="Unresolved Mention"/>
    <w:basedOn w:val="Standaardalinea-lettertype"/>
    <w:uiPriority w:val="99"/>
    <w:semiHidden/>
    <w:unhideWhenUsed/>
    <w:rsid w:val="00F447D5"/>
    <w:rPr>
      <w:color w:val="605E5C"/>
      <w:shd w:val="clear" w:color="auto" w:fill="E1DFDD"/>
    </w:rPr>
  </w:style>
  <w:style w:type="character" w:styleId="GevolgdeHyperlink">
    <w:name w:val="FollowedHyperlink"/>
    <w:basedOn w:val="Standaardalinea-lettertype"/>
    <w:uiPriority w:val="99"/>
    <w:semiHidden/>
    <w:unhideWhenUsed/>
    <w:rsid w:val="00F447D5"/>
    <w:rPr>
      <w:color w:val="954F72" w:themeColor="followedHyperlink"/>
      <w:u w:val="single"/>
    </w:rPr>
  </w:style>
  <w:style w:type="paragraph" w:styleId="Inhopg1">
    <w:name w:val="toc 1"/>
    <w:basedOn w:val="Standaard"/>
    <w:next w:val="Standaard"/>
    <w:autoRedefine/>
    <w:uiPriority w:val="39"/>
    <w:unhideWhenUsed/>
    <w:rsid w:val="00571670"/>
    <w:pPr>
      <w:tabs>
        <w:tab w:val="left" w:pos="660"/>
        <w:tab w:val="right" w:leader="dot" w:pos="8921"/>
      </w:tabs>
      <w:spacing w:after="100"/>
    </w:pPr>
  </w:style>
  <w:style w:type="paragraph" w:styleId="Inhopg2">
    <w:name w:val="toc 2"/>
    <w:basedOn w:val="Standaard"/>
    <w:next w:val="Standaard"/>
    <w:autoRedefine/>
    <w:uiPriority w:val="39"/>
    <w:unhideWhenUsed/>
    <w:rsid w:val="004A0FD8"/>
    <w:pPr>
      <w:tabs>
        <w:tab w:val="left" w:pos="660"/>
        <w:tab w:val="right" w:leader="dot" w:pos="8921"/>
      </w:tabs>
      <w:spacing w:after="100"/>
      <w:ind w:left="220"/>
    </w:pPr>
  </w:style>
  <w:style w:type="paragraph" w:styleId="Inhopg3">
    <w:name w:val="toc 3"/>
    <w:basedOn w:val="Standaard"/>
    <w:next w:val="Standaard"/>
    <w:autoRedefine/>
    <w:uiPriority w:val="39"/>
    <w:unhideWhenUsed/>
    <w:rsid w:val="00061040"/>
    <w:pPr>
      <w:tabs>
        <w:tab w:val="left" w:pos="880"/>
        <w:tab w:val="right" w:leader="dot" w:pos="8921"/>
      </w:tabs>
      <w:spacing w:after="100"/>
      <w:ind w:left="440"/>
    </w:pPr>
  </w:style>
  <w:style w:type="paragraph" w:styleId="Plattetekst">
    <w:name w:val="Body Text"/>
    <w:basedOn w:val="Standaard"/>
    <w:link w:val="PlattetekstChar"/>
    <w:uiPriority w:val="99"/>
    <w:semiHidden/>
    <w:unhideWhenUsed/>
    <w:rsid w:val="00C2572E"/>
    <w:pPr>
      <w:spacing w:after="120" w:line="256" w:lineRule="auto"/>
    </w:pPr>
  </w:style>
  <w:style w:type="character" w:customStyle="1" w:styleId="PlattetekstChar">
    <w:name w:val="Platte tekst Char"/>
    <w:basedOn w:val="Standaardalinea-lettertype"/>
    <w:link w:val="Plattetekst"/>
    <w:uiPriority w:val="99"/>
    <w:semiHidden/>
    <w:rsid w:val="00C2572E"/>
  </w:style>
  <w:style w:type="paragraph" w:customStyle="1" w:styleId="TableParagraph">
    <w:name w:val="Table Paragraph"/>
    <w:basedOn w:val="Standaard"/>
    <w:uiPriority w:val="1"/>
    <w:qFormat/>
    <w:rsid w:val="00C2572E"/>
    <w:pPr>
      <w:autoSpaceDE w:val="0"/>
      <w:autoSpaceDN w:val="0"/>
      <w:adjustRightInd w:val="0"/>
      <w:spacing w:after="0" w:line="85" w:lineRule="exact"/>
      <w:jc w:val="center"/>
    </w:pPr>
    <w:rPr>
      <w:rFonts w:ascii="Calibri" w:hAnsi="Calibri" w:cs="Calibri"/>
      <w:sz w:val="24"/>
      <w:szCs w:val="24"/>
    </w:rPr>
  </w:style>
  <w:style w:type="character" w:customStyle="1" w:styleId="Kop4Char">
    <w:name w:val="Kop 4 Char"/>
    <w:basedOn w:val="Standaardalinea-lettertype"/>
    <w:link w:val="Kop4"/>
    <w:uiPriority w:val="9"/>
    <w:rsid w:val="000E6FAE"/>
    <w:rPr>
      <w:rFonts w:asciiTheme="majorHAnsi" w:eastAsiaTheme="majorEastAsia" w:hAnsiTheme="majorHAnsi" w:cstheme="majorBidi"/>
      <w:i/>
      <w:iCs/>
      <w:color w:val="2F5496" w:themeColor="accent1" w:themeShade="BF"/>
    </w:rPr>
  </w:style>
  <w:style w:type="paragraph" w:styleId="Inhopg4">
    <w:name w:val="toc 4"/>
    <w:basedOn w:val="Standaard"/>
    <w:next w:val="Standaard"/>
    <w:autoRedefine/>
    <w:uiPriority w:val="39"/>
    <w:unhideWhenUsed/>
    <w:rsid w:val="00FC3805"/>
    <w:pPr>
      <w:spacing w:after="100"/>
      <w:ind w:left="660"/>
    </w:pPr>
    <w:rPr>
      <w:rFonts w:eastAsiaTheme="minorEastAsia"/>
      <w:lang w:eastAsia="nl-BE"/>
    </w:rPr>
  </w:style>
  <w:style w:type="paragraph" w:styleId="Inhopg5">
    <w:name w:val="toc 5"/>
    <w:basedOn w:val="Standaard"/>
    <w:next w:val="Standaard"/>
    <w:autoRedefine/>
    <w:uiPriority w:val="39"/>
    <w:unhideWhenUsed/>
    <w:rsid w:val="00FC3805"/>
    <w:pPr>
      <w:spacing w:after="100"/>
      <w:ind w:left="880"/>
    </w:pPr>
    <w:rPr>
      <w:rFonts w:eastAsiaTheme="minorEastAsia"/>
      <w:lang w:eastAsia="nl-BE"/>
    </w:rPr>
  </w:style>
  <w:style w:type="paragraph" w:styleId="Inhopg6">
    <w:name w:val="toc 6"/>
    <w:basedOn w:val="Standaard"/>
    <w:next w:val="Standaard"/>
    <w:autoRedefine/>
    <w:uiPriority w:val="39"/>
    <w:unhideWhenUsed/>
    <w:rsid w:val="00FC3805"/>
    <w:pPr>
      <w:spacing w:after="100"/>
      <w:ind w:left="1100"/>
    </w:pPr>
    <w:rPr>
      <w:rFonts w:eastAsiaTheme="minorEastAsia"/>
      <w:lang w:eastAsia="nl-BE"/>
    </w:rPr>
  </w:style>
  <w:style w:type="paragraph" w:styleId="Inhopg7">
    <w:name w:val="toc 7"/>
    <w:basedOn w:val="Standaard"/>
    <w:next w:val="Standaard"/>
    <w:autoRedefine/>
    <w:uiPriority w:val="39"/>
    <w:unhideWhenUsed/>
    <w:rsid w:val="00FC3805"/>
    <w:pPr>
      <w:spacing w:after="100"/>
      <w:ind w:left="1320"/>
    </w:pPr>
    <w:rPr>
      <w:rFonts w:eastAsiaTheme="minorEastAsia"/>
      <w:lang w:eastAsia="nl-BE"/>
    </w:rPr>
  </w:style>
  <w:style w:type="paragraph" w:styleId="Inhopg8">
    <w:name w:val="toc 8"/>
    <w:basedOn w:val="Standaard"/>
    <w:next w:val="Standaard"/>
    <w:autoRedefine/>
    <w:uiPriority w:val="39"/>
    <w:unhideWhenUsed/>
    <w:rsid w:val="00FC3805"/>
    <w:pPr>
      <w:spacing w:after="100"/>
      <w:ind w:left="1540"/>
    </w:pPr>
    <w:rPr>
      <w:rFonts w:eastAsiaTheme="minorEastAsia"/>
      <w:lang w:eastAsia="nl-BE"/>
    </w:rPr>
  </w:style>
  <w:style w:type="paragraph" w:styleId="Inhopg9">
    <w:name w:val="toc 9"/>
    <w:basedOn w:val="Standaard"/>
    <w:next w:val="Standaard"/>
    <w:autoRedefine/>
    <w:uiPriority w:val="39"/>
    <w:unhideWhenUsed/>
    <w:rsid w:val="00FC3805"/>
    <w:pPr>
      <w:spacing w:after="100"/>
      <w:ind w:left="1760"/>
    </w:pPr>
    <w:rPr>
      <w:rFonts w:eastAsiaTheme="minorEastAsia"/>
      <w:lang w:eastAsia="nl-BE"/>
    </w:rPr>
  </w:style>
  <w:style w:type="paragraph" w:styleId="Normaalweb">
    <w:name w:val="Normal (Web)"/>
    <w:basedOn w:val="Standaard"/>
    <w:rsid w:val="0005700E"/>
    <w:pPr>
      <w:spacing w:before="100" w:beforeAutospacing="1" w:after="119" w:line="240" w:lineRule="auto"/>
    </w:pPr>
    <w:rPr>
      <w:rFonts w:ascii="Times New Roman" w:eastAsia="Times New Roman" w:hAnsi="Times New Roman" w:cs="Times New Roman"/>
      <w:sz w:val="24"/>
      <w:szCs w:val="24"/>
      <w:lang w:val="nl-NL" w:eastAsia="nl-NL"/>
    </w:rPr>
  </w:style>
  <w:style w:type="table" w:customStyle="1" w:styleId="Tabelraster1">
    <w:name w:val="Tabelraster1"/>
    <w:basedOn w:val="Standaardtabel"/>
    <w:next w:val="Tabelraster"/>
    <w:uiPriority w:val="59"/>
    <w:rsid w:val="00D627BA"/>
    <w:pPr>
      <w:spacing w:after="0" w:line="240" w:lineRule="auto"/>
    </w:pPr>
    <w:rPr>
      <w:rFonts w:eastAsia="Times New Roman"/>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59368">
      <w:bodyDiv w:val="1"/>
      <w:marLeft w:val="0"/>
      <w:marRight w:val="0"/>
      <w:marTop w:val="0"/>
      <w:marBottom w:val="0"/>
      <w:divBdr>
        <w:top w:val="none" w:sz="0" w:space="0" w:color="auto"/>
        <w:left w:val="none" w:sz="0" w:space="0" w:color="auto"/>
        <w:bottom w:val="none" w:sz="0" w:space="0" w:color="auto"/>
        <w:right w:val="none" w:sz="0" w:space="0" w:color="auto"/>
      </w:divBdr>
    </w:div>
    <w:div w:id="244341510">
      <w:bodyDiv w:val="1"/>
      <w:marLeft w:val="0"/>
      <w:marRight w:val="0"/>
      <w:marTop w:val="0"/>
      <w:marBottom w:val="0"/>
      <w:divBdr>
        <w:top w:val="none" w:sz="0" w:space="0" w:color="auto"/>
        <w:left w:val="none" w:sz="0" w:space="0" w:color="auto"/>
        <w:bottom w:val="none" w:sz="0" w:space="0" w:color="auto"/>
        <w:right w:val="none" w:sz="0" w:space="0" w:color="auto"/>
      </w:divBdr>
    </w:div>
    <w:div w:id="882408195">
      <w:bodyDiv w:val="1"/>
      <w:marLeft w:val="0"/>
      <w:marRight w:val="0"/>
      <w:marTop w:val="0"/>
      <w:marBottom w:val="0"/>
      <w:divBdr>
        <w:top w:val="none" w:sz="0" w:space="0" w:color="auto"/>
        <w:left w:val="none" w:sz="0" w:space="0" w:color="auto"/>
        <w:bottom w:val="none" w:sz="0" w:space="0" w:color="auto"/>
        <w:right w:val="none" w:sz="0" w:space="0" w:color="auto"/>
      </w:divBdr>
    </w:div>
    <w:div w:id="892497750">
      <w:bodyDiv w:val="1"/>
      <w:marLeft w:val="0"/>
      <w:marRight w:val="0"/>
      <w:marTop w:val="0"/>
      <w:marBottom w:val="0"/>
      <w:divBdr>
        <w:top w:val="none" w:sz="0" w:space="0" w:color="auto"/>
        <w:left w:val="none" w:sz="0" w:space="0" w:color="auto"/>
        <w:bottom w:val="none" w:sz="0" w:space="0" w:color="auto"/>
        <w:right w:val="none" w:sz="0" w:space="0" w:color="auto"/>
      </w:divBdr>
    </w:div>
    <w:div w:id="955715078">
      <w:bodyDiv w:val="1"/>
      <w:marLeft w:val="0"/>
      <w:marRight w:val="0"/>
      <w:marTop w:val="0"/>
      <w:marBottom w:val="0"/>
      <w:divBdr>
        <w:top w:val="none" w:sz="0" w:space="0" w:color="auto"/>
        <w:left w:val="none" w:sz="0" w:space="0" w:color="auto"/>
        <w:bottom w:val="none" w:sz="0" w:space="0" w:color="auto"/>
        <w:right w:val="none" w:sz="0" w:space="0" w:color="auto"/>
      </w:divBdr>
    </w:div>
    <w:div w:id="1079836762">
      <w:bodyDiv w:val="1"/>
      <w:marLeft w:val="0"/>
      <w:marRight w:val="0"/>
      <w:marTop w:val="0"/>
      <w:marBottom w:val="0"/>
      <w:divBdr>
        <w:top w:val="none" w:sz="0" w:space="0" w:color="auto"/>
        <w:left w:val="none" w:sz="0" w:space="0" w:color="auto"/>
        <w:bottom w:val="none" w:sz="0" w:space="0" w:color="auto"/>
        <w:right w:val="none" w:sz="0" w:space="0" w:color="auto"/>
      </w:divBdr>
    </w:div>
    <w:div w:id="1086652510">
      <w:bodyDiv w:val="1"/>
      <w:marLeft w:val="0"/>
      <w:marRight w:val="0"/>
      <w:marTop w:val="0"/>
      <w:marBottom w:val="0"/>
      <w:divBdr>
        <w:top w:val="none" w:sz="0" w:space="0" w:color="auto"/>
        <w:left w:val="none" w:sz="0" w:space="0" w:color="auto"/>
        <w:bottom w:val="none" w:sz="0" w:space="0" w:color="auto"/>
        <w:right w:val="none" w:sz="0" w:space="0" w:color="auto"/>
      </w:divBdr>
    </w:div>
    <w:div w:id="1091900036">
      <w:bodyDiv w:val="1"/>
      <w:marLeft w:val="0"/>
      <w:marRight w:val="0"/>
      <w:marTop w:val="0"/>
      <w:marBottom w:val="0"/>
      <w:divBdr>
        <w:top w:val="none" w:sz="0" w:space="0" w:color="auto"/>
        <w:left w:val="none" w:sz="0" w:space="0" w:color="auto"/>
        <w:bottom w:val="none" w:sz="0" w:space="0" w:color="auto"/>
        <w:right w:val="none" w:sz="0" w:space="0" w:color="auto"/>
      </w:divBdr>
    </w:div>
    <w:div w:id="1096973647">
      <w:bodyDiv w:val="1"/>
      <w:marLeft w:val="0"/>
      <w:marRight w:val="0"/>
      <w:marTop w:val="0"/>
      <w:marBottom w:val="0"/>
      <w:divBdr>
        <w:top w:val="none" w:sz="0" w:space="0" w:color="auto"/>
        <w:left w:val="none" w:sz="0" w:space="0" w:color="auto"/>
        <w:bottom w:val="none" w:sz="0" w:space="0" w:color="auto"/>
        <w:right w:val="none" w:sz="0" w:space="0" w:color="auto"/>
      </w:divBdr>
    </w:div>
    <w:div w:id="1118992980">
      <w:bodyDiv w:val="1"/>
      <w:marLeft w:val="0"/>
      <w:marRight w:val="0"/>
      <w:marTop w:val="0"/>
      <w:marBottom w:val="0"/>
      <w:divBdr>
        <w:top w:val="none" w:sz="0" w:space="0" w:color="auto"/>
        <w:left w:val="none" w:sz="0" w:space="0" w:color="auto"/>
        <w:bottom w:val="none" w:sz="0" w:space="0" w:color="auto"/>
        <w:right w:val="none" w:sz="0" w:space="0" w:color="auto"/>
      </w:divBdr>
    </w:div>
    <w:div w:id="1381856563">
      <w:bodyDiv w:val="1"/>
      <w:marLeft w:val="0"/>
      <w:marRight w:val="0"/>
      <w:marTop w:val="0"/>
      <w:marBottom w:val="0"/>
      <w:divBdr>
        <w:top w:val="none" w:sz="0" w:space="0" w:color="auto"/>
        <w:left w:val="none" w:sz="0" w:space="0" w:color="auto"/>
        <w:bottom w:val="none" w:sz="0" w:space="0" w:color="auto"/>
        <w:right w:val="none" w:sz="0" w:space="0" w:color="auto"/>
      </w:divBdr>
    </w:div>
    <w:div w:id="2126465335">
      <w:bodyDiv w:val="1"/>
      <w:marLeft w:val="0"/>
      <w:marRight w:val="0"/>
      <w:marTop w:val="0"/>
      <w:marBottom w:val="0"/>
      <w:divBdr>
        <w:top w:val="none" w:sz="0" w:space="0" w:color="auto"/>
        <w:left w:val="none" w:sz="0" w:space="0" w:color="auto"/>
        <w:bottom w:val="none" w:sz="0" w:space="0" w:color="auto"/>
        <w:right w:val="none" w:sz="0" w:space="0" w:color="auto"/>
      </w:divBdr>
      <w:divsChild>
        <w:div w:id="851728287">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belastingdienst.nl/wps/wcm/connect/bldcontentnl/belastingdienst/prive/inkomstenbelasting/heffingskortingen_boxen_tarieven/boxen_en_tarieven/overzicht_tarieven_en_schijven/" TargetMode="External"/><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svg"/><Relationship Id="rId25" Type="http://schemas.openxmlformats.org/officeDocument/2006/relationships/image" Target="media/image9.sv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ccss.public.lu/fr/parametres-sociaux.html" TargetMode="External"/><Relationship Id="rId29" Type="http://schemas.openxmlformats.org/officeDocument/2006/relationships/hyperlink" Target="https://uitspraken.rechtspraak.nl/inziendocument?id=ECLI:NL:HR:2021:196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file:///C:/Users/Gebruiker/Downloads/2021_57_SteunVennootschapsbelasting.pdf" TargetMode="External"/><Relationship Id="rId23" Type="http://schemas.openxmlformats.org/officeDocument/2006/relationships/image" Target="media/image7.svg"/><Relationship Id="rId28" Type="http://schemas.openxmlformats.org/officeDocument/2006/relationships/hyperlink" Target="https://uitspraken.rechtspraak.nl/inziendocument?id=ECLI:NL:HR:2021:1963" TargetMode="External"/><Relationship Id="rId10" Type="http://schemas.openxmlformats.org/officeDocument/2006/relationships/endnotes" Target="endnotes.xml"/><Relationship Id="rId19" Type="http://schemas.openxmlformats.org/officeDocument/2006/relationships/hyperlink" Target="https://inspection-du-travail.com/cotisations-salariales/" TargetMode="Externa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file:///C:/Users/Gebruiker/Downloads/2019_08_VrijstellingenStortingBedrijfsvoorheffing.pdf" TargetMode="External"/><Relationship Id="rId30" Type="http://schemas.openxmlformats.org/officeDocument/2006/relationships/hyperlink" Target="https://ember-climate.org/data/carbon-price-viewer"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Gemiddelde effectieve</a:t>
            </a:r>
            <a:r>
              <a:rPr lang="nl-BE" baseline="0"/>
              <a:t> heffingsdruk (PB (excl. AGB) en SB)</a:t>
            </a:r>
          </a:p>
          <a:p>
            <a:pPr>
              <a:defRPr/>
            </a:pPr>
            <a:endParaRPr lang="nl-BE"/>
          </a:p>
        </c:rich>
      </c:tx>
      <c:layout>
        <c:manualLayout>
          <c:xMode val="edge"/>
          <c:yMode val="edge"/>
          <c:x val="0.17780046961342946"/>
          <c:y val="2.00544376397394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lineChart>
        <c:grouping val="standard"/>
        <c:varyColors val="0"/>
        <c:ser>
          <c:idx val="1"/>
          <c:order val="0"/>
          <c:tx>
            <c:strRef>
              <c:f>'https://delanotemarc-my.sharepoint.com/personal/mark_delanote_delanote_law/Documents/FISCALE HERVORMING/budgettaire fiches administratie/[Gemiddelde heffingsdruk werknemers vs zelfstandigen verhoging grenzen schijven AJ22.xlsx]GRAFIEK'!$A$4</c:f>
              <c:strCache>
                <c:ptCount val="1"/>
                <c:pt idx="0">
                  <c:v>Loontrekkende</c:v>
                </c:pt>
              </c:strCache>
            </c:strRef>
          </c:tx>
          <c:spPr>
            <a:ln w="28575" cap="rnd">
              <a:solidFill>
                <a:schemeClr val="accent2">
                  <a:lumMod val="50000"/>
                </a:schemeClr>
              </a:solidFill>
              <a:prstDash val="solid"/>
              <a:round/>
            </a:ln>
            <a:effectLst/>
          </c:spPr>
          <c:marker>
            <c:symbol val="none"/>
          </c:marker>
          <c:cat>
            <c:numRef>
              <c:f>[1]GRAFIEK!$C$2:$AM$2</c:f>
              <c:numCache>
                <c:formatCode>General</c:formatCode>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numCache>
              <c:extLst/>
            </c:numRef>
          </c:cat>
          <c:val>
            <c:numRef>
              <c:f>[1]GRAFIEK!$C$4:$AM$4</c:f>
              <c:numCache>
                <c:formatCode>General</c:formatCode>
                <c:ptCount val="37"/>
                <c:pt idx="0">
                  <c:v>0.18537499999999998</c:v>
                </c:pt>
                <c:pt idx="1">
                  <c:v>0.23633999999999999</c:v>
                </c:pt>
                <c:pt idx="2">
                  <c:v>0.31247959321440733</c:v>
                </c:pt>
                <c:pt idx="3">
                  <c:v>0.38156221700151177</c:v>
                </c:pt>
                <c:pt idx="4">
                  <c:v>0.42891176373839174</c:v>
                </c:pt>
                <c:pt idx="5">
                  <c:v>0.45246301222988511</c:v>
                </c:pt>
                <c:pt idx="6">
                  <c:v>0.4697261316965517</c:v>
                </c:pt>
                <c:pt idx="7">
                  <c:v>0.48385050216927905</c:v>
                </c:pt>
                <c:pt idx="8">
                  <c:v>0.49562081089655169</c:v>
                </c:pt>
                <c:pt idx="9">
                  <c:v>0.50558030289655165</c:v>
                </c:pt>
                <c:pt idx="10">
                  <c:v>0.51583186746798038</c:v>
                </c:pt>
                <c:pt idx="11">
                  <c:v>0.52543415676321836</c:v>
                </c:pt>
                <c:pt idx="12">
                  <c:v>0.53383615989655175</c:v>
                </c:pt>
                <c:pt idx="13">
                  <c:v>0.54124969207302231</c:v>
                </c:pt>
                <c:pt idx="14">
                  <c:v>0.54783949845210722</c:v>
                </c:pt>
                <c:pt idx="15">
                  <c:v>0.55373564100181494</c:v>
                </c:pt>
                <c:pt idx="16">
                  <c:v>0.55904216929655171</c:v>
                </c:pt>
                <c:pt idx="17">
                  <c:v>0.56384331394417075</c:v>
                </c:pt>
                <c:pt idx="18">
                  <c:v>0.56786890909090915</c:v>
                </c:pt>
                <c:pt idx="19">
                  <c:v>0.57153895652173914</c:v>
                </c:pt>
                <c:pt idx="20">
                  <c:v>0.57490316666666674</c:v>
                </c:pt>
                <c:pt idx="21">
                  <c:v>0.57799824</c:v>
                </c:pt>
                <c:pt idx="22">
                  <c:v>0.58085523076923073</c:v>
                </c:pt>
                <c:pt idx="23">
                  <c:v>0.58350059259259268</c:v>
                </c:pt>
                <c:pt idx="24">
                  <c:v>0.58595699999999995</c:v>
                </c:pt>
                <c:pt idx="25">
                  <c:v>0.58824399999999999</c:v>
                </c:pt>
                <c:pt idx="26">
                  <c:v>0.59037853333333334</c:v>
                </c:pt>
                <c:pt idx="27">
                  <c:v>0.59237535483870962</c:v>
                </c:pt>
                <c:pt idx="28">
                  <c:v>0.59424737499999991</c:v>
                </c:pt>
                <c:pt idx="29">
                  <c:v>0.59600593939393942</c:v>
                </c:pt>
                <c:pt idx="30">
                  <c:v>0.59766105882352938</c:v>
                </c:pt>
                <c:pt idx="31">
                  <c:v>0.59922159999999991</c:v>
                </c:pt>
                <c:pt idx="32">
                  <c:v>0.60069544444444445</c:v>
                </c:pt>
                <c:pt idx="33">
                  <c:v>0.60208962162162161</c:v>
                </c:pt>
                <c:pt idx="34">
                  <c:v>0.60341042105263154</c:v>
                </c:pt>
                <c:pt idx="35">
                  <c:v>0.60466348717948715</c:v>
                </c:pt>
                <c:pt idx="36">
                  <c:v>0.60585390000000006</c:v>
                </c:pt>
              </c:numCache>
              <c:extLst/>
            </c:numRef>
          </c:val>
          <c:smooth val="0"/>
          <c:extLst>
            <c:ext xmlns:c16="http://schemas.microsoft.com/office/drawing/2014/chart" uri="{C3380CC4-5D6E-409C-BE32-E72D297353CC}">
              <c16:uniqueId val="{00000000-0E71-487F-9D0F-872C18777421}"/>
            </c:ext>
          </c:extLst>
        </c:ser>
        <c:ser>
          <c:idx val="2"/>
          <c:order val="1"/>
          <c:tx>
            <c:strRef>
              <c:f>'https://delanotemarc-my.sharepoint.com/personal/mark_delanote_delanote_law/Documents/FISCALE HERVORMING/budgettaire fiches administratie/[Gemiddelde heffingsdruk werknemers vs zelfstandigen verhoging grenzen schijven AJ22.xlsx]GRAFIEK'!$A$5</c:f>
              <c:strCache>
                <c:ptCount val="1"/>
                <c:pt idx="0">
                  <c:v>Loontrekkende zonder BBSZ 5% schaalverhoging</c:v>
                </c:pt>
              </c:strCache>
            </c:strRef>
          </c:tx>
          <c:spPr>
            <a:ln w="28575" cap="rnd">
              <a:solidFill>
                <a:schemeClr val="accent2">
                  <a:lumMod val="75000"/>
                </a:schemeClr>
              </a:solidFill>
              <a:prstDash val="solid"/>
              <a:round/>
            </a:ln>
            <a:effectLst/>
          </c:spPr>
          <c:marker>
            <c:symbol val="none"/>
          </c:marker>
          <c:cat>
            <c:numRef>
              <c:f>[1]GRAFIEK!$C$2:$AM$2</c:f>
              <c:numCache>
                <c:formatCode>General</c:formatCode>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numCache>
              <c:extLst/>
            </c:numRef>
          </c:cat>
          <c:val>
            <c:numRef>
              <c:f>[1]GRAFIEK!$C$5:$AM$5</c:f>
              <c:numCache>
                <c:formatCode>General</c:formatCode>
                <c:ptCount val="37"/>
                <c:pt idx="0">
                  <c:v>0.18537499999999998</c:v>
                </c:pt>
                <c:pt idx="1">
                  <c:v>0.2271</c:v>
                </c:pt>
                <c:pt idx="2">
                  <c:v>0.30239007312245342</c:v>
                </c:pt>
                <c:pt idx="3">
                  <c:v>0.36673040324781719</c:v>
                </c:pt>
                <c:pt idx="4">
                  <c:v>0.41498565084184003</c:v>
                </c:pt>
                <c:pt idx="5">
                  <c:v>0.43687466666666674</c:v>
                </c:pt>
                <c:pt idx="6">
                  <c:v>0.45493800000000001</c:v>
                </c:pt>
                <c:pt idx="7">
                  <c:v>0.46971709090909092</c:v>
                </c:pt>
                <c:pt idx="8">
                  <c:v>0.48203300000000004</c:v>
                </c:pt>
                <c:pt idx="9">
                  <c:v>0.49245415384615376</c:v>
                </c:pt>
                <c:pt idx="10">
                  <c:v>0.50158000000000003</c:v>
                </c:pt>
                <c:pt idx="11">
                  <c:v>0.51162666666666667</c:v>
                </c:pt>
                <c:pt idx="12">
                  <c:v>0.52041749999999998</c:v>
                </c:pt>
                <c:pt idx="13">
                  <c:v>0.5281741176470589</c:v>
                </c:pt>
                <c:pt idx="14">
                  <c:v>0.53506888888888882</c:v>
                </c:pt>
                <c:pt idx="15">
                  <c:v>0.54123789473684214</c:v>
                </c:pt>
                <c:pt idx="16">
                  <c:v>0.54679</c:v>
                </c:pt>
                <c:pt idx="17">
                  <c:v>0.55181333333333327</c:v>
                </c:pt>
                <c:pt idx="18">
                  <c:v>0.5563800000000001</c:v>
                </c:pt>
                <c:pt idx="19">
                  <c:v>0.5605495652173913</c:v>
                </c:pt>
                <c:pt idx="20">
                  <c:v>0.56437166666666672</c:v>
                </c:pt>
                <c:pt idx="21">
                  <c:v>0.56788800000000006</c:v>
                </c:pt>
                <c:pt idx="22">
                  <c:v>0.5711338461538461</c:v>
                </c:pt>
                <c:pt idx="23">
                  <c:v>0.57413925925925935</c:v>
                </c:pt>
                <c:pt idx="24">
                  <c:v>0.57693000000000005</c:v>
                </c:pt>
                <c:pt idx="25">
                  <c:v>0.5795282758620689</c:v>
                </c:pt>
                <c:pt idx="26">
                  <c:v>0.58195333333333332</c:v>
                </c:pt>
                <c:pt idx="27">
                  <c:v>0.58422193548387102</c:v>
                </c:pt>
                <c:pt idx="28">
                  <c:v>0.58634874999999997</c:v>
                </c:pt>
                <c:pt idx="29">
                  <c:v>0.58834666666666668</c:v>
                </c:pt>
                <c:pt idx="30">
                  <c:v>0.59022705882352944</c:v>
                </c:pt>
                <c:pt idx="31">
                  <c:v>0.59200000000000008</c:v>
                </c:pt>
                <c:pt idx="32">
                  <c:v>0.5936744444444445</c:v>
                </c:pt>
                <c:pt idx="33">
                  <c:v>0.59525837837837847</c:v>
                </c:pt>
                <c:pt idx="34">
                  <c:v>0.59675894736842106</c:v>
                </c:pt>
                <c:pt idx="35">
                  <c:v>0.5981825641025641</c:v>
                </c:pt>
                <c:pt idx="36">
                  <c:v>0.59953500000000004</c:v>
                </c:pt>
              </c:numCache>
              <c:extLst/>
            </c:numRef>
          </c:val>
          <c:smooth val="0"/>
          <c:extLst>
            <c:ext xmlns:c16="http://schemas.microsoft.com/office/drawing/2014/chart" uri="{C3380CC4-5D6E-409C-BE32-E72D297353CC}">
              <c16:uniqueId val="{00000001-0E71-487F-9D0F-872C18777421}"/>
            </c:ext>
          </c:extLst>
        </c:ser>
        <c:ser>
          <c:idx val="4"/>
          <c:order val="2"/>
          <c:tx>
            <c:strRef>
              <c:f>'https://delanotemarc-my.sharepoint.com/personal/mark_delanote_delanote_law/Documents/FISCALE HERVORMING/budgettaire fiches administratie/[Gemiddelde heffingsdruk werknemers vs zelfstandigen verhoging grenzen schijven AJ22.xlsx]GRAFIEK'!$A$6</c:f>
              <c:strCache>
                <c:ptCount val="1"/>
                <c:pt idx="0">
                  <c:v>Loontrekkende zonder BBSZ 10% schaalverhoging</c:v>
                </c:pt>
              </c:strCache>
            </c:strRef>
          </c:tx>
          <c:spPr>
            <a:ln w="28575" cap="rnd">
              <a:solidFill>
                <a:schemeClr val="accent2"/>
              </a:solidFill>
              <a:prstDash val="solid"/>
              <a:round/>
            </a:ln>
            <a:effectLst/>
          </c:spPr>
          <c:marker>
            <c:symbol val="none"/>
          </c:marker>
          <c:cat>
            <c:numRef>
              <c:f>[1]GRAFIEK!$C$2:$AM$2</c:f>
              <c:numCache>
                <c:formatCode>General</c:formatCode>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numCache>
              <c:extLst/>
            </c:numRef>
          </c:cat>
          <c:val>
            <c:numRef>
              <c:f>[1]GRAFIEK!$C$6:$AM$6</c:f>
              <c:numCache>
                <c:formatCode>General</c:formatCode>
                <c:ptCount val="37"/>
                <c:pt idx="0">
                  <c:v>0.18537499999999998</c:v>
                </c:pt>
                <c:pt idx="1">
                  <c:v>0.2271</c:v>
                </c:pt>
                <c:pt idx="2">
                  <c:v>0.29120349224245334</c:v>
                </c:pt>
                <c:pt idx="3">
                  <c:v>0.35674468896210287</c:v>
                </c:pt>
                <c:pt idx="4">
                  <c:v>0.40624815084183996</c:v>
                </c:pt>
                <c:pt idx="5">
                  <c:v>0.42872488888888888</c:v>
                </c:pt>
                <c:pt idx="6">
                  <c:v>0.44561799999999996</c:v>
                </c:pt>
                <c:pt idx="7">
                  <c:v>0.46124436363636362</c:v>
                </c:pt>
                <c:pt idx="8">
                  <c:v>0.47426633333333335</c:v>
                </c:pt>
                <c:pt idx="9">
                  <c:v>0.48528492307692311</c:v>
                </c:pt>
                <c:pt idx="10">
                  <c:v>0.49472942857142865</c:v>
                </c:pt>
                <c:pt idx="11">
                  <c:v>0.50385999999999997</c:v>
                </c:pt>
                <c:pt idx="12">
                  <c:v>0.51313624999999996</c:v>
                </c:pt>
                <c:pt idx="13">
                  <c:v>0.52132117647058829</c:v>
                </c:pt>
                <c:pt idx="14">
                  <c:v>0.52859666666666671</c:v>
                </c:pt>
                <c:pt idx="15">
                  <c:v>0.53510631578947365</c:v>
                </c:pt>
                <c:pt idx="16">
                  <c:v>0.54096500000000003</c:v>
                </c:pt>
                <c:pt idx="17">
                  <c:v>0.54626571428571424</c:v>
                </c:pt>
                <c:pt idx="18">
                  <c:v>0.55108454545454544</c:v>
                </c:pt>
                <c:pt idx="19">
                  <c:v>0.55548434782608691</c:v>
                </c:pt>
                <c:pt idx="20">
                  <c:v>0.5595175</c:v>
                </c:pt>
                <c:pt idx="21">
                  <c:v>0.56322800000000006</c:v>
                </c:pt>
                <c:pt idx="22">
                  <c:v>0.56665307692307687</c:v>
                </c:pt>
                <c:pt idx="23">
                  <c:v>0.56982444444444447</c:v>
                </c:pt>
                <c:pt idx="24">
                  <c:v>0.57276928571428576</c:v>
                </c:pt>
                <c:pt idx="25">
                  <c:v>0.57551103448275853</c:v>
                </c:pt>
                <c:pt idx="26">
                  <c:v>0.57806999999999997</c:v>
                </c:pt>
                <c:pt idx="27">
                  <c:v>0.58046387096774199</c:v>
                </c:pt>
                <c:pt idx="28">
                  <c:v>0.58270812500000002</c:v>
                </c:pt>
                <c:pt idx="29">
                  <c:v>0.58481636363636358</c:v>
                </c:pt>
                <c:pt idx="30">
                  <c:v>0.58680058823529413</c:v>
                </c:pt>
                <c:pt idx="31">
                  <c:v>0.58867142857142851</c:v>
                </c:pt>
                <c:pt idx="32">
                  <c:v>0.5904383333333334</c:v>
                </c:pt>
                <c:pt idx="33">
                  <c:v>0.59210972972972975</c:v>
                </c:pt>
                <c:pt idx="34">
                  <c:v>0.59369315789473687</c:v>
                </c:pt>
                <c:pt idx="35">
                  <c:v>0.59519538461538468</c:v>
                </c:pt>
                <c:pt idx="36">
                  <c:v>0.59662250000000006</c:v>
                </c:pt>
              </c:numCache>
              <c:extLst/>
            </c:numRef>
          </c:val>
          <c:smooth val="0"/>
          <c:extLst>
            <c:ext xmlns:c16="http://schemas.microsoft.com/office/drawing/2014/chart" uri="{C3380CC4-5D6E-409C-BE32-E72D297353CC}">
              <c16:uniqueId val="{00000002-0E71-487F-9D0F-872C18777421}"/>
            </c:ext>
          </c:extLst>
        </c:ser>
        <c:ser>
          <c:idx val="5"/>
          <c:order val="3"/>
          <c:tx>
            <c:strRef>
              <c:f>'https://delanotemarc-my.sharepoint.com/personal/mark_delanote_delanote_law/Documents/FISCALE HERVORMING/budgettaire fiches administratie/[Gemiddelde heffingsdruk werknemers vs zelfstandigen verhoging grenzen schijven AJ22.xlsx]GRAFIEK'!$A$7</c:f>
              <c:strCache>
                <c:ptCount val="1"/>
                <c:pt idx="0">
                  <c:v>Loontrekkende zonder BBSZ 15% schaalverhoging</c:v>
                </c:pt>
              </c:strCache>
            </c:strRef>
          </c:tx>
          <c:spPr>
            <a:ln w="28575" cap="rnd">
              <a:solidFill>
                <a:schemeClr val="accent2">
                  <a:lumMod val="60000"/>
                  <a:lumOff val="40000"/>
                </a:schemeClr>
              </a:solidFill>
              <a:prstDash val="solid"/>
              <a:round/>
            </a:ln>
            <a:effectLst/>
          </c:spPr>
          <c:marker>
            <c:symbol val="none"/>
          </c:marker>
          <c:cat>
            <c:numRef>
              <c:f>[1]GRAFIEK!$C$2:$AM$2</c:f>
              <c:numCache>
                <c:formatCode>General</c:formatCode>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numCache>
              <c:extLst/>
            </c:numRef>
          </c:cat>
          <c:val>
            <c:numRef>
              <c:f>[1]GRAFIEK!$C$7:$AM$7</c:f>
              <c:numCache>
                <c:formatCode>General</c:formatCode>
                <c:ptCount val="37"/>
                <c:pt idx="0">
                  <c:v>0.18537499999999998</c:v>
                </c:pt>
                <c:pt idx="1">
                  <c:v>0.2271</c:v>
                </c:pt>
                <c:pt idx="2">
                  <c:v>0.29120349224245334</c:v>
                </c:pt>
                <c:pt idx="3">
                  <c:v>0.34615161963638863</c:v>
                </c:pt>
                <c:pt idx="4">
                  <c:v>0.39634815084183994</c:v>
                </c:pt>
                <c:pt idx="5">
                  <c:v>0.41992488888888896</c:v>
                </c:pt>
                <c:pt idx="6">
                  <c:v>0.43620599999999998</c:v>
                </c:pt>
                <c:pt idx="7">
                  <c:v>0.45164436363636368</c:v>
                </c:pt>
                <c:pt idx="8">
                  <c:v>0.46546633333333332</c:v>
                </c:pt>
                <c:pt idx="9">
                  <c:v>0.47716184615384616</c:v>
                </c:pt>
                <c:pt idx="10">
                  <c:v>0.48718657142857141</c:v>
                </c:pt>
                <c:pt idx="11">
                  <c:v>0.49587466666666669</c:v>
                </c:pt>
                <c:pt idx="12">
                  <c:v>0.50488624999999998</c:v>
                </c:pt>
                <c:pt idx="13">
                  <c:v>0.51355647058823528</c:v>
                </c:pt>
                <c:pt idx="14">
                  <c:v>0.5212633333333333</c:v>
                </c:pt>
                <c:pt idx="15">
                  <c:v>0.52815894736842106</c:v>
                </c:pt>
                <c:pt idx="16">
                  <c:v>0.53436499999999998</c:v>
                </c:pt>
                <c:pt idx="17">
                  <c:v>0.53998000000000002</c:v>
                </c:pt>
                <c:pt idx="18">
                  <c:v>0.54508454545454554</c:v>
                </c:pt>
                <c:pt idx="19">
                  <c:v>0.54974521739130433</c:v>
                </c:pt>
                <c:pt idx="20">
                  <c:v>0.55401750000000005</c:v>
                </c:pt>
                <c:pt idx="21">
                  <c:v>0.55794800000000011</c:v>
                </c:pt>
                <c:pt idx="22">
                  <c:v>0.56157615384615378</c:v>
                </c:pt>
                <c:pt idx="23">
                  <c:v>0.56493555555555552</c:v>
                </c:pt>
                <c:pt idx="24">
                  <c:v>0.56805500000000009</c:v>
                </c:pt>
                <c:pt idx="25">
                  <c:v>0.5709593103448275</c:v>
                </c:pt>
                <c:pt idx="26">
                  <c:v>0.57367000000000001</c:v>
                </c:pt>
                <c:pt idx="27">
                  <c:v>0.57620580645161301</c:v>
                </c:pt>
                <c:pt idx="28">
                  <c:v>0.57858312499999998</c:v>
                </c:pt>
                <c:pt idx="29">
                  <c:v>0.58081636363636358</c:v>
                </c:pt>
                <c:pt idx="30">
                  <c:v>0.58291823529411757</c:v>
                </c:pt>
                <c:pt idx="31">
                  <c:v>0.58489999999999998</c:v>
                </c:pt>
                <c:pt idx="32">
                  <c:v>0.58677166666666669</c:v>
                </c:pt>
                <c:pt idx="33">
                  <c:v>0.58854216216216215</c:v>
                </c:pt>
                <c:pt idx="34">
                  <c:v>0.59021947368421057</c:v>
                </c:pt>
                <c:pt idx="35">
                  <c:v>0.59181076923076925</c:v>
                </c:pt>
                <c:pt idx="36">
                  <c:v>0.59332249999999997</c:v>
                </c:pt>
              </c:numCache>
              <c:extLst/>
            </c:numRef>
          </c:val>
          <c:smooth val="0"/>
          <c:extLst>
            <c:ext xmlns:c16="http://schemas.microsoft.com/office/drawing/2014/chart" uri="{C3380CC4-5D6E-409C-BE32-E72D297353CC}">
              <c16:uniqueId val="{00000003-0E71-487F-9D0F-872C18777421}"/>
            </c:ext>
          </c:extLst>
        </c:ser>
        <c:ser>
          <c:idx val="8"/>
          <c:order val="4"/>
          <c:tx>
            <c:strRef>
              <c:f>'https://delanotemarc-my.sharepoint.com/personal/mark_delanote_delanote_law/Documents/FISCALE HERVORMING/budgettaire fiches administratie/[Gemiddelde heffingsdruk werknemers vs zelfstandigen verhoging grenzen schijven AJ22.xlsx]GRAFIEK'!$A$8</c:f>
              <c:strCache>
                <c:ptCount val="1"/>
                <c:pt idx="0">
                  <c:v>Loontrekkende zonder BBSZ 20% schaalverhoging</c:v>
                </c:pt>
              </c:strCache>
            </c:strRef>
          </c:tx>
          <c:spPr>
            <a:ln w="28575" cap="rnd">
              <a:solidFill>
                <a:schemeClr val="accent2">
                  <a:lumMod val="40000"/>
                  <a:lumOff val="60000"/>
                </a:schemeClr>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[1]GRAFIEK!$C$8:$AM$8</c:f>
              <c:numCache>
                <c:formatCode>General</c:formatCode>
                <c:ptCount val="37"/>
                <c:pt idx="0">
                  <c:v>0.18537499999999998</c:v>
                </c:pt>
                <c:pt idx="1">
                  <c:v>0.2271</c:v>
                </c:pt>
                <c:pt idx="2">
                  <c:v>0.29120349224245334</c:v>
                </c:pt>
                <c:pt idx="3">
                  <c:v>0.34615161963638863</c:v>
                </c:pt>
                <c:pt idx="4">
                  <c:v>0.38736271518184001</c:v>
                </c:pt>
                <c:pt idx="5">
                  <c:v>0.40942488888888895</c:v>
                </c:pt>
                <c:pt idx="6">
                  <c:v>0.42675600000000002</c:v>
                </c:pt>
                <c:pt idx="7">
                  <c:v>0.44093599999999999</c:v>
                </c:pt>
                <c:pt idx="8">
                  <c:v>0.45496633333333336</c:v>
                </c:pt>
                <c:pt idx="9">
                  <c:v>0.46746953846153844</c:v>
                </c:pt>
                <c:pt idx="10">
                  <c:v>0.47818657142857146</c:v>
                </c:pt>
                <c:pt idx="11">
                  <c:v>0.48747466666666667</c:v>
                </c:pt>
                <c:pt idx="12">
                  <c:v>0.49560174999999995</c:v>
                </c:pt>
                <c:pt idx="13">
                  <c:v>0.50429176470588233</c:v>
                </c:pt>
                <c:pt idx="14">
                  <c:v>0.51251333333333327</c:v>
                </c:pt>
                <c:pt idx="15">
                  <c:v>0.51986947368421055</c:v>
                </c:pt>
                <c:pt idx="16">
                  <c:v>0.52649000000000001</c:v>
                </c:pt>
                <c:pt idx="17">
                  <c:v>0.53247999999999995</c:v>
                </c:pt>
                <c:pt idx="18">
                  <c:v>0.5379254545454546</c:v>
                </c:pt>
                <c:pt idx="19">
                  <c:v>0.54289739130434778</c:v>
                </c:pt>
                <c:pt idx="20">
                  <c:v>0.54745500000000002</c:v>
                </c:pt>
                <c:pt idx="21">
                  <c:v>0.55164800000000003</c:v>
                </c:pt>
                <c:pt idx="22">
                  <c:v>0.55551846153846152</c:v>
                </c:pt>
                <c:pt idx="23">
                  <c:v>0.55910222222222228</c:v>
                </c:pt>
                <c:pt idx="24">
                  <c:v>0.56242999999999999</c:v>
                </c:pt>
                <c:pt idx="25">
                  <c:v>0.56552827586206889</c:v>
                </c:pt>
                <c:pt idx="26">
                  <c:v>0.56842000000000004</c:v>
                </c:pt>
                <c:pt idx="27">
                  <c:v>0.57112516129032254</c:v>
                </c:pt>
                <c:pt idx="28">
                  <c:v>0.57366125000000001</c:v>
                </c:pt>
                <c:pt idx="29">
                  <c:v>0.57604363636363642</c:v>
                </c:pt>
                <c:pt idx="30">
                  <c:v>0.57828588235294121</c:v>
                </c:pt>
                <c:pt idx="31">
                  <c:v>0.58039999999999992</c:v>
                </c:pt>
                <c:pt idx="32">
                  <c:v>0.58239666666666667</c:v>
                </c:pt>
                <c:pt idx="33">
                  <c:v>0.58428540540540541</c:v>
                </c:pt>
                <c:pt idx="34">
                  <c:v>0.5860747368421052</c:v>
                </c:pt>
                <c:pt idx="35">
                  <c:v>0.58777230769230771</c:v>
                </c:pt>
                <c:pt idx="36">
                  <c:v>0.58938500000000005</c:v>
                </c:pt>
              </c:numCache>
              <c:extLst/>
            </c:numRef>
          </c:val>
          <c:smooth val="0"/>
          <c:extLst>
            <c:ext xmlns:c16="http://schemas.microsoft.com/office/drawing/2014/chart" uri="{C3380CC4-5D6E-409C-BE32-E72D297353CC}">
              <c16:uniqueId val="{00000004-0E71-487F-9D0F-872C18777421}"/>
            </c:ext>
          </c:extLst>
        </c:ser>
        <c:ser>
          <c:idx val="9"/>
          <c:order val="5"/>
          <c:tx>
            <c:strRef>
              <c:f>'https://delanotemarc-my.sharepoint.com/personal/mark_delanote_delanote_law/Documents/FISCALE HERVORMING/budgettaire fiches administratie/[Gemiddelde heffingsdruk werknemers vs zelfstandigen verhoging grenzen schijven AJ22.xlsx]GRAFIEK'!$A$9</c:f>
              <c:strCache>
                <c:ptCount val="1"/>
                <c:pt idx="0">
                  <c:v>Loontrekkende zonder BBSZ 25% schaalverhoging</c:v>
                </c:pt>
              </c:strCache>
            </c:strRef>
          </c:tx>
          <c:spPr>
            <a:ln w="28575" cap="rnd">
              <a:solidFill>
                <a:schemeClr val="accent2">
                  <a:lumMod val="20000"/>
                  <a:lumOff val="80000"/>
                </a:schemeClr>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[1]GRAFIEK!$C$9:$AM$9</c:f>
              <c:numCache>
                <c:formatCode>General</c:formatCode>
                <c:ptCount val="37"/>
                <c:pt idx="0">
                  <c:v>0.18537499999999998</c:v>
                </c:pt>
                <c:pt idx="1">
                  <c:v>0.2271</c:v>
                </c:pt>
                <c:pt idx="2">
                  <c:v>0.29120349224245334</c:v>
                </c:pt>
                <c:pt idx="3">
                  <c:v>0.34615161963638863</c:v>
                </c:pt>
                <c:pt idx="4">
                  <c:v>0.38736271518184001</c:v>
                </c:pt>
                <c:pt idx="5">
                  <c:v>0.40080888888888888</c:v>
                </c:pt>
                <c:pt idx="6">
                  <c:v>0.41460599999999997</c:v>
                </c:pt>
                <c:pt idx="7">
                  <c:v>0.42989054545454553</c:v>
                </c:pt>
                <c:pt idx="8">
                  <c:v>0.44262766666666664</c:v>
                </c:pt>
                <c:pt idx="9">
                  <c:v>0.45500799999999997</c:v>
                </c:pt>
                <c:pt idx="10">
                  <c:v>0.46661514285714289</c:v>
                </c:pt>
                <c:pt idx="11">
                  <c:v>0.47667466666666664</c:v>
                </c:pt>
                <c:pt idx="12">
                  <c:v>0.48547674999999996</c:v>
                </c:pt>
                <c:pt idx="13">
                  <c:v>0.49324329411764706</c:v>
                </c:pt>
                <c:pt idx="14">
                  <c:v>0.50126333333333328</c:v>
                </c:pt>
                <c:pt idx="15">
                  <c:v>0.50921157894736835</c:v>
                </c:pt>
                <c:pt idx="16">
                  <c:v>0.51636499999999996</c:v>
                </c:pt>
                <c:pt idx="17">
                  <c:v>0.52283714285714278</c:v>
                </c:pt>
                <c:pt idx="18">
                  <c:v>0.52872090909090907</c:v>
                </c:pt>
                <c:pt idx="19">
                  <c:v>0.53409304347826081</c:v>
                </c:pt>
                <c:pt idx="20">
                  <c:v>0.53901749999999993</c:v>
                </c:pt>
                <c:pt idx="21">
                  <c:v>0.54354800000000003</c:v>
                </c:pt>
                <c:pt idx="22">
                  <c:v>0.54772999999999994</c:v>
                </c:pt>
                <c:pt idx="23">
                  <c:v>0.5516022222222221</c:v>
                </c:pt>
                <c:pt idx="24">
                  <c:v>0.55519785714285719</c:v>
                </c:pt>
                <c:pt idx="25">
                  <c:v>0.55854551724137924</c:v>
                </c:pt>
                <c:pt idx="26">
                  <c:v>0.56166999999999989</c:v>
                </c:pt>
                <c:pt idx="27">
                  <c:v>0.56459290322580646</c:v>
                </c:pt>
                <c:pt idx="28">
                  <c:v>0.56733312499999999</c:v>
                </c:pt>
                <c:pt idx="29">
                  <c:v>0.56990727272727271</c:v>
                </c:pt>
                <c:pt idx="30">
                  <c:v>0.57233000000000001</c:v>
                </c:pt>
                <c:pt idx="31">
                  <c:v>0.57461428571428574</c:v>
                </c:pt>
                <c:pt idx="32">
                  <c:v>0.57677166666666668</c:v>
                </c:pt>
                <c:pt idx="33">
                  <c:v>0.57881243243243241</c:v>
                </c:pt>
                <c:pt idx="34">
                  <c:v>0.58074578947368427</c:v>
                </c:pt>
                <c:pt idx="35">
                  <c:v>0.58257999999999999</c:v>
                </c:pt>
                <c:pt idx="36">
                  <c:v>0.58432250000000008</c:v>
                </c:pt>
              </c:numCache>
              <c:extLst/>
            </c:numRef>
          </c:val>
          <c:smooth val="0"/>
          <c:extLst>
            <c:ext xmlns:c16="http://schemas.microsoft.com/office/drawing/2014/chart" uri="{C3380CC4-5D6E-409C-BE32-E72D297353CC}">
              <c16:uniqueId val="{00000005-0E71-487F-9D0F-872C18777421}"/>
            </c:ext>
          </c:extLst>
        </c:ser>
        <c:ser>
          <c:idx val="0"/>
          <c:order val="6"/>
          <c:tx>
            <c:strRef>
              <c:f>'https://delanotemarc-my.sharepoint.com/personal/mark_delanote_delanote_law/Documents/FISCALE HERVORMING/budgettaire fiches administratie/[Gemiddelde heffingsdruk werknemers vs zelfstandigen verhoging grenzen schijven AJ22.xlsx]GRAFIEK'!$A$3</c:f>
              <c:strCache>
                <c:ptCount val="1"/>
                <c:pt idx="0">
                  <c:v>Zelfstandige</c:v>
                </c:pt>
              </c:strCache>
            </c:strRef>
          </c:tx>
          <c:spPr>
            <a:ln w="28575" cap="rnd">
              <a:solidFill>
                <a:schemeClr val="accent1">
                  <a:lumMod val="50000"/>
                </a:schemeClr>
              </a:solidFill>
              <a:round/>
            </a:ln>
            <a:effectLst/>
          </c:spPr>
          <c:marker>
            <c:symbol val="none"/>
          </c:marker>
          <c:cat>
            <c:numRef>
              <c:f>[1]GRAFIEK!$C$2:$AM$2</c:f>
              <c:numCache>
                <c:formatCode>General</c:formatCode>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numCache>
              <c:extLst/>
            </c:numRef>
          </c:cat>
          <c:val>
            <c:numRef>
              <c:f>[1]GRAFIEK!$C$3:$AM$3</c:f>
              <c:numCache>
                <c:formatCode>General</c:formatCode>
                <c:ptCount val="37"/>
                <c:pt idx="0">
                  <c:v>0.18332725687499998</c:v>
                </c:pt>
                <c:pt idx="1">
                  <c:v>0.23152639004149372</c:v>
                </c:pt>
                <c:pt idx="2">
                  <c:v>0.27661777316735819</c:v>
                </c:pt>
                <c:pt idx="3">
                  <c:v>0.31034398340248959</c:v>
                </c:pt>
                <c:pt idx="4">
                  <c:v>0.33949704356846472</c:v>
                </c:pt>
                <c:pt idx="5">
                  <c:v>0.36217164591977874</c:v>
                </c:pt>
                <c:pt idx="6">
                  <c:v>0.38031132780082993</c:v>
                </c:pt>
                <c:pt idx="7">
                  <c:v>0.39533485477178426</c:v>
                </c:pt>
                <c:pt idx="8">
                  <c:v>0.41114547026279397</c:v>
                </c:pt>
                <c:pt idx="9">
                  <c:v>0.42452368337057139</c:v>
                </c:pt>
                <c:pt idx="10">
                  <c:v>0.43599072317723769</c:v>
                </c:pt>
                <c:pt idx="11">
                  <c:v>0.44592882434301523</c:v>
                </c:pt>
                <c:pt idx="12">
                  <c:v>0.45404549297039243</c:v>
                </c:pt>
                <c:pt idx="13">
                  <c:v>0.46039682985696034</c:v>
                </c:pt>
                <c:pt idx="14">
                  <c:v>0.46604246264502058</c:v>
                </c:pt>
                <c:pt idx="15">
                  <c:v>0.47109381829749564</c:v>
                </c:pt>
                <c:pt idx="16">
                  <c:v>0.47564003838472318</c:v>
                </c:pt>
                <c:pt idx="17">
                  <c:v>0.47975328513031001</c:v>
                </c:pt>
                <c:pt idx="18">
                  <c:v>0.48393237267272732</c:v>
                </c:pt>
                <c:pt idx="19">
                  <c:v>0.48463096516521742</c:v>
                </c:pt>
                <c:pt idx="20">
                  <c:v>0.48527134161666668</c:v>
                </c:pt>
                <c:pt idx="21">
                  <c:v>0.48586048795200004</c:v>
                </c:pt>
                <c:pt idx="22">
                  <c:v>0.48640431533846157</c:v>
                </c:pt>
                <c:pt idx="23">
                  <c:v>0.48690785921481489</c:v>
                </c:pt>
                <c:pt idx="24">
                  <c:v>0.48737543567142866</c:v>
                </c:pt>
                <c:pt idx="25">
                  <c:v>0.48781076547586216</c:v>
                </c:pt>
                <c:pt idx="26">
                  <c:v>0.48821707329333341</c:v>
                </c:pt>
                <c:pt idx="27">
                  <c:v>0.48859716770322587</c:v>
                </c:pt>
                <c:pt idx="28">
                  <c:v>0.48895350621250006</c:v>
                </c:pt>
                <c:pt idx="29">
                  <c:v>0.4892882484484849</c:v>
                </c:pt>
                <c:pt idx="30">
                  <c:v>0.48960329996470592</c:v>
                </c:pt>
                <c:pt idx="31">
                  <c:v>0.48990034853714293</c:v>
                </c:pt>
                <c:pt idx="32">
                  <c:v>0.49018089441111118</c:v>
                </c:pt>
                <c:pt idx="33">
                  <c:v>0.49044627564324328</c:v>
                </c:pt>
                <c:pt idx="34">
                  <c:v>0.49069768944210534</c:v>
                </c:pt>
                <c:pt idx="35">
                  <c:v>0.4909362102256411</c:v>
                </c:pt>
                <c:pt idx="36">
                  <c:v>0.49116280497000003</c:v>
                </c:pt>
              </c:numCache>
              <c:extLst/>
            </c:numRef>
          </c:val>
          <c:smooth val="0"/>
          <c:extLst>
            <c:ext xmlns:c16="http://schemas.microsoft.com/office/drawing/2014/chart" uri="{C3380CC4-5D6E-409C-BE32-E72D297353CC}">
              <c16:uniqueId val="{00000006-0E71-487F-9D0F-872C18777421}"/>
            </c:ext>
          </c:extLst>
        </c:ser>
        <c:ser>
          <c:idx val="3"/>
          <c:order val="7"/>
          <c:tx>
            <c:strRef>
              <c:f>'https://delanotemarc-my.sharepoint.com/personal/mark_delanote_delanote_law/Documents/FISCALE HERVORMING/budgettaire fiches administratie/[Gemiddelde heffingsdruk werknemers vs zelfstandigen verhoging grenzen schijven AJ22.xlsx]GRAFIEK'!$A$10</c:f>
              <c:strCache>
                <c:ptCount val="1"/>
                <c:pt idx="0">
                  <c:v>Zelfstandige zonder BBSZ 5% schaalverhoging</c:v>
                </c:pt>
              </c:strCache>
            </c:strRef>
          </c:tx>
          <c:spPr>
            <a:ln w="28575" cap="rnd">
              <a:solidFill>
                <a:schemeClr val="accent1">
                  <a:lumMod val="75000"/>
                </a:schemeClr>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[1]GRAFIEK!$C$10:$AM$10</c:f>
              <c:numCache>
                <c:formatCode>General</c:formatCode>
                <c:ptCount val="37"/>
                <c:pt idx="0">
                  <c:v>0.18332725687499998</c:v>
                </c:pt>
                <c:pt idx="1">
                  <c:v>0.21892639004149372</c:v>
                </c:pt>
                <c:pt idx="2">
                  <c:v>0.26611777316735818</c:v>
                </c:pt>
                <c:pt idx="3">
                  <c:v>0.29982590397154707</c:v>
                </c:pt>
                <c:pt idx="4">
                  <c:v>0.32899704356846471</c:v>
                </c:pt>
                <c:pt idx="5">
                  <c:v>0.35283831258644532</c:v>
                </c:pt>
                <c:pt idx="6">
                  <c:v>0.37191132780082986</c:v>
                </c:pt>
                <c:pt idx="7">
                  <c:v>0.38751652206714443</c:v>
                </c:pt>
                <c:pt idx="8">
                  <c:v>0.40239547026279399</c:v>
                </c:pt>
                <c:pt idx="9">
                  <c:v>0.4164467602936483</c:v>
                </c:pt>
                <c:pt idx="10">
                  <c:v>0.42849072317723769</c:v>
                </c:pt>
                <c:pt idx="11">
                  <c:v>0.43892882434301517</c:v>
                </c:pt>
                <c:pt idx="12">
                  <c:v>0.4474829929703924</c:v>
                </c:pt>
                <c:pt idx="13">
                  <c:v>0.45422035926872506</c:v>
                </c:pt>
                <c:pt idx="14">
                  <c:v>0.46020912931168723</c:v>
                </c:pt>
                <c:pt idx="15">
                  <c:v>0.46556750250802198</c:v>
                </c:pt>
                <c:pt idx="16">
                  <c:v>0.47039003838472326</c:v>
                </c:pt>
                <c:pt idx="17">
                  <c:v>0.47475328513031007</c:v>
                </c:pt>
                <c:pt idx="18">
                  <c:v>0.47915964540000006</c:v>
                </c:pt>
                <c:pt idx="19">
                  <c:v>0.48006574777391309</c:v>
                </c:pt>
                <c:pt idx="20">
                  <c:v>0.48089634161666672</c:v>
                </c:pt>
                <c:pt idx="21">
                  <c:v>0.48166048795200006</c:v>
                </c:pt>
                <c:pt idx="22">
                  <c:v>0.48236585379999997</c:v>
                </c:pt>
                <c:pt idx="23">
                  <c:v>0.48301897032592594</c:v>
                </c:pt>
                <c:pt idx="24">
                  <c:v>0.48362543567142863</c:v>
                </c:pt>
                <c:pt idx="25">
                  <c:v>0.48419007582068968</c:v>
                </c:pt>
                <c:pt idx="26">
                  <c:v>0.48471707329333336</c:v>
                </c:pt>
                <c:pt idx="27">
                  <c:v>0.48521007092903229</c:v>
                </c:pt>
                <c:pt idx="28">
                  <c:v>0.48567225621250004</c:v>
                </c:pt>
                <c:pt idx="29">
                  <c:v>0.48610643026666672</c:v>
                </c:pt>
                <c:pt idx="30">
                  <c:v>0.48651506467058825</c:v>
                </c:pt>
                <c:pt idx="31">
                  <c:v>0.48690034853714287</c:v>
                </c:pt>
                <c:pt idx="32">
                  <c:v>0.48726422774444444</c:v>
                </c:pt>
                <c:pt idx="33">
                  <c:v>0.48760843780540541</c:v>
                </c:pt>
                <c:pt idx="34">
                  <c:v>0.48793453154736843</c:v>
                </c:pt>
                <c:pt idx="35">
                  <c:v>0.48824390253333338</c:v>
                </c:pt>
                <c:pt idx="36">
                  <c:v>0.48853780497000004</c:v>
                </c:pt>
              </c:numCache>
              <c:extLst/>
            </c:numRef>
          </c:val>
          <c:smooth val="0"/>
          <c:extLst>
            <c:ext xmlns:c16="http://schemas.microsoft.com/office/drawing/2014/chart" uri="{C3380CC4-5D6E-409C-BE32-E72D297353CC}">
              <c16:uniqueId val="{00000007-0E71-487F-9D0F-872C18777421}"/>
            </c:ext>
          </c:extLst>
        </c:ser>
        <c:ser>
          <c:idx val="6"/>
          <c:order val="8"/>
          <c:tx>
            <c:strRef>
              <c:f>'https://delanotemarc-my.sharepoint.com/personal/mark_delanote_delanote_law/Documents/FISCALE HERVORMING/budgettaire fiches administratie/[Gemiddelde heffingsdruk werknemers vs zelfstandigen verhoging grenzen schijven AJ22.xlsx]GRAFIEK'!$A$11</c:f>
              <c:strCache>
                <c:ptCount val="1"/>
                <c:pt idx="0">
                  <c:v>Zelfstandige zonder BBSZ 10% schaalverhoging</c:v>
                </c:pt>
              </c:strCache>
            </c:strRef>
          </c:tx>
          <c:spPr>
            <a:ln w="28575" cap="rnd">
              <a:solidFill>
                <a:schemeClr val="accent1"/>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[1]GRAFIEK!$C$11:$AM$11</c:f>
              <c:numCache>
                <c:formatCode>General</c:formatCode>
                <c:ptCount val="37"/>
                <c:pt idx="0">
                  <c:v>0.18332725687499998</c:v>
                </c:pt>
                <c:pt idx="1">
                  <c:v>0.21278298755186717</c:v>
                </c:pt>
                <c:pt idx="2">
                  <c:v>0.25431777316735815</c:v>
                </c:pt>
                <c:pt idx="3">
                  <c:v>0.28971161825726138</c:v>
                </c:pt>
                <c:pt idx="4">
                  <c:v>0.31719704356846468</c:v>
                </c:pt>
                <c:pt idx="5">
                  <c:v>0.3423494236975565</c:v>
                </c:pt>
                <c:pt idx="6">
                  <c:v>0.36247132780082986</c:v>
                </c:pt>
                <c:pt idx="7">
                  <c:v>0.3789347038853263</c:v>
                </c:pt>
                <c:pt idx="8">
                  <c:v>0.39265418395573992</c:v>
                </c:pt>
                <c:pt idx="9">
                  <c:v>0.40736983721672521</c:v>
                </c:pt>
                <c:pt idx="10">
                  <c:v>0.42006215174866629</c:v>
                </c:pt>
                <c:pt idx="11">
                  <c:v>0.43106215767634853</c:v>
                </c:pt>
                <c:pt idx="12">
                  <c:v>0.44010799297039238</c:v>
                </c:pt>
                <c:pt idx="13">
                  <c:v>0.44727918279813678</c:v>
                </c:pt>
                <c:pt idx="14">
                  <c:v>0.45365357375613163</c:v>
                </c:pt>
                <c:pt idx="15">
                  <c:v>0.45935697619223248</c:v>
                </c:pt>
                <c:pt idx="16">
                  <c:v>0.46449003838472325</c:v>
                </c:pt>
                <c:pt idx="17">
                  <c:v>0.46913423751126238</c:v>
                </c:pt>
                <c:pt idx="18">
                  <c:v>0.47379600903636365</c:v>
                </c:pt>
                <c:pt idx="19">
                  <c:v>0.47493531299130437</c:v>
                </c:pt>
                <c:pt idx="20">
                  <c:v>0.47597967494999999</c:v>
                </c:pt>
                <c:pt idx="21">
                  <c:v>0.476940487952</c:v>
                </c:pt>
                <c:pt idx="22">
                  <c:v>0.47782739226153848</c:v>
                </c:pt>
                <c:pt idx="23">
                  <c:v>0.47864859995555559</c:v>
                </c:pt>
                <c:pt idx="24">
                  <c:v>0.47941114995714285</c:v>
                </c:pt>
                <c:pt idx="25">
                  <c:v>0.48012111030344828</c:v>
                </c:pt>
                <c:pt idx="26">
                  <c:v>0.48078373996000001</c:v>
                </c:pt>
                <c:pt idx="27">
                  <c:v>0.48140361931612902</c:v>
                </c:pt>
                <c:pt idx="28">
                  <c:v>0.48198475621250003</c:v>
                </c:pt>
                <c:pt idx="29">
                  <c:v>0.4825306726909091</c:v>
                </c:pt>
                <c:pt idx="30">
                  <c:v>0.48304447643529413</c:v>
                </c:pt>
                <c:pt idx="31">
                  <c:v>0.48352891996571429</c:v>
                </c:pt>
                <c:pt idx="32">
                  <c:v>0.48398644996666668</c:v>
                </c:pt>
                <c:pt idx="33">
                  <c:v>0.48441924861621621</c:v>
                </c:pt>
                <c:pt idx="34">
                  <c:v>0.48482926838947371</c:v>
                </c:pt>
                <c:pt idx="35">
                  <c:v>0.48521826150769232</c:v>
                </c:pt>
                <c:pt idx="36">
                  <c:v>0.48558780496999998</c:v>
                </c:pt>
              </c:numCache>
              <c:extLst/>
            </c:numRef>
          </c:val>
          <c:smooth val="0"/>
          <c:extLst>
            <c:ext xmlns:c16="http://schemas.microsoft.com/office/drawing/2014/chart" uri="{C3380CC4-5D6E-409C-BE32-E72D297353CC}">
              <c16:uniqueId val="{00000008-0E71-487F-9D0F-872C18777421}"/>
            </c:ext>
          </c:extLst>
        </c:ser>
        <c:ser>
          <c:idx val="7"/>
          <c:order val="9"/>
          <c:tx>
            <c:strRef>
              <c:f>'https://delanotemarc-my.sharepoint.com/personal/mark_delanote_delanote_law/Documents/FISCALE HERVORMING/budgettaire fiches administratie/[Gemiddelde heffingsdruk werknemers vs zelfstandigen verhoging grenzen schijven AJ22.xlsx]GRAFIEK'!$A$12</c:f>
              <c:strCache>
                <c:ptCount val="1"/>
                <c:pt idx="0">
                  <c:v>Zelfstandige zonder BBSZ 15% schaalverhoging</c:v>
                </c:pt>
              </c:strCache>
            </c:strRef>
          </c:tx>
          <c:spPr>
            <a:ln w="28575" cap="rnd">
              <a:solidFill>
                <a:schemeClr val="accent1">
                  <a:lumMod val="60000"/>
                  <a:lumOff val="40000"/>
                </a:schemeClr>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[1]GRAFIEK!$C$12:$AM$12</c:f>
              <c:numCache>
                <c:formatCode>General</c:formatCode>
                <c:ptCount val="37"/>
                <c:pt idx="0">
                  <c:v>0.18332725687499998</c:v>
                </c:pt>
                <c:pt idx="1">
                  <c:v>0.21278298755186717</c:v>
                </c:pt>
                <c:pt idx="2">
                  <c:v>0.24111777316735816</c:v>
                </c:pt>
                <c:pt idx="3">
                  <c:v>0.27839733254297566</c:v>
                </c:pt>
                <c:pt idx="4">
                  <c:v>0.30635700207468874</c:v>
                </c:pt>
                <c:pt idx="5">
                  <c:v>0.33061609036422313</c:v>
                </c:pt>
                <c:pt idx="6">
                  <c:v>0.3519113278008299</c:v>
                </c:pt>
                <c:pt idx="7">
                  <c:v>0.36933470388532624</c:v>
                </c:pt>
                <c:pt idx="8">
                  <c:v>0.38385418395573995</c:v>
                </c:pt>
                <c:pt idx="9">
                  <c:v>0.39721599106287903</c:v>
                </c:pt>
                <c:pt idx="10">
                  <c:v>0.41063358032009478</c:v>
                </c:pt>
                <c:pt idx="11">
                  <c:v>0.4222621576763485</c:v>
                </c:pt>
                <c:pt idx="12">
                  <c:v>0.4318579929703924</c:v>
                </c:pt>
                <c:pt idx="13">
                  <c:v>0.43951447691578388</c:v>
                </c:pt>
                <c:pt idx="14">
                  <c:v>0.44632024042279839</c:v>
                </c:pt>
                <c:pt idx="15">
                  <c:v>0.45240960777117989</c:v>
                </c:pt>
                <c:pt idx="16">
                  <c:v>0.45789003838472325</c:v>
                </c:pt>
                <c:pt idx="17">
                  <c:v>0.46284852322554815</c:v>
                </c:pt>
                <c:pt idx="18">
                  <c:v>0.4677960090363637</c:v>
                </c:pt>
                <c:pt idx="19">
                  <c:v>0.46919618255652179</c:v>
                </c:pt>
                <c:pt idx="20">
                  <c:v>0.47047967495000004</c:v>
                </c:pt>
                <c:pt idx="21">
                  <c:v>0.47166048795200005</c:v>
                </c:pt>
                <c:pt idx="22">
                  <c:v>0.47275046918461544</c:v>
                </c:pt>
                <c:pt idx="23">
                  <c:v>0.47375971106666664</c:v>
                </c:pt>
                <c:pt idx="24">
                  <c:v>0.47469686424285717</c:v>
                </c:pt>
                <c:pt idx="25">
                  <c:v>0.47556938616551725</c:v>
                </c:pt>
                <c:pt idx="26">
                  <c:v>0.47638373996000005</c:v>
                </c:pt>
                <c:pt idx="27">
                  <c:v>0.47714555480000004</c:v>
                </c:pt>
                <c:pt idx="28">
                  <c:v>0.47785975621250004</c:v>
                </c:pt>
                <c:pt idx="29">
                  <c:v>0.4785306726909091</c:v>
                </c:pt>
                <c:pt idx="30">
                  <c:v>0.47916212349411769</c:v>
                </c:pt>
                <c:pt idx="31">
                  <c:v>0.47975749139428575</c:v>
                </c:pt>
                <c:pt idx="32">
                  <c:v>0.48031978330000002</c:v>
                </c:pt>
                <c:pt idx="33">
                  <c:v>0.48085168104864867</c:v>
                </c:pt>
                <c:pt idx="34">
                  <c:v>0.48135558417894742</c:v>
                </c:pt>
                <c:pt idx="35">
                  <c:v>0.48183364612307694</c:v>
                </c:pt>
                <c:pt idx="36">
                  <c:v>0.48228780497000001</c:v>
                </c:pt>
              </c:numCache>
              <c:extLst/>
            </c:numRef>
          </c:val>
          <c:smooth val="0"/>
          <c:extLst>
            <c:ext xmlns:c16="http://schemas.microsoft.com/office/drawing/2014/chart" uri="{C3380CC4-5D6E-409C-BE32-E72D297353CC}">
              <c16:uniqueId val="{00000009-0E71-487F-9D0F-872C18777421}"/>
            </c:ext>
          </c:extLst>
        </c:ser>
        <c:ser>
          <c:idx val="10"/>
          <c:order val="10"/>
          <c:tx>
            <c:strRef>
              <c:f>'https://delanotemarc-my.sharepoint.com/personal/mark_delanote_delanote_law/Documents/FISCALE HERVORMING/budgettaire fiches administratie/[Gemiddelde heffingsdruk werknemers vs zelfstandigen verhoging grenzen schijven AJ22.xlsx]GRAFIEK'!$A$13</c:f>
              <c:strCache>
                <c:ptCount val="1"/>
                <c:pt idx="0">
                  <c:v>Zelfstandige zonder BBSZ 20% schaalverhoging</c:v>
                </c:pt>
              </c:strCache>
            </c:strRef>
          </c:tx>
          <c:spPr>
            <a:ln w="28575" cap="rnd">
              <a:solidFill>
                <a:schemeClr val="accent1">
                  <a:lumMod val="40000"/>
                  <a:lumOff val="60000"/>
                </a:schemeClr>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[1]GRAFIEK!$C$13:$AM$13</c:f>
              <c:numCache>
                <c:formatCode>General</c:formatCode>
                <c:ptCount val="37"/>
                <c:pt idx="0">
                  <c:v>0.18332725687499998</c:v>
                </c:pt>
                <c:pt idx="1">
                  <c:v>0.21278298755186717</c:v>
                </c:pt>
                <c:pt idx="2">
                  <c:v>0.24025138312586442</c:v>
                </c:pt>
                <c:pt idx="3">
                  <c:v>0.26489733254297565</c:v>
                </c:pt>
                <c:pt idx="4">
                  <c:v>0.29454450207468874</c:v>
                </c:pt>
                <c:pt idx="5">
                  <c:v>0.31760341171046563</c:v>
                </c:pt>
                <c:pt idx="6">
                  <c:v>0.3393113278008299</c:v>
                </c:pt>
                <c:pt idx="7">
                  <c:v>0.35788015843078086</c:v>
                </c:pt>
                <c:pt idx="8">
                  <c:v>0.37335418395573999</c:v>
                </c:pt>
                <c:pt idx="9">
                  <c:v>0.38644759016916697</c:v>
                </c:pt>
                <c:pt idx="10">
                  <c:v>0.3993835803200948</c:v>
                </c:pt>
                <c:pt idx="11">
                  <c:v>0.41176215767634855</c:v>
                </c:pt>
                <c:pt idx="12">
                  <c:v>0.42201424297039242</c:v>
                </c:pt>
                <c:pt idx="13">
                  <c:v>0.43024977103343093</c:v>
                </c:pt>
                <c:pt idx="14">
                  <c:v>0.43757024042279835</c:v>
                </c:pt>
                <c:pt idx="15">
                  <c:v>0.44412013408696932</c:v>
                </c:pt>
                <c:pt idx="16">
                  <c:v>0.45001503838472318</c:v>
                </c:pt>
                <c:pt idx="17">
                  <c:v>0.45534852322554814</c:v>
                </c:pt>
                <c:pt idx="18">
                  <c:v>0.46063691812727275</c:v>
                </c:pt>
                <c:pt idx="19">
                  <c:v>0.46234835646956524</c:v>
                </c:pt>
                <c:pt idx="20">
                  <c:v>0.46391717495000001</c:v>
                </c:pt>
                <c:pt idx="21">
                  <c:v>0.46536048795200002</c:v>
                </c:pt>
                <c:pt idx="22">
                  <c:v>0.46669277687692312</c:v>
                </c:pt>
                <c:pt idx="23">
                  <c:v>0.46792637773333334</c:v>
                </c:pt>
                <c:pt idx="24">
                  <c:v>0.46907186424285724</c:v>
                </c:pt>
                <c:pt idx="25">
                  <c:v>0.47013835168275869</c:v>
                </c:pt>
                <c:pt idx="26">
                  <c:v>0.47113373996000008</c:v>
                </c:pt>
                <c:pt idx="27">
                  <c:v>0.47206490963870973</c:v>
                </c:pt>
                <c:pt idx="28">
                  <c:v>0.47293788121250008</c:v>
                </c:pt>
                <c:pt idx="29">
                  <c:v>0.47375794541818189</c:v>
                </c:pt>
                <c:pt idx="30">
                  <c:v>0.47452977055294127</c:v>
                </c:pt>
                <c:pt idx="31">
                  <c:v>0.4752574913942858</c:v>
                </c:pt>
                <c:pt idx="32">
                  <c:v>0.47594478330000006</c:v>
                </c:pt>
                <c:pt idx="33">
                  <c:v>0.47659492429189193</c:v>
                </c:pt>
                <c:pt idx="34">
                  <c:v>0.47721084733684216</c:v>
                </c:pt>
                <c:pt idx="35">
                  <c:v>0.47779518458461545</c:v>
                </c:pt>
                <c:pt idx="36">
                  <c:v>0.47835030497000003</c:v>
                </c:pt>
              </c:numCache>
              <c:extLst/>
            </c:numRef>
          </c:val>
          <c:smooth val="0"/>
          <c:extLst>
            <c:ext xmlns:c16="http://schemas.microsoft.com/office/drawing/2014/chart" uri="{C3380CC4-5D6E-409C-BE32-E72D297353CC}">
              <c16:uniqueId val="{0000000A-0E71-487F-9D0F-872C18777421}"/>
            </c:ext>
          </c:extLst>
        </c:ser>
        <c:ser>
          <c:idx val="11"/>
          <c:order val="11"/>
          <c:tx>
            <c:strRef>
              <c:f>'https://delanotemarc-my.sharepoint.com/personal/mark_delanote_delanote_law/Documents/FISCALE HERVORMING/budgettaire fiches administratie/[Gemiddelde heffingsdruk werknemers vs zelfstandigen verhoging grenzen schijven AJ22.xlsx]GRAFIEK'!$A$14</c:f>
              <c:strCache>
                <c:ptCount val="1"/>
                <c:pt idx="0">
                  <c:v>Zelfstandige zonder BBSZ 25% schaalverhoging</c:v>
                </c:pt>
              </c:strCache>
            </c:strRef>
          </c:tx>
          <c:spPr>
            <a:ln w="28575" cap="rnd">
              <a:solidFill>
                <a:schemeClr val="accent1">
                  <a:lumMod val="20000"/>
                  <a:lumOff val="80000"/>
                </a:schemeClr>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[1]GRAFIEK!$C$14:$AM$14</c:f>
              <c:numCache>
                <c:formatCode>General</c:formatCode>
                <c:ptCount val="37"/>
                <c:pt idx="0">
                  <c:v>0.18332725687499998</c:v>
                </c:pt>
                <c:pt idx="1">
                  <c:v>0.21278298755186717</c:v>
                </c:pt>
                <c:pt idx="2">
                  <c:v>0.24025138312586442</c:v>
                </c:pt>
                <c:pt idx="3">
                  <c:v>0.25987166567871955</c:v>
                </c:pt>
                <c:pt idx="4">
                  <c:v>0.27935700207468878</c:v>
                </c:pt>
                <c:pt idx="5">
                  <c:v>0.30410341171046568</c:v>
                </c:pt>
                <c:pt idx="6">
                  <c:v>0.32390053941908709</c:v>
                </c:pt>
                <c:pt idx="7">
                  <c:v>0.3431528857035081</c:v>
                </c:pt>
                <c:pt idx="8">
                  <c:v>0.35985418395573998</c:v>
                </c:pt>
                <c:pt idx="9">
                  <c:v>0.37398605170762844</c:v>
                </c:pt>
                <c:pt idx="10">
                  <c:v>0.38609908120924713</c:v>
                </c:pt>
                <c:pt idx="11">
                  <c:v>0.39826215767634848</c:v>
                </c:pt>
                <c:pt idx="12">
                  <c:v>0.40935799297039238</c:v>
                </c:pt>
                <c:pt idx="13">
                  <c:v>0.41833800632754853</c:v>
                </c:pt>
                <c:pt idx="14">
                  <c:v>0.42632024042279831</c:v>
                </c:pt>
                <c:pt idx="15">
                  <c:v>0.43346223935012723</c:v>
                </c:pt>
                <c:pt idx="16">
                  <c:v>0.43989003838472313</c:v>
                </c:pt>
                <c:pt idx="17">
                  <c:v>0.44570566608269097</c:v>
                </c:pt>
                <c:pt idx="18">
                  <c:v>0.45143237267272729</c:v>
                </c:pt>
                <c:pt idx="19">
                  <c:v>0.45354400864347827</c:v>
                </c:pt>
                <c:pt idx="20">
                  <c:v>0.45547967495000002</c:v>
                </c:pt>
                <c:pt idx="21">
                  <c:v>0.45726048795200003</c:v>
                </c:pt>
                <c:pt idx="22">
                  <c:v>0.45890431533846154</c:v>
                </c:pt>
                <c:pt idx="23">
                  <c:v>0.46042637773333334</c:v>
                </c:pt>
                <c:pt idx="24">
                  <c:v>0.46183972138571422</c:v>
                </c:pt>
                <c:pt idx="25">
                  <c:v>0.46315559306206894</c:v>
                </c:pt>
                <c:pt idx="26">
                  <c:v>0.46438373995999993</c:v>
                </c:pt>
                <c:pt idx="27">
                  <c:v>0.46553265157419349</c:v>
                </c:pt>
                <c:pt idx="28">
                  <c:v>0.46660975621249995</c:v>
                </c:pt>
                <c:pt idx="29">
                  <c:v>0.46762158178181812</c:v>
                </c:pt>
                <c:pt idx="30">
                  <c:v>0.46857388819999995</c:v>
                </c:pt>
                <c:pt idx="31">
                  <c:v>0.46947177710857141</c:v>
                </c:pt>
                <c:pt idx="32">
                  <c:v>0.47031978329999996</c:v>
                </c:pt>
                <c:pt idx="33">
                  <c:v>0.47112195131891887</c:v>
                </c:pt>
                <c:pt idx="34">
                  <c:v>0.471881899968421</c:v>
                </c:pt>
                <c:pt idx="35">
                  <c:v>0.47260287689230768</c:v>
                </c:pt>
                <c:pt idx="36">
                  <c:v>0.47328780496999995</c:v>
                </c:pt>
              </c:numCache>
              <c:extLst/>
            </c:numRef>
          </c:val>
          <c:smooth val="0"/>
          <c:extLst>
            <c:ext xmlns:c16="http://schemas.microsoft.com/office/drawing/2014/chart" uri="{C3380CC4-5D6E-409C-BE32-E72D297353CC}">
              <c16:uniqueId val="{0000000B-0E71-487F-9D0F-872C18777421}"/>
            </c:ext>
          </c:extLst>
        </c:ser>
        <c:dLbls>
          <c:showLegendKey val="0"/>
          <c:showVal val="0"/>
          <c:showCatName val="0"/>
          <c:showSerName val="0"/>
          <c:showPercent val="0"/>
          <c:showBubbleSize val="0"/>
        </c:dLbls>
        <c:smooth val="0"/>
        <c:axId val="1622298335"/>
        <c:axId val="1463598991"/>
      </c:lineChart>
      <c:catAx>
        <c:axId val="1622298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463598991"/>
        <c:crosses val="autoZero"/>
        <c:auto val="1"/>
        <c:lblAlgn val="ctr"/>
        <c:lblOffset val="100"/>
        <c:noMultiLvlLbl val="0"/>
      </c:catAx>
      <c:valAx>
        <c:axId val="1463598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622298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Marginale effectieve</a:t>
            </a:r>
            <a:r>
              <a:rPr lang="en-US" baseline="0"/>
              <a:t> heffingsdruk</a:t>
            </a:r>
            <a:endParaRPr lang="en-US"/>
          </a:p>
        </c:rich>
      </c:tx>
      <c:layout>
        <c:manualLayout>
          <c:xMode val="edge"/>
          <c:yMode val="edge"/>
          <c:x val="0.28046979424589696"/>
          <c:y val="2.05957449710786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4.9914015512104781E-2"/>
          <c:y val="6.7109586246706862E-2"/>
          <c:w val="0.92328836494754496"/>
          <c:h val="0.83097922832105986"/>
        </c:manualLayout>
      </c:layout>
      <c:lineChart>
        <c:grouping val="standard"/>
        <c:varyColors val="0"/>
        <c:ser>
          <c:idx val="0"/>
          <c:order val="0"/>
          <c:tx>
            <c:strRef>
              <c:f>'https://gcloudbelgium-my.sharepoint.com/personal/bert_cleynen_minfin_fed_be/Documents/Studiedienst/Hervorming Mark Delanote/[Gemiddelde heffingsdruk werknemers vs zelfstandigen verhoging grenzen schijven AJ22.xlsx]GRAFIEK'!$A$17</c:f>
              <c:strCache>
                <c:ptCount val="1"/>
                <c:pt idx="0">
                  <c:v>Zelfstandige</c:v>
                </c:pt>
              </c:strCache>
            </c:strRef>
          </c:tx>
          <c:spPr>
            <a:ln w="28575" cap="rnd">
              <a:solidFill>
                <a:schemeClr val="accent1"/>
              </a:solidFill>
              <a:round/>
            </a:ln>
            <a:effectLst/>
          </c:spPr>
          <c:marker>
            <c:symbol val="none"/>
          </c:marker>
          <c:cat>
            <c:numRef>
              <c:f>[1]GRAFIEK!$B$16:$AM$16</c:f>
              <c:numCache>
                <c:formatCode>General</c:formatCode>
                <c:ptCount val="38"/>
                <c:pt idx="0">
                  <c:v>15</c:v>
                </c:pt>
                <c:pt idx="1">
                  <c:v>20</c:v>
                </c:pt>
                <c:pt idx="2">
                  <c:v>25</c:v>
                </c:pt>
                <c:pt idx="3">
                  <c:v>30</c:v>
                </c:pt>
                <c:pt idx="4">
                  <c:v>35</c:v>
                </c:pt>
                <c:pt idx="5">
                  <c:v>40</c:v>
                </c:pt>
                <c:pt idx="6">
                  <c:v>45</c:v>
                </c:pt>
                <c:pt idx="7">
                  <c:v>50</c:v>
                </c:pt>
                <c:pt idx="8">
                  <c:v>55</c:v>
                </c:pt>
                <c:pt idx="9">
                  <c:v>60</c:v>
                </c:pt>
                <c:pt idx="10">
                  <c:v>65</c:v>
                </c:pt>
                <c:pt idx="11">
                  <c:v>70</c:v>
                </c:pt>
                <c:pt idx="12">
                  <c:v>75</c:v>
                </c:pt>
                <c:pt idx="13">
                  <c:v>80</c:v>
                </c:pt>
                <c:pt idx="14">
                  <c:v>85</c:v>
                </c:pt>
                <c:pt idx="15">
                  <c:v>90</c:v>
                </c:pt>
                <c:pt idx="16">
                  <c:v>95</c:v>
                </c:pt>
                <c:pt idx="17">
                  <c:v>100</c:v>
                </c:pt>
                <c:pt idx="18">
                  <c:v>105</c:v>
                </c:pt>
                <c:pt idx="19">
                  <c:v>110</c:v>
                </c:pt>
                <c:pt idx="20">
                  <c:v>115</c:v>
                </c:pt>
                <c:pt idx="21">
                  <c:v>120</c:v>
                </c:pt>
                <c:pt idx="22">
                  <c:v>125</c:v>
                </c:pt>
                <c:pt idx="23">
                  <c:v>130</c:v>
                </c:pt>
                <c:pt idx="24">
                  <c:v>135</c:v>
                </c:pt>
                <c:pt idx="25">
                  <c:v>140</c:v>
                </c:pt>
                <c:pt idx="26">
                  <c:v>145</c:v>
                </c:pt>
                <c:pt idx="27">
                  <c:v>150</c:v>
                </c:pt>
                <c:pt idx="28">
                  <c:v>155</c:v>
                </c:pt>
                <c:pt idx="29">
                  <c:v>160</c:v>
                </c:pt>
                <c:pt idx="30">
                  <c:v>165</c:v>
                </c:pt>
                <c:pt idx="31">
                  <c:v>170</c:v>
                </c:pt>
                <c:pt idx="32">
                  <c:v>175</c:v>
                </c:pt>
                <c:pt idx="33">
                  <c:v>180</c:v>
                </c:pt>
                <c:pt idx="34">
                  <c:v>185</c:v>
                </c:pt>
                <c:pt idx="35">
                  <c:v>190</c:v>
                </c:pt>
                <c:pt idx="36">
                  <c:v>195</c:v>
                </c:pt>
                <c:pt idx="37">
                  <c:v>200</c:v>
                </c:pt>
              </c:numCache>
            </c:numRef>
          </c:cat>
          <c:val>
            <c:numRef>
              <c:f>[1]GRAFIEK!$B$17:$AM$17</c:f>
              <c:numCache>
                <c:formatCode>General</c:formatCode>
                <c:ptCount val="38"/>
                <c:pt idx="0">
                  <c:v>0.20499999999999999</c:v>
                </c:pt>
                <c:pt idx="1">
                  <c:v>0.45499999999999996</c:v>
                </c:pt>
                <c:pt idx="2">
                  <c:v>0.60499999999999998</c:v>
                </c:pt>
                <c:pt idx="3">
                  <c:v>0.60499999999999998</c:v>
                </c:pt>
                <c:pt idx="4">
                  <c:v>0.65500000000000003</c:v>
                </c:pt>
                <c:pt idx="5">
                  <c:v>0.65500000000000003</c:v>
                </c:pt>
                <c:pt idx="6">
                  <c:v>0.65500000000000003</c:v>
                </c:pt>
                <c:pt idx="7">
                  <c:v>0.65500000000000003</c:v>
                </c:pt>
                <c:pt idx="8">
                  <c:v>0.65500000000000003</c:v>
                </c:pt>
                <c:pt idx="9">
                  <c:v>0.64159999999999995</c:v>
                </c:pt>
                <c:pt idx="10">
                  <c:v>0.64159999999999995</c:v>
                </c:pt>
                <c:pt idx="11">
                  <c:v>0.64159999999999995</c:v>
                </c:pt>
                <c:pt idx="12">
                  <c:v>0.64159999999999995</c:v>
                </c:pt>
                <c:pt idx="13">
                  <c:v>0.64159999999999995</c:v>
                </c:pt>
                <c:pt idx="14">
                  <c:v>0.64159999999999995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numCache>
            </c:numRef>
          </c:val>
          <c:smooth val="0"/>
          <c:extLst>
            <c:ext xmlns:c16="http://schemas.microsoft.com/office/drawing/2014/chart" uri="{C3380CC4-5D6E-409C-BE32-E72D297353CC}">
              <c16:uniqueId val="{00000000-FF5D-4571-9D1C-948012AC71C2}"/>
            </c:ext>
          </c:extLst>
        </c:ser>
        <c:ser>
          <c:idx val="1"/>
          <c:order val="1"/>
          <c:tx>
            <c:strRef>
              <c:f>'https://gcloudbelgium-my.sharepoint.com/personal/bert_cleynen_minfin_fed_be/Documents/Studiedienst/Hervorming Mark Delanote/[Gemiddelde heffingsdruk werknemers vs zelfstandigen verhoging grenzen schijven AJ22.xlsx]GRAFIEK'!$A$18</c:f>
              <c:strCache>
                <c:ptCount val="1"/>
                <c:pt idx="0">
                  <c:v>Loontrekkende</c:v>
                </c:pt>
              </c:strCache>
            </c:strRef>
          </c:tx>
          <c:spPr>
            <a:ln w="28575" cap="rnd">
              <a:solidFill>
                <a:srgbClr val="C00000"/>
              </a:solidFill>
              <a:round/>
            </a:ln>
            <a:effectLst/>
          </c:spPr>
          <c:marker>
            <c:symbol val="none"/>
          </c:marker>
          <c:cat>
            <c:numRef>
              <c:f>[1]GRAFIEK!$B$16:$AM$16</c:f>
              <c:numCache>
                <c:formatCode>General</c:formatCode>
                <c:ptCount val="38"/>
                <c:pt idx="0">
                  <c:v>15</c:v>
                </c:pt>
                <c:pt idx="1">
                  <c:v>20</c:v>
                </c:pt>
                <c:pt idx="2">
                  <c:v>25</c:v>
                </c:pt>
                <c:pt idx="3">
                  <c:v>30</c:v>
                </c:pt>
                <c:pt idx="4">
                  <c:v>35</c:v>
                </c:pt>
                <c:pt idx="5">
                  <c:v>40</c:v>
                </c:pt>
                <c:pt idx="6">
                  <c:v>45</c:v>
                </c:pt>
                <c:pt idx="7">
                  <c:v>50</c:v>
                </c:pt>
                <c:pt idx="8">
                  <c:v>55</c:v>
                </c:pt>
                <c:pt idx="9">
                  <c:v>60</c:v>
                </c:pt>
                <c:pt idx="10">
                  <c:v>65</c:v>
                </c:pt>
                <c:pt idx="11">
                  <c:v>70</c:v>
                </c:pt>
                <c:pt idx="12">
                  <c:v>75</c:v>
                </c:pt>
                <c:pt idx="13">
                  <c:v>80</c:v>
                </c:pt>
                <c:pt idx="14">
                  <c:v>85</c:v>
                </c:pt>
                <c:pt idx="15">
                  <c:v>90</c:v>
                </c:pt>
                <c:pt idx="16">
                  <c:v>95</c:v>
                </c:pt>
                <c:pt idx="17">
                  <c:v>100</c:v>
                </c:pt>
                <c:pt idx="18">
                  <c:v>105</c:v>
                </c:pt>
                <c:pt idx="19">
                  <c:v>110</c:v>
                </c:pt>
                <c:pt idx="20">
                  <c:v>115</c:v>
                </c:pt>
                <c:pt idx="21">
                  <c:v>120</c:v>
                </c:pt>
                <c:pt idx="22">
                  <c:v>125</c:v>
                </c:pt>
                <c:pt idx="23">
                  <c:v>130</c:v>
                </c:pt>
                <c:pt idx="24">
                  <c:v>135</c:v>
                </c:pt>
                <c:pt idx="25">
                  <c:v>140</c:v>
                </c:pt>
                <c:pt idx="26">
                  <c:v>145</c:v>
                </c:pt>
                <c:pt idx="27">
                  <c:v>150</c:v>
                </c:pt>
                <c:pt idx="28">
                  <c:v>155</c:v>
                </c:pt>
                <c:pt idx="29">
                  <c:v>160</c:v>
                </c:pt>
                <c:pt idx="30">
                  <c:v>165</c:v>
                </c:pt>
                <c:pt idx="31">
                  <c:v>170</c:v>
                </c:pt>
                <c:pt idx="32">
                  <c:v>175</c:v>
                </c:pt>
                <c:pt idx="33">
                  <c:v>180</c:v>
                </c:pt>
                <c:pt idx="34">
                  <c:v>185</c:v>
                </c:pt>
                <c:pt idx="35">
                  <c:v>190</c:v>
                </c:pt>
                <c:pt idx="36">
                  <c:v>195</c:v>
                </c:pt>
                <c:pt idx="37">
                  <c:v>200</c:v>
                </c:pt>
              </c:numCache>
            </c:numRef>
          </c:cat>
          <c:val>
            <c:numRef>
              <c:f>[1]GRAFIEK!$B$18:$AM$18</c:f>
              <c:numCache>
                <c:formatCode>General</c:formatCode>
                <c:ptCount val="38"/>
                <c:pt idx="0">
                  <c:v>0.2</c:v>
                </c:pt>
                <c:pt idx="1">
                  <c:v>0.30749999999999994</c:v>
                </c:pt>
                <c:pt idx="2">
                  <c:v>0.44020000000000009</c:v>
                </c:pt>
                <c:pt idx="3">
                  <c:v>0.69317755928644398</c:v>
                </c:pt>
                <c:pt idx="4">
                  <c:v>0.7960579597241384</c:v>
                </c:pt>
                <c:pt idx="5">
                  <c:v>0.76035859089655133</c:v>
                </c:pt>
                <c:pt idx="6">
                  <c:v>0.64087300016183235</c:v>
                </c:pt>
                <c:pt idx="7">
                  <c:v>0.62509420689655071</c:v>
                </c:pt>
                <c:pt idx="8">
                  <c:v>0.62509420689655282</c:v>
                </c:pt>
                <c:pt idx="9">
                  <c:v>0.62509420689655071</c:v>
                </c:pt>
                <c:pt idx="10">
                  <c:v>0.62509420689655149</c:v>
                </c:pt>
                <c:pt idx="11">
                  <c:v>0.64910220689655351</c:v>
                </c:pt>
                <c:pt idx="12">
                  <c:v>0.65986620689654951</c:v>
                </c:pt>
                <c:pt idx="13">
                  <c:v>0.6598662068965524</c:v>
                </c:pt>
                <c:pt idx="14">
                  <c:v>0.6598662068965524</c:v>
                </c:pt>
                <c:pt idx="15">
                  <c:v>0.65986620689655096</c:v>
                </c:pt>
                <c:pt idx="16">
                  <c:v>0.6598662068965524</c:v>
                </c:pt>
                <c:pt idx="17">
                  <c:v>0.65986620689655096</c:v>
                </c:pt>
                <c:pt idx="18">
                  <c:v>0.65986620689655096</c:v>
                </c:pt>
                <c:pt idx="19">
                  <c:v>0.65240640717241549</c:v>
                </c:pt>
                <c:pt idx="20">
                  <c:v>0.65227999999999897</c:v>
                </c:pt>
                <c:pt idx="21">
                  <c:v>0.65228000000000175</c:v>
                </c:pt>
                <c:pt idx="22">
                  <c:v>0.65227999999999897</c:v>
                </c:pt>
                <c:pt idx="23">
                  <c:v>0.65227999999999897</c:v>
                </c:pt>
                <c:pt idx="24">
                  <c:v>0.65228000000000175</c:v>
                </c:pt>
                <c:pt idx="25">
                  <c:v>0.65227999999999897</c:v>
                </c:pt>
                <c:pt idx="26">
                  <c:v>0.65227999999999897</c:v>
                </c:pt>
                <c:pt idx="27">
                  <c:v>0.65228000000000175</c:v>
                </c:pt>
                <c:pt idx="28">
                  <c:v>0.65227999999999897</c:v>
                </c:pt>
                <c:pt idx="29">
                  <c:v>0.65227999999999897</c:v>
                </c:pt>
                <c:pt idx="30">
                  <c:v>0.65228000000000175</c:v>
                </c:pt>
                <c:pt idx="31">
                  <c:v>0.65227999999999897</c:v>
                </c:pt>
                <c:pt idx="32">
                  <c:v>0.65227999999999897</c:v>
                </c:pt>
                <c:pt idx="33">
                  <c:v>0.65228000000000175</c:v>
                </c:pt>
                <c:pt idx="34">
                  <c:v>0.65227999999999897</c:v>
                </c:pt>
                <c:pt idx="35">
                  <c:v>0.65227999999999897</c:v>
                </c:pt>
                <c:pt idx="36">
                  <c:v>0.65228000000000175</c:v>
                </c:pt>
                <c:pt idx="37">
                  <c:v>0.65228000000000175</c:v>
                </c:pt>
              </c:numCache>
            </c:numRef>
          </c:val>
          <c:smooth val="0"/>
          <c:extLst>
            <c:ext xmlns:c16="http://schemas.microsoft.com/office/drawing/2014/chart" uri="{C3380CC4-5D6E-409C-BE32-E72D297353CC}">
              <c16:uniqueId val="{00000001-FF5D-4571-9D1C-948012AC71C2}"/>
            </c:ext>
          </c:extLst>
        </c:ser>
        <c:dLbls>
          <c:showLegendKey val="0"/>
          <c:showVal val="0"/>
          <c:showCatName val="0"/>
          <c:showSerName val="0"/>
          <c:showPercent val="0"/>
          <c:showBubbleSize val="0"/>
        </c:dLbls>
        <c:smooth val="0"/>
        <c:axId val="1750632671"/>
        <c:axId val="1263744735"/>
      </c:lineChart>
      <c:catAx>
        <c:axId val="1750632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263744735"/>
        <c:crosses val="autoZero"/>
        <c:auto val="1"/>
        <c:lblAlgn val="ctr"/>
        <c:lblOffset val="100"/>
        <c:noMultiLvlLbl val="0"/>
      </c:catAx>
      <c:valAx>
        <c:axId val="1263744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750632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 xmlns="b6343280-e923-429f-981f-27770744d99d" xsi:nil="true"/>
    <OBJECT xmlns="b6343280-e923-429f-981f-27770744d99d" xsi:nil="true"/>
    <TaxCatchAll xmlns="b6343280-e923-429f-981f-27770744d99d" xsi:nil="true"/>
    <Link xmlns="b6343280-e923-429f-981f-27770744d99d">
      <Url xsi:nil="true"/>
      <Description xsi:nil="true"/>
    </Link>
    <TaxKeywordTaxHTField xmlns="b6343280-e923-429f-981f-27770744d99d">
      <Terms xmlns="http://schemas.microsoft.com/office/infopath/2007/PartnerControls"/>
    </TaxKeywordTaxHTField>
    <Linkb xmlns="b6343280-e923-429f-981f-27770744d99d">
      <Url xsi:nil="true"/>
      <Description xsi:nil="true"/>
    </Linkb>
    <COORDINATOR xmlns="b6343280-e923-429f-981f-27770744d99d">
      <UserInfo>
        <DisplayName/>
        <AccountId xsi:nil="true"/>
        <AccountType/>
      </UserInfo>
    </COORDINATOR>
    <FORM xmlns="b6343280-e923-429f-981f-27770744d99d" xsi:nil="true"/>
    <DR xmlns="b6343280-e923-429f-981f-27770744d99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A85392F85A440458D9892D12E1E56DF" ma:contentTypeVersion="23" ma:contentTypeDescription="Crée un document." ma:contentTypeScope="" ma:versionID="720340ff9d1999836cc0cd79ae004393">
  <xsd:schema xmlns:xsd="http://www.w3.org/2001/XMLSchema" xmlns:xs="http://www.w3.org/2001/XMLSchema" xmlns:p="http://schemas.microsoft.com/office/2006/metadata/properties" xmlns:ns2="b6343280-e923-429f-981f-27770744d99d" xmlns:ns3="870d1389-18e5-4663-aa60-ae821104b24e" targetNamespace="http://schemas.microsoft.com/office/2006/metadata/properties" ma:root="true" ma:fieldsID="562603557851e1a7d5b47f839128eee2" ns2:_="" ns3:_="">
    <xsd:import namespace="b6343280-e923-429f-981f-27770744d99d"/>
    <xsd:import namespace="870d1389-18e5-4663-aa60-ae821104b24e"/>
    <xsd:element name="properties">
      <xsd:complexType>
        <xsd:sequence>
          <xsd:element name="documentManagement">
            <xsd:complexType>
              <xsd:all>
                <xsd:element ref="ns2:DATE" minOccurs="0"/>
                <xsd:element ref="ns2:COORDINATOR" minOccurs="0"/>
                <xsd:element ref="ns2:FORM" minOccurs="0"/>
                <xsd:element ref="ns2:OBJECT" minOccurs="0"/>
                <xsd:element ref="ns2:Link" minOccurs="0"/>
                <xsd:element ref="ns2:DR" minOccurs="0"/>
                <xsd:element ref="ns2:TaxKeywordTaxHTField" minOccurs="0"/>
                <xsd:element ref="ns2:TaxCatchAll" minOccurs="0"/>
                <xsd:element ref="ns3:MediaServiceMetadata" minOccurs="0"/>
                <xsd:element ref="ns3:MediaServiceFastMetadata" minOccurs="0"/>
                <xsd:element ref="ns2:SharedWithUsers" minOccurs="0"/>
                <xsd:element ref="ns2:SharedWithDetails" minOccurs="0"/>
                <xsd:element ref="ns2:Link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43280-e923-429f-981f-27770744d99d" elementFormDefault="qualified">
    <xsd:import namespace="http://schemas.microsoft.com/office/2006/documentManagement/types"/>
    <xsd:import namespace="http://schemas.microsoft.com/office/infopath/2007/PartnerControls"/>
    <xsd:element name="DATE" ma:index="3" nillable="true" ma:displayName="DATE" ma:format="DateOnly" ma:internalName="DATE" ma:readOnly="false">
      <xsd:simpleType>
        <xsd:restriction base="dms:DateTime"/>
      </xsd:simpleType>
    </xsd:element>
    <xsd:element name="COORDINATOR" ma:index="4" nillable="true" ma:displayName="COORDINATOR" ma:list="UserInfo" ma:SearchPeopleOnly="false" ma:SharePointGroup="0" ma:internalName="COORDIN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RM" ma:index="5" nillable="true" ma:displayName="Form" ma:internalName="FORM" ma:readOnly="false">
      <xsd:complexType>
        <xsd:complexContent>
          <xsd:extension base="dms:MultiChoice">
            <xsd:sequence>
              <xsd:element name="Value" maxOccurs="unbounded" minOccurs="0" nillable="true">
                <xsd:simpleType>
                  <xsd:restriction base="dms:Choice">
                    <xsd:enumeration value="L/W"/>
                    <xsd:enumeration value="PL/WV"/>
                    <xsd:enumeration value="DecV"/>
                    <xsd:enumeration value="DecW"/>
                    <xsd:enumeration value="OrdB"/>
                    <xsd:enumeration value="AR/KB"/>
                    <xsd:enumeration value="AM/MB"/>
                    <xsd:enumeration value="QO/MV"/>
                    <xsd:enumeration value="QE/SV"/>
                    <xsd:enumeration value="ET/ST"/>
                    <xsd:enumeration value="Av/Ad"/>
                    <xsd:enumeration value="Fiche"/>
                    <xsd:enumeration value="Bud"/>
                    <xsd:enumeration value="MB"/>
                    <xsd:enumeration value="IF"/>
                    <xsd:enumeration value="APD/GBA"/>
                    <xsd:enumeration value="Eva"/>
                    <xsd:enumeration value="Exp"/>
                    <xsd:enumeration value="VP"/>
                    <xsd:enumeration value="Min"/>
                    <xsd:enumeration value="CoJ-EU"/>
                    <xsd:enumeration value="CC/GH"/>
                    <xsd:enumeration value="CE/RvS"/>
                    <xsd:enumeration value="Cass"/>
                    <xsd:enumeration value="Just"/>
                    <xsd:enumeration value="Com"/>
                    <xsd:enumeration value="Other"/>
                  </xsd:restriction>
                </xsd:simpleType>
              </xsd:element>
            </xsd:sequence>
          </xsd:extension>
        </xsd:complexContent>
      </xsd:complexType>
    </xsd:element>
    <xsd:element name="OBJECT" ma:index="6" nillable="true" ma:displayName="OBJECT" ma:internalName="OBJECT">
      <xsd:complexType>
        <xsd:complexContent>
          <xsd:extension base="dms:MultiChoice">
            <xsd:sequence>
              <xsd:element name="Value" maxOccurs="unbounded" minOccurs="0" nillable="true">
                <xsd:simpleType>
                  <xsd:restriction base="dms:Choice">
                    <xsd:enumeration value="IPP/PB"/>
                    <xsd:enumeration value="ISoc/VenB"/>
                    <xsd:enumeration value="INR/BNI"/>
                    <xsd:enumeration value="IPM/RPB"/>
                    <xsd:enumeration value="PrP/BV"/>
                    <xsd:enumeration value="PrM/RV"/>
                    <xsd:enumeration value="PrI/OV"/>
                    <xsd:enumeration value="Proc"/>
                    <xsd:enumeration value="Rec/Inv"/>
                    <xsd:enumeration value="TVA/BTW"/>
                    <xsd:enumeration value="RegFed"/>
                    <xsd:enumeration value="RegG"/>
                    <xsd:enumeration value="Hyp"/>
                    <xsd:enumeration value="Grif"/>
                    <xsd:enumeration value="Succ"/>
                    <xsd:enumeration value="SWReg"/>
                    <xsd:enumeration value="VB/TC"/>
                    <xsd:enumeration value="FT"/>
                    <xsd:enumeration value="Tass"/>
                    <xsd:enumeration value="DE/RG"/>
                    <xsd:enumeration value="Divbel"/>
                    <xsd:enumeration value="DrCiv/BurgR"/>
                    <xsd:enumeration value="D&amp;A"/>
                  </xsd:restriction>
                </xsd:simpleType>
              </xsd:element>
            </xsd:sequence>
          </xsd:extension>
        </xsd:complexContent>
      </xsd:complexType>
    </xsd:element>
    <xsd:element name="Link" ma:index="7" nillable="true" ma:displayName="Link" ma:format="Hyperlink" ma:internalName="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R" ma:index="8" nillable="true" ma:displayName="DR" ma:internalName="DR" ma:readOnly="false">
      <xsd:complexType>
        <xsd:complexContent>
          <xsd:extension base="dms:MultiChoice">
            <xsd:sequence>
              <xsd:element name="Value" maxOccurs="unbounded" minOccurs="0" nillable="true">
                <xsd:simpleType>
                  <xsd:restriction base="dms:Choice">
                    <xsd:enumeration value="DR1"/>
                    <xsd:enumeration value="DR2"/>
                    <xsd:enumeration value="DR3"/>
                    <xsd:enumeration value="DR4"/>
                    <xsd:enumeration value="DR5"/>
                    <xsd:enumeration value="DR6"/>
                    <xsd:enumeration value="DR8"/>
                    <xsd:enumeration value="SE1"/>
                    <xsd:enumeration value="SE2"/>
                    <xsd:enumeration value="SE3"/>
                    <xsd:enumeration value="SE4"/>
                    <xsd:enumeration value="SE5"/>
                    <xsd:enumeration value="SE6"/>
                    <xsd:enumeration value="INFO"/>
                    <xsd:enumeration value="FISCONET"/>
                  </xsd:restriction>
                </xsd:simpleType>
              </xsd:element>
            </xsd:sequence>
          </xsd:extension>
        </xsd:complexContent>
      </xsd:complexType>
    </xsd:element>
    <xsd:element name="TaxKeywordTaxHTField" ma:index="14" nillable="true" ma:taxonomy="true" ma:internalName="TaxKeywordTaxHTField" ma:taxonomyFieldName="TaxKeyword" ma:displayName="Enterprise Keywords" ma:readOnly="false" ma:fieldId="{23f27201-bee3-471e-b2e7-b64fd8b7ca38}" ma:taxonomyMulti="true" ma:sspId="3677b756-bb6c-42c0-a500-a3c5d40b597f"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492d74ad-63ca-459f-a0dd-5a728d727b6f}" ma:internalName="TaxCatchAll" ma:readOnly="false" ma:showField="CatchAllData" ma:web="b6343280-e923-429f-981f-27770744d99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hidden="true" ma:internalName="SharedWithDetails" ma:readOnly="true">
      <xsd:simpleType>
        <xsd:restriction base="dms:Note"/>
      </xsd:simpleType>
    </xsd:element>
    <xsd:element name="Linkb" ma:index="21" nillable="true" ma:displayName="Linkb" ma:format="Hyperlink" ma:internalName="Linkb">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0d1389-18e5-4663-aa60-ae821104b24e"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2"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1F4DD0-855E-4B02-8236-08FC25E3FDCE}">
  <ds:schemaRefs>
    <ds:schemaRef ds:uri="http://schemas.microsoft.com/sharepoint/v3/contenttype/forms"/>
  </ds:schemaRefs>
</ds:datastoreItem>
</file>

<file path=customXml/itemProps2.xml><?xml version="1.0" encoding="utf-8"?>
<ds:datastoreItem xmlns:ds="http://schemas.openxmlformats.org/officeDocument/2006/customXml" ds:itemID="{51B776F9-6E67-4038-99FA-D88D567BAFE6}">
  <ds:schemaRefs>
    <ds:schemaRef ds:uri="http://schemas.microsoft.com/office/2006/metadata/properties"/>
    <ds:schemaRef ds:uri="http://schemas.microsoft.com/office/infopath/2007/PartnerControls"/>
    <ds:schemaRef ds:uri="b6343280-e923-429f-981f-27770744d99d"/>
  </ds:schemaRefs>
</ds:datastoreItem>
</file>

<file path=customXml/itemProps3.xml><?xml version="1.0" encoding="utf-8"?>
<ds:datastoreItem xmlns:ds="http://schemas.openxmlformats.org/officeDocument/2006/customXml" ds:itemID="{A249987F-3E81-4144-B41A-E9230075E217}">
  <ds:schemaRefs>
    <ds:schemaRef ds:uri="http://schemas.openxmlformats.org/officeDocument/2006/bibliography"/>
  </ds:schemaRefs>
</ds:datastoreItem>
</file>

<file path=customXml/itemProps4.xml><?xml version="1.0" encoding="utf-8"?>
<ds:datastoreItem xmlns:ds="http://schemas.openxmlformats.org/officeDocument/2006/customXml" ds:itemID="{F2BC4B64-FFB6-411F-ABB9-1A32CCA49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43280-e923-429f-981f-27770744d99d"/>
    <ds:schemaRef ds:uri="870d1389-18e5-4663-aa60-ae821104b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43912</Words>
  <Characters>241521</Characters>
  <Application>Microsoft Office Word</Application>
  <DocSecurity>0</DocSecurity>
  <Lines>2012</Lines>
  <Paragraphs>569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284864</CharactersWithSpaces>
  <SharedDoc>false</SharedDoc>
  <HLinks>
    <vt:vector size="594" baseType="variant">
      <vt:variant>
        <vt:i4>524310</vt:i4>
      </vt:variant>
      <vt:variant>
        <vt:i4>573</vt:i4>
      </vt:variant>
      <vt:variant>
        <vt:i4>0</vt:i4>
      </vt:variant>
      <vt:variant>
        <vt:i4>5</vt:i4>
      </vt:variant>
      <vt:variant>
        <vt:lpwstr>https://uitspraken.rechtspraak.nl/inziendocument?id=ECLI:NL:HR:2021:1963</vt:lpwstr>
      </vt:variant>
      <vt:variant>
        <vt:lpwstr/>
      </vt:variant>
      <vt:variant>
        <vt:i4>524310</vt:i4>
      </vt:variant>
      <vt:variant>
        <vt:i4>570</vt:i4>
      </vt:variant>
      <vt:variant>
        <vt:i4>0</vt:i4>
      </vt:variant>
      <vt:variant>
        <vt:i4>5</vt:i4>
      </vt:variant>
      <vt:variant>
        <vt:lpwstr>https://uitspraken.rechtspraak.nl/inziendocument?id=ECLI:NL:HR:2021:1963</vt:lpwstr>
      </vt:variant>
      <vt:variant>
        <vt:lpwstr/>
      </vt:variant>
      <vt:variant>
        <vt:i4>5701705</vt:i4>
      </vt:variant>
      <vt:variant>
        <vt:i4>567</vt:i4>
      </vt:variant>
      <vt:variant>
        <vt:i4>0</vt:i4>
      </vt:variant>
      <vt:variant>
        <vt:i4>5</vt:i4>
      </vt:variant>
      <vt:variant>
        <vt:lpwstr>C:\Users\Gebruiker\Downloads\2019_08_VrijstellingenStortingBedrijfsvoorheffing.pdf</vt:lpwstr>
      </vt:variant>
      <vt:variant>
        <vt:lpwstr/>
      </vt:variant>
      <vt:variant>
        <vt:i4>79</vt:i4>
      </vt:variant>
      <vt:variant>
        <vt:i4>564</vt:i4>
      </vt:variant>
      <vt:variant>
        <vt:i4>0</vt:i4>
      </vt:variant>
      <vt:variant>
        <vt:i4>5</vt:i4>
      </vt:variant>
      <vt:variant>
        <vt:lpwstr>https://ccss.public.lu/fr/parametres-sociaux.html</vt:lpwstr>
      </vt:variant>
      <vt:variant>
        <vt:lpwstr/>
      </vt:variant>
      <vt:variant>
        <vt:i4>1703951</vt:i4>
      </vt:variant>
      <vt:variant>
        <vt:i4>561</vt:i4>
      </vt:variant>
      <vt:variant>
        <vt:i4>0</vt:i4>
      </vt:variant>
      <vt:variant>
        <vt:i4>5</vt:i4>
      </vt:variant>
      <vt:variant>
        <vt:lpwstr>https://inspection-du-travail.com/cotisations-salariales/</vt:lpwstr>
      </vt:variant>
      <vt:variant>
        <vt:lpwstr/>
      </vt:variant>
      <vt:variant>
        <vt:i4>917621</vt:i4>
      </vt:variant>
      <vt:variant>
        <vt:i4>558</vt:i4>
      </vt:variant>
      <vt:variant>
        <vt:i4>0</vt:i4>
      </vt:variant>
      <vt:variant>
        <vt:i4>5</vt:i4>
      </vt:variant>
      <vt:variant>
        <vt:lpwstr>https://www.belastingdienst.nl/wps/wcm/connect/bldcontentnl/belastingdienst/prive/inkomstenbelasting/heffingskortingen_boxen_tarieven/boxen_en_tarieven/overzicht_tarieven_en_schijven/</vt:lpwstr>
      </vt:variant>
      <vt:variant>
        <vt:lpwstr/>
      </vt:variant>
      <vt:variant>
        <vt:i4>2555967</vt:i4>
      </vt:variant>
      <vt:variant>
        <vt:i4>555</vt:i4>
      </vt:variant>
      <vt:variant>
        <vt:i4>0</vt:i4>
      </vt:variant>
      <vt:variant>
        <vt:i4>5</vt:i4>
      </vt:variant>
      <vt:variant>
        <vt:lpwstr>C:\Users\Gebruiker\Downloads\2021_57_SteunVennootschapsbelasting.pdf</vt:lpwstr>
      </vt:variant>
      <vt:variant>
        <vt:lpwstr/>
      </vt:variant>
      <vt:variant>
        <vt:i4>1179696</vt:i4>
      </vt:variant>
      <vt:variant>
        <vt:i4>548</vt:i4>
      </vt:variant>
      <vt:variant>
        <vt:i4>0</vt:i4>
      </vt:variant>
      <vt:variant>
        <vt:i4>5</vt:i4>
      </vt:variant>
      <vt:variant>
        <vt:lpwstr/>
      </vt:variant>
      <vt:variant>
        <vt:lpwstr>_Toc95070592</vt:lpwstr>
      </vt:variant>
      <vt:variant>
        <vt:i4>1114160</vt:i4>
      </vt:variant>
      <vt:variant>
        <vt:i4>542</vt:i4>
      </vt:variant>
      <vt:variant>
        <vt:i4>0</vt:i4>
      </vt:variant>
      <vt:variant>
        <vt:i4>5</vt:i4>
      </vt:variant>
      <vt:variant>
        <vt:lpwstr/>
      </vt:variant>
      <vt:variant>
        <vt:lpwstr>_Toc95070591</vt:lpwstr>
      </vt:variant>
      <vt:variant>
        <vt:i4>1048624</vt:i4>
      </vt:variant>
      <vt:variant>
        <vt:i4>536</vt:i4>
      </vt:variant>
      <vt:variant>
        <vt:i4>0</vt:i4>
      </vt:variant>
      <vt:variant>
        <vt:i4>5</vt:i4>
      </vt:variant>
      <vt:variant>
        <vt:lpwstr/>
      </vt:variant>
      <vt:variant>
        <vt:lpwstr>_Toc95070590</vt:lpwstr>
      </vt:variant>
      <vt:variant>
        <vt:i4>1638449</vt:i4>
      </vt:variant>
      <vt:variant>
        <vt:i4>530</vt:i4>
      </vt:variant>
      <vt:variant>
        <vt:i4>0</vt:i4>
      </vt:variant>
      <vt:variant>
        <vt:i4>5</vt:i4>
      </vt:variant>
      <vt:variant>
        <vt:lpwstr/>
      </vt:variant>
      <vt:variant>
        <vt:lpwstr>_Toc95070589</vt:lpwstr>
      </vt:variant>
      <vt:variant>
        <vt:i4>1572913</vt:i4>
      </vt:variant>
      <vt:variant>
        <vt:i4>524</vt:i4>
      </vt:variant>
      <vt:variant>
        <vt:i4>0</vt:i4>
      </vt:variant>
      <vt:variant>
        <vt:i4>5</vt:i4>
      </vt:variant>
      <vt:variant>
        <vt:lpwstr/>
      </vt:variant>
      <vt:variant>
        <vt:lpwstr>_Toc95070588</vt:lpwstr>
      </vt:variant>
      <vt:variant>
        <vt:i4>1507377</vt:i4>
      </vt:variant>
      <vt:variant>
        <vt:i4>518</vt:i4>
      </vt:variant>
      <vt:variant>
        <vt:i4>0</vt:i4>
      </vt:variant>
      <vt:variant>
        <vt:i4>5</vt:i4>
      </vt:variant>
      <vt:variant>
        <vt:lpwstr/>
      </vt:variant>
      <vt:variant>
        <vt:lpwstr>_Toc95070587</vt:lpwstr>
      </vt:variant>
      <vt:variant>
        <vt:i4>1441841</vt:i4>
      </vt:variant>
      <vt:variant>
        <vt:i4>512</vt:i4>
      </vt:variant>
      <vt:variant>
        <vt:i4>0</vt:i4>
      </vt:variant>
      <vt:variant>
        <vt:i4>5</vt:i4>
      </vt:variant>
      <vt:variant>
        <vt:lpwstr/>
      </vt:variant>
      <vt:variant>
        <vt:lpwstr>_Toc95070586</vt:lpwstr>
      </vt:variant>
      <vt:variant>
        <vt:i4>1376305</vt:i4>
      </vt:variant>
      <vt:variant>
        <vt:i4>506</vt:i4>
      </vt:variant>
      <vt:variant>
        <vt:i4>0</vt:i4>
      </vt:variant>
      <vt:variant>
        <vt:i4>5</vt:i4>
      </vt:variant>
      <vt:variant>
        <vt:lpwstr/>
      </vt:variant>
      <vt:variant>
        <vt:lpwstr>_Toc95070585</vt:lpwstr>
      </vt:variant>
      <vt:variant>
        <vt:i4>1310769</vt:i4>
      </vt:variant>
      <vt:variant>
        <vt:i4>500</vt:i4>
      </vt:variant>
      <vt:variant>
        <vt:i4>0</vt:i4>
      </vt:variant>
      <vt:variant>
        <vt:i4>5</vt:i4>
      </vt:variant>
      <vt:variant>
        <vt:lpwstr/>
      </vt:variant>
      <vt:variant>
        <vt:lpwstr>_Toc95070584</vt:lpwstr>
      </vt:variant>
      <vt:variant>
        <vt:i4>1245233</vt:i4>
      </vt:variant>
      <vt:variant>
        <vt:i4>494</vt:i4>
      </vt:variant>
      <vt:variant>
        <vt:i4>0</vt:i4>
      </vt:variant>
      <vt:variant>
        <vt:i4>5</vt:i4>
      </vt:variant>
      <vt:variant>
        <vt:lpwstr/>
      </vt:variant>
      <vt:variant>
        <vt:lpwstr>_Toc95070583</vt:lpwstr>
      </vt:variant>
      <vt:variant>
        <vt:i4>1179697</vt:i4>
      </vt:variant>
      <vt:variant>
        <vt:i4>488</vt:i4>
      </vt:variant>
      <vt:variant>
        <vt:i4>0</vt:i4>
      </vt:variant>
      <vt:variant>
        <vt:i4>5</vt:i4>
      </vt:variant>
      <vt:variant>
        <vt:lpwstr/>
      </vt:variant>
      <vt:variant>
        <vt:lpwstr>_Toc95070582</vt:lpwstr>
      </vt:variant>
      <vt:variant>
        <vt:i4>1114161</vt:i4>
      </vt:variant>
      <vt:variant>
        <vt:i4>482</vt:i4>
      </vt:variant>
      <vt:variant>
        <vt:i4>0</vt:i4>
      </vt:variant>
      <vt:variant>
        <vt:i4>5</vt:i4>
      </vt:variant>
      <vt:variant>
        <vt:lpwstr/>
      </vt:variant>
      <vt:variant>
        <vt:lpwstr>_Toc95070581</vt:lpwstr>
      </vt:variant>
      <vt:variant>
        <vt:i4>1048625</vt:i4>
      </vt:variant>
      <vt:variant>
        <vt:i4>476</vt:i4>
      </vt:variant>
      <vt:variant>
        <vt:i4>0</vt:i4>
      </vt:variant>
      <vt:variant>
        <vt:i4>5</vt:i4>
      </vt:variant>
      <vt:variant>
        <vt:lpwstr/>
      </vt:variant>
      <vt:variant>
        <vt:lpwstr>_Toc95070580</vt:lpwstr>
      </vt:variant>
      <vt:variant>
        <vt:i4>1638462</vt:i4>
      </vt:variant>
      <vt:variant>
        <vt:i4>470</vt:i4>
      </vt:variant>
      <vt:variant>
        <vt:i4>0</vt:i4>
      </vt:variant>
      <vt:variant>
        <vt:i4>5</vt:i4>
      </vt:variant>
      <vt:variant>
        <vt:lpwstr/>
      </vt:variant>
      <vt:variant>
        <vt:lpwstr>_Toc95070579</vt:lpwstr>
      </vt:variant>
      <vt:variant>
        <vt:i4>1572926</vt:i4>
      </vt:variant>
      <vt:variant>
        <vt:i4>464</vt:i4>
      </vt:variant>
      <vt:variant>
        <vt:i4>0</vt:i4>
      </vt:variant>
      <vt:variant>
        <vt:i4>5</vt:i4>
      </vt:variant>
      <vt:variant>
        <vt:lpwstr/>
      </vt:variant>
      <vt:variant>
        <vt:lpwstr>_Toc95070578</vt:lpwstr>
      </vt:variant>
      <vt:variant>
        <vt:i4>1507390</vt:i4>
      </vt:variant>
      <vt:variant>
        <vt:i4>458</vt:i4>
      </vt:variant>
      <vt:variant>
        <vt:i4>0</vt:i4>
      </vt:variant>
      <vt:variant>
        <vt:i4>5</vt:i4>
      </vt:variant>
      <vt:variant>
        <vt:lpwstr/>
      </vt:variant>
      <vt:variant>
        <vt:lpwstr>_Toc95070577</vt:lpwstr>
      </vt:variant>
      <vt:variant>
        <vt:i4>1441854</vt:i4>
      </vt:variant>
      <vt:variant>
        <vt:i4>452</vt:i4>
      </vt:variant>
      <vt:variant>
        <vt:i4>0</vt:i4>
      </vt:variant>
      <vt:variant>
        <vt:i4>5</vt:i4>
      </vt:variant>
      <vt:variant>
        <vt:lpwstr/>
      </vt:variant>
      <vt:variant>
        <vt:lpwstr>_Toc95070576</vt:lpwstr>
      </vt:variant>
      <vt:variant>
        <vt:i4>1376318</vt:i4>
      </vt:variant>
      <vt:variant>
        <vt:i4>446</vt:i4>
      </vt:variant>
      <vt:variant>
        <vt:i4>0</vt:i4>
      </vt:variant>
      <vt:variant>
        <vt:i4>5</vt:i4>
      </vt:variant>
      <vt:variant>
        <vt:lpwstr/>
      </vt:variant>
      <vt:variant>
        <vt:lpwstr>_Toc95070575</vt:lpwstr>
      </vt:variant>
      <vt:variant>
        <vt:i4>1310782</vt:i4>
      </vt:variant>
      <vt:variant>
        <vt:i4>440</vt:i4>
      </vt:variant>
      <vt:variant>
        <vt:i4>0</vt:i4>
      </vt:variant>
      <vt:variant>
        <vt:i4>5</vt:i4>
      </vt:variant>
      <vt:variant>
        <vt:lpwstr/>
      </vt:variant>
      <vt:variant>
        <vt:lpwstr>_Toc95070574</vt:lpwstr>
      </vt:variant>
      <vt:variant>
        <vt:i4>1245246</vt:i4>
      </vt:variant>
      <vt:variant>
        <vt:i4>434</vt:i4>
      </vt:variant>
      <vt:variant>
        <vt:i4>0</vt:i4>
      </vt:variant>
      <vt:variant>
        <vt:i4>5</vt:i4>
      </vt:variant>
      <vt:variant>
        <vt:lpwstr/>
      </vt:variant>
      <vt:variant>
        <vt:lpwstr>_Toc95070573</vt:lpwstr>
      </vt:variant>
      <vt:variant>
        <vt:i4>1179710</vt:i4>
      </vt:variant>
      <vt:variant>
        <vt:i4>428</vt:i4>
      </vt:variant>
      <vt:variant>
        <vt:i4>0</vt:i4>
      </vt:variant>
      <vt:variant>
        <vt:i4>5</vt:i4>
      </vt:variant>
      <vt:variant>
        <vt:lpwstr/>
      </vt:variant>
      <vt:variant>
        <vt:lpwstr>_Toc95070572</vt:lpwstr>
      </vt:variant>
      <vt:variant>
        <vt:i4>1114174</vt:i4>
      </vt:variant>
      <vt:variant>
        <vt:i4>422</vt:i4>
      </vt:variant>
      <vt:variant>
        <vt:i4>0</vt:i4>
      </vt:variant>
      <vt:variant>
        <vt:i4>5</vt:i4>
      </vt:variant>
      <vt:variant>
        <vt:lpwstr/>
      </vt:variant>
      <vt:variant>
        <vt:lpwstr>_Toc95070571</vt:lpwstr>
      </vt:variant>
      <vt:variant>
        <vt:i4>1048638</vt:i4>
      </vt:variant>
      <vt:variant>
        <vt:i4>416</vt:i4>
      </vt:variant>
      <vt:variant>
        <vt:i4>0</vt:i4>
      </vt:variant>
      <vt:variant>
        <vt:i4>5</vt:i4>
      </vt:variant>
      <vt:variant>
        <vt:lpwstr/>
      </vt:variant>
      <vt:variant>
        <vt:lpwstr>_Toc95070570</vt:lpwstr>
      </vt:variant>
      <vt:variant>
        <vt:i4>1638463</vt:i4>
      </vt:variant>
      <vt:variant>
        <vt:i4>410</vt:i4>
      </vt:variant>
      <vt:variant>
        <vt:i4>0</vt:i4>
      </vt:variant>
      <vt:variant>
        <vt:i4>5</vt:i4>
      </vt:variant>
      <vt:variant>
        <vt:lpwstr/>
      </vt:variant>
      <vt:variant>
        <vt:lpwstr>_Toc95070569</vt:lpwstr>
      </vt:variant>
      <vt:variant>
        <vt:i4>1572927</vt:i4>
      </vt:variant>
      <vt:variant>
        <vt:i4>404</vt:i4>
      </vt:variant>
      <vt:variant>
        <vt:i4>0</vt:i4>
      </vt:variant>
      <vt:variant>
        <vt:i4>5</vt:i4>
      </vt:variant>
      <vt:variant>
        <vt:lpwstr/>
      </vt:variant>
      <vt:variant>
        <vt:lpwstr>_Toc95070568</vt:lpwstr>
      </vt:variant>
      <vt:variant>
        <vt:i4>1507391</vt:i4>
      </vt:variant>
      <vt:variant>
        <vt:i4>398</vt:i4>
      </vt:variant>
      <vt:variant>
        <vt:i4>0</vt:i4>
      </vt:variant>
      <vt:variant>
        <vt:i4>5</vt:i4>
      </vt:variant>
      <vt:variant>
        <vt:lpwstr/>
      </vt:variant>
      <vt:variant>
        <vt:lpwstr>_Toc95070567</vt:lpwstr>
      </vt:variant>
      <vt:variant>
        <vt:i4>1441855</vt:i4>
      </vt:variant>
      <vt:variant>
        <vt:i4>392</vt:i4>
      </vt:variant>
      <vt:variant>
        <vt:i4>0</vt:i4>
      </vt:variant>
      <vt:variant>
        <vt:i4>5</vt:i4>
      </vt:variant>
      <vt:variant>
        <vt:lpwstr/>
      </vt:variant>
      <vt:variant>
        <vt:lpwstr>_Toc95070566</vt:lpwstr>
      </vt:variant>
      <vt:variant>
        <vt:i4>1376319</vt:i4>
      </vt:variant>
      <vt:variant>
        <vt:i4>386</vt:i4>
      </vt:variant>
      <vt:variant>
        <vt:i4>0</vt:i4>
      </vt:variant>
      <vt:variant>
        <vt:i4>5</vt:i4>
      </vt:variant>
      <vt:variant>
        <vt:lpwstr/>
      </vt:variant>
      <vt:variant>
        <vt:lpwstr>_Toc95070565</vt:lpwstr>
      </vt:variant>
      <vt:variant>
        <vt:i4>1310783</vt:i4>
      </vt:variant>
      <vt:variant>
        <vt:i4>380</vt:i4>
      </vt:variant>
      <vt:variant>
        <vt:i4>0</vt:i4>
      </vt:variant>
      <vt:variant>
        <vt:i4>5</vt:i4>
      </vt:variant>
      <vt:variant>
        <vt:lpwstr/>
      </vt:variant>
      <vt:variant>
        <vt:lpwstr>_Toc95070564</vt:lpwstr>
      </vt:variant>
      <vt:variant>
        <vt:i4>1245247</vt:i4>
      </vt:variant>
      <vt:variant>
        <vt:i4>374</vt:i4>
      </vt:variant>
      <vt:variant>
        <vt:i4>0</vt:i4>
      </vt:variant>
      <vt:variant>
        <vt:i4>5</vt:i4>
      </vt:variant>
      <vt:variant>
        <vt:lpwstr/>
      </vt:variant>
      <vt:variant>
        <vt:lpwstr>_Toc95070563</vt:lpwstr>
      </vt:variant>
      <vt:variant>
        <vt:i4>1179711</vt:i4>
      </vt:variant>
      <vt:variant>
        <vt:i4>368</vt:i4>
      </vt:variant>
      <vt:variant>
        <vt:i4>0</vt:i4>
      </vt:variant>
      <vt:variant>
        <vt:i4>5</vt:i4>
      </vt:variant>
      <vt:variant>
        <vt:lpwstr/>
      </vt:variant>
      <vt:variant>
        <vt:lpwstr>_Toc95070562</vt:lpwstr>
      </vt:variant>
      <vt:variant>
        <vt:i4>1114175</vt:i4>
      </vt:variant>
      <vt:variant>
        <vt:i4>362</vt:i4>
      </vt:variant>
      <vt:variant>
        <vt:i4>0</vt:i4>
      </vt:variant>
      <vt:variant>
        <vt:i4>5</vt:i4>
      </vt:variant>
      <vt:variant>
        <vt:lpwstr/>
      </vt:variant>
      <vt:variant>
        <vt:lpwstr>_Toc95070561</vt:lpwstr>
      </vt:variant>
      <vt:variant>
        <vt:i4>1048639</vt:i4>
      </vt:variant>
      <vt:variant>
        <vt:i4>356</vt:i4>
      </vt:variant>
      <vt:variant>
        <vt:i4>0</vt:i4>
      </vt:variant>
      <vt:variant>
        <vt:i4>5</vt:i4>
      </vt:variant>
      <vt:variant>
        <vt:lpwstr/>
      </vt:variant>
      <vt:variant>
        <vt:lpwstr>_Toc95070560</vt:lpwstr>
      </vt:variant>
      <vt:variant>
        <vt:i4>1638460</vt:i4>
      </vt:variant>
      <vt:variant>
        <vt:i4>350</vt:i4>
      </vt:variant>
      <vt:variant>
        <vt:i4>0</vt:i4>
      </vt:variant>
      <vt:variant>
        <vt:i4>5</vt:i4>
      </vt:variant>
      <vt:variant>
        <vt:lpwstr/>
      </vt:variant>
      <vt:variant>
        <vt:lpwstr>_Toc95070559</vt:lpwstr>
      </vt:variant>
      <vt:variant>
        <vt:i4>1572924</vt:i4>
      </vt:variant>
      <vt:variant>
        <vt:i4>344</vt:i4>
      </vt:variant>
      <vt:variant>
        <vt:i4>0</vt:i4>
      </vt:variant>
      <vt:variant>
        <vt:i4>5</vt:i4>
      </vt:variant>
      <vt:variant>
        <vt:lpwstr/>
      </vt:variant>
      <vt:variant>
        <vt:lpwstr>_Toc95070558</vt:lpwstr>
      </vt:variant>
      <vt:variant>
        <vt:i4>1507388</vt:i4>
      </vt:variant>
      <vt:variant>
        <vt:i4>338</vt:i4>
      </vt:variant>
      <vt:variant>
        <vt:i4>0</vt:i4>
      </vt:variant>
      <vt:variant>
        <vt:i4>5</vt:i4>
      </vt:variant>
      <vt:variant>
        <vt:lpwstr/>
      </vt:variant>
      <vt:variant>
        <vt:lpwstr>_Toc95070557</vt:lpwstr>
      </vt:variant>
      <vt:variant>
        <vt:i4>1441852</vt:i4>
      </vt:variant>
      <vt:variant>
        <vt:i4>332</vt:i4>
      </vt:variant>
      <vt:variant>
        <vt:i4>0</vt:i4>
      </vt:variant>
      <vt:variant>
        <vt:i4>5</vt:i4>
      </vt:variant>
      <vt:variant>
        <vt:lpwstr/>
      </vt:variant>
      <vt:variant>
        <vt:lpwstr>_Toc95070556</vt:lpwstr>
      </vt:variant>
      <vt:variant>
        <vt:i4>1376316</vt:i4>
      </vt:variant>
      <vt:variant>
        <vt:i4>326</vt:i4>
      </vt:variant>
      <vt:variant>
        <vt:i4>0</vt:i4>
      </vt:variant>
      <vt:variant>
        <vt:i4>5</vt:i4>
      </vt:variant>
      <vt:variant>
        <vt:lpwstr/>
      </vt:variant>
      <vt:variant>
        <vt:lpwstr>_Toc95070555</vt:lpwstr>
      </vt:variant>
      <vt:variant>
        <vt:i4>1310780</vt:i4>
      </vt:variant>
      <vt:variant>
        <vt:i4>320</vt:i4>
      </vt:variant>
      <vt:variant>
        <vt:i4>0</vt:i4>
      </vt:variant>
      <vt:variant>
        <vt:i4>5</vt:i4>
      </vt:variant>
      <vt:variant>
        <vt:lpwstr/>
      </vt:variant>
      <vt:variant>
        <vt:lpwstr>_Toc95070554</vt:lpwstr>
      </vt:variant>
      <vt:variant>
        <vt:i4>1245244</vt:i4>
      </vt:variant>
      <vt:variant>
        <vt:i4>314</vt:i4>
      </vt:variant>
      <vt:variant>
        <vt:i4>0</vt:i4>
      </vt:variant>
      <vt:variant>
        <vt:i4>5</vt:i4>
      </vt:variant>
      <vt:variant>
        <vt:lpwstr/>
      </vt:variant>
      <vt:variant>
        <vt:lpwstr>_Toc95070553</vt:lpwstr>
      </vt:variant>
      <vt:variant>
        <vt:i4>1179708</vt:i4>
      </vt:variant>
      <vt:variant>
        <vt:i4>308</vt:i4>
      </vt:variant>
      <vt:variant>
        <vt:i4>0</vt:i4>
      </vt:variant>
      <vt:variant>
        <vt:i4>5</vt:i4>
      </vt:variant>
      <vt:variant>
        <vt:lpwstr/>
      </vt:variant>
      <vt:variant>
        <vt:lpwstr>_Toc95070552</vt:lpwstr>
      </vt:variant>
      <vt:variant>
        <vt:i4>1114172</vt:i4>
      </vt:variant>
      <vt:variant>
        <vt:i4>302</vt:i4>
      </vt:variant>
      <vt:variant>
        <vt:i4>0</vt:i4>
      </vt:variant>
      <vt:variant>
        <vt:i4>5</vt:i4>
      </vt:variant>
      <vt:variant>
        <vt:lpwstr/>
      </vt:variant>
      <vt:variant>
        <vt:lpwstr>_Toc95070551</vt:lpwstr>
      </vt:variant>
      <vt:variant>
        <vt:i4>1048636</vt:i4>
      </vt:variant>
      <vt:variant>
        <vt:i4>296</vt:i4>
      </vt:variant>
      <vt:variant>
        <vt:i4>0</vt:i4>
      </vt:variant>
      <vt:variant>
        <vt:i4>5</vt:i4>
      </vt:variant>
      <vt:variant>
        <vt:lpwstr/>
      </vt:variant>
      <vt:variant>
        <vt:lpwstr>_Toc95070550</vt:lpwstr>
      </vt:variant>
      <vt:variant>
        <vt:i4>1638461</vt:i4>
      </vt:variant>
      <vt:variant>
        <vt:i4>290</vt:i4>
      </vt:variant>
      <vt:variant>
        <vt:i4>0</vt:i4>
      </vt:variant>
      <vt:variant>
        <vt:i4>5</vt:i4>
      </vt:variant>
      <vt:variant>
        <vt:lpwstr/>
      </vt:variant>
      <vt:variant>
        <vt:lpwstr>_Toc95070549</vt:lpwstr>
      </vt:variant>
      <vt:variant>
        <vt:i4>1572925</vt:i4>
      </vt:variant>
      <vt:variant>
        <vt:i4>284</vt:i4>
      </vt:variant>
      <vt:variant>
        <vt:i4>0</vt:i4>
      </vt:variant>
      <vt:variant>
        <vt:i4>5</vt:i4>
      </vt:variant>
      <vt:variant>
        <vt:lpwstr/>
      </vt:variant>
      <vt:variant>
        <vt:lpwstr>_Toc95070548</vt:lpwstr>
      </vt:variant>
      <vt:variant>
        <vt:i4>1507389</vt:i4>
      </vt:variant>
      <vt:variant>
        <vt:i4>278</vt:i4>
      </vt:variant>
      <vt:variant>
        <vt:i4>0</vt:i4>
      </vt:variant>
      <vt:variant>
        <vt:i4>5</vt:i4>
      </vt:variant>
      <vt:variant>
        <vt:lpwstr/>
      </vt:variant>
      <vt:variant>
        <vt:lpwstr>_Toc95070547</vt:lpwstr>
      </vt:variant>
      <vt:variant>
        <vt:i4>1441853</vt:i4>
      </vt:variant>
      <vt:variant>
        <vt:i4>272</vt:i4>
      </vt:variant>
      <vt:variant>
        <vt:i4>0</vt:i4>
      </vt:variant>
      <vt:variant>
        <vt:i4>5</vt:i4>
      </vt:variant>
      <vt:variant>
        <vt:lpwstr/>
      </vt:variant>
      <vt:variant>
        <vt:lpwstr>_Toc95070546</vt:lpwstr>
      </vt:variant>
      <vt:variant>
        <vt:i4>1376317</vt:i4>
      </vt:variant>
      <vt:variant>
        <vt:i4>266</vt:i4>
      </vt:variant>
      <vt:variant>
        <vt:i4>0</vt:i4>
      </vt:variant>
      <vt:variant>
        <vt:i4>5</vt:i4>
      </vt:variant>
      <vt:variant>
        <vt:lpwstr/>
      </vt:variant>
      <vt:variant>
        <vt:lpwstr>_Toc95070545</vt:lpwstr>
      </vt:variant>
      <vt:variant>
        <vt:i4>1310781</vt:i4>
      </vt:variant>
      <vt:variant>
        <vt:i4>260</vt:i4>
      </vt:variant>
      <vt:variant>
        <vt:i4>0</vt:i4>
      </vt:variant>
      <vt:variant>
        <vt:i4>5</vt:i4>
      </vt:variant>
      <vt:variant>
        <vt:lpwstr/>
      </vt:variant>
      <vt:variant>
        <vt:lpwstr>_Toc95070544</vt:lpwstr>
      </vt:variant>
      <vt:variant>
        <vt:i4>1245245</vt:i4>
      </vt:variant>
      <vt:variant>
        <vt:i4>254</vt:i4>
      </vt:variant>
      <vt:variant>
        <vt:i4>0</vt:i4>
      </vt:variant>
      <vt:variant>
        <vt:i4>5</vt:i4>
      </vt:variant>
      <vt:variant>
        <vt:lpwstr/>
      </vt:variant>
      <vt:variant>
        <vt:lpwstr>_Toc95070543</vt:lpwstr>
      </vt:variant>
      <vt:variant>
        <vt:i4>1179709</vt:i4>
      </vt:variant>
      <vt:variant>
        <vt:i4>248</vt:i4>
      </vt:variant>
      <vt:variant>
        <vt:i4>0</vt:i4>
      </vt:variant>
      <vt:variant>
        <vt:i4>5</vt:i4>
      </vt:variant>
      <vt:variant>
        <vt:lpwstr/>
      </vt:variant>
      <vt:variant>
        <vt:lpwstr>_Toc95070542</vt:lpwstr>
      </vt:variant>
      <vt:variant>
        <vt:i4>1114173</vt:i4>
      </vt:variant>
      <vt:variant>
        <vt:i4>242</vt:i4>
      </vt:variant>
      <vt:variant>
        <vt:i4>0</vt:i4>
      </vt:variant>
      <vt:variant>
        <vt:i4>5</vt:i4>
      </vt:variant>
      <vt:variant>
        <vt:lpwstr/>
      </vt:variant>
      <vt:variant>
        <vt:lpwstr>_Toc95070541</vt:lpwstr>
      </vt:variant>
      <vt:variant>
        <vt:i4>1048637</vt:i4>
      </vt:variant>
      <vt:variant>
        <vt:i4>236</vt:i4>
      </vt:variant>
      <vt:variant>
        <vt:i4>0</vt:i4>
      </vt:variant>
      <vt:variant>
        <vt:i4>5</vt:i4>
      </vt:variant>
      <vt:variant>
        <vt:lpwstr/>
      </vt:variant>
      <vt:variant>
        <vt:lpwstr>_Toc95070540</vt:lpwstr>
      </vt:variant>
      <vt:variant>
        <vt:i4>1638458</vt:i4>
      </vt:variant>
      <vt:variant>
        <vt:i4>230</vt:i4>
      </vt:variant>
      <vt:variant>
        <vt:i4>0</vt:i4>
      </vt:variant>
      <vt:variant>
        <vt:i4>5</vt:i4>
      </vt:variant>
      <vt:variant>
        <vt:lpwstr/>
      </vt:variant>
      <vt:variant>
        <vt:lpwstr>_Toc95070539</vt:lpwstr>
      </vt:variant>
      <vt:variant>
        <vt:i4>1572922</vt:i4>
      </vt:variant>
      <vt:variant>
        <vt:i4>224</vt:i4>
      </vt:variant>
      <vt:variant>
        <vt:i4>0</vt:i4>
      </vt:variant>
      <vt:variant>
        <vt:i4>5</vt:i4>
      </vt:variant>
      <vt:variant>
        <vt:lpwstr/>
      </vt:variant>
      <vt:variant>
        <vt:lpwstr>_Toc95070538</vt:lpwstr>
      </vt:variant>
      <vt:variant>
        <vt:i4>1507386</vt:i4>
      </vt:variant>
      <vt:variant>
        <vt:i4>218</vt:i4>
      </vt:variant>
      <vt:variant>
        <vt:i4>0</vt:i4>
      </vt:variant>
      <vt:variant>
        <vt:i4>5</vt:i4>
      </vt:variant>
      <vt:variant>
        <vt:lpwstr/>
      </vt:variant>
      <vt:variant>
        <vt:lpwstr>_Toc95070537</vt:lpwstr>
      </vt:variant>
      <vt:variant>
        <vt:i4>1441850</vt:i4>
      </vt:variant>
      <vt:variant>
        <vt:i4>212</vt:i4>
      </vt:variant>
      <vt:variant>
        <vt:i4>0</vt:i4>
      </vt:variant>
      <vt:variant>
        <vt:i4>5</vt:i4>
      </vt:variant>
      <vt:variant>
        <vt:lpwstr/>
      </vt:variant>
      <vt:variant>
        <vt:lpwstr>_Toc95070536</vt:lpwstr>
      </vt:variant>
      <vt:variant>
        <vt:i4>1376314</vt:i4>
      </vt:variant>
      <vt:variant>
        <vt:i4>206</vt:i4>
      </vt:variant>
      <vt:variant>
        <vt:i4>0</vt:i4>
      </vt:variant>
      <vt:variant>
        <vt:i4>5</vt:i4>
      </vt:variant>
      <vt:variant>
        <vt:lpwstr/>
      </vt:variant>
      <vt:variant>
        <vt:lpwstr>_Toc95070535</vt:lpwstr>
      </vt:variant>
      <vt:variant>
        <vt:i4>1310778</vt:i4>
      </vt:variant>
      <vt:variant>
        <vt:i4>200</vt:i4>
      </vt:variant>
      <vt:variant>
        <vt:i4>0</vt:i4>
      </vt:variant>
      <vt:variant>
        <vt:i4>5</vt:i4>
      </vt:variant>
      <vt:variant>
        <vt:lpwstr/>
      </vt:variant>
      <vt:variant>
        <vt:lpwstr>_Toc95070534</vt:lpwstr>
      </vt:variant>
      <vt:variant>
        <vt:i4>1245242</vt:i4>
      </vt:variant>
      <vt:variant>
        <vt:i4>194</vt:i4>
      </vt:variant>
      <vt:variant>
        <vt:i4>0</vt:i4>
      </vt:variant>
      <vt:variant>
        <vt:i4>5</vt:i4>
      </vt:variant>
      <vt:variant>
        <vt:lpwstr/>
      </vt:variant>
      <vt:variant>
        <vt:lpwstr>_Toc95070533</vt:lpwstr>
      </vt:variant>
      <vt:variant>
        <vt:i4>1179706</vt:i4>
      </vt:variant>
      <vt:variant>
        <vt:i4>188</vt:i4>
      </vt:variant>
      <vt:variant>
        <vt:i4>0</vt:i4>
      </vt:variant>
      <vt:variant>
        <vt:i4>5</vt:i4>
      </vt:variant>
      <vt:variant>
        <vt:lpwstr/>
      </vt:variant>
      <vt:variant>
        <vt:lpwstr>_Toc95070532</vt:lpwstr>
      </vt:variant>
      <vt:variant>
        <vt:i4>1114170</vt:i4>
      </vt:variant>
      <vt:variant>
        <vt:i4>182</vt:i4>
      </vt:variant>
      <vt:variant>
        <vt:i4>0</vt:i4>
      </vt:variant>
      <vt:variant>
        <vt:i4>5</vt:i4>
      </vt:variant>
      <vt:variant>
        <vt:lpwstr/>
      </vt:variant>
      <vt:variant>
        <vt:lpwstr>_Toc95070531</vt:lpwstr>
      </vt:variant>
      <vt:variant>
        <vt:i4>1048634</vt:i4>
      </vt:variant>
      <vt:variant>
        <vt:i4>176</vt:i4>
      </vt:variant>
      <vt:variant>
        <vt:i4>0</vt:i4>
      </vt:variant>
      <vt:variant>
        <vt:i4>5</vt:i4>
      </vt:variant>
      <vt:variant>
        <vt:lpwstr/>
      </vt:variant>
      <vt:variant>
        <vt:lpwstr>_Toc95070530</vt:lpwstr>
      </vt:variant>
      <vt:variant>
        <vt:i4>1638459</vt:i4>
      </vt:variant>
      <vt:variant>
        <vt:i4>170</vt:i4>
      </vt:variant>
      <vt:variant>
        <vt:i4>0</vt:i4>
      </vt:variant>
      <vt:variant>
        <vt:i4>5</vt:i4>
      </vt:variant>
      <vt:variant>
        <vt:lpwstr/>
      </vt:variant>
      <vt:variant>
        <vt:lpwstr>_Toc95070529</vt:lpwstr>
      </vt:variant>
      <vt:variant>
        <vt:i4>1572923</vt:i4>
      </vt:variant>
      <vt:variant>
        <vt:i4>164</vt:i4>
      </vt:variant>
      <vt:variant>
        <vt:i4>0</vt:i4>
      </vt:variant>
      <vt:variant>
        <vt:i4>5</vt:i4>
      </vt:variant>
      <vt:variant>
        <vt:lpwstr/>
      </vt:variant>
      <vt:variant>
        <vt:lpwstr>_Toc95070528</vt:lpwstr>
      </vt:variant>
      <vt:variant>
        <vt:i4>1507387</vt:i4>
      </vt:variant>
      <vt:variant>
        <vt:i4>158</vt:i4>
      </vt:variant>
      <vt:variant>
        <vt:i4>0</vt:i4>
      </vt:variant>
      <vt:variant>
        <vt:i4>5</vt:i4>
      </vt:variant>
      <vt:variant>
        <vt:lpwstr/>
      </vt:variant>
      <vt:variant>
        <vt:lpwstr>_Toc95070527</vt:lpwstr>
      </vt:variant>
      <vt:variant>
        <vt:i4>1441851</vt:i4>
      </vt:variant>
      <vt:variant>
        <vt:i4>152</vt:i4>
      </vt:variant>
      <vt:variant>
        <vt:i4>0</vt:i4>
      </vt:variant>
      <vt:variant>
        <vt:i4>5</vt:i4>
      </vt:variant>
      <vt:variant>
        <vt:lpwstr/>
      </vt:variant>
      <vt:variant>
        <vt:lpwstr>_Toc95070526</vt:lpwstr>
      </vt:variant>
      <vt:variant>
        <vt:i4>1376315</vt:i4>
      </vt:variant>
      <vt:variant>
        <vt:i4>146</vt:i4>
      </vt:variant>
      <vt:variant>
        <vt:i4>0</vt:i4>
      </vt:variant>
      <vt:variant>
        <vt:i4>5</vt:i4>
      </vt:variant>
      <vt:variant>
        <vt:lpwstr/>
      </vt:variant>
      <vt:variant>
        <vt:lpwstr>_Toc95070525</vt:lpwstr>
      </vt:variant>
      <vt:variant>
        <vt:i4>1310779</vt:i4>
      </vt:variant>
      <vt:variant>
        <vt:i4>140</vt:i4>
      </vt:variant>
      <vt:variant>
        <vt:i4>0</vt:i4>
      </vt:variant>
      <vt:variant>
        <vt:i4>5</vt:i4>
      </vt:variant>
      <vt:variant>
        <vt:lpwstr/>
      </vt:variant>
      <vt:variant>
        <vt:lpwstr>_Toc95070524</vt:lpwstr>
      </vt:variant>
      <vt:variant>
        <vt:i4>1245243</vt:i4>
      </vt:variant>
      <vt:variant>
        <vt:i4>134</vt:i4>
      </vt:variant>
      <vt:variant>
        <vt:i4>0</vt:i4>
      </vt:variant>
      <vt:variant>
        <vt:i4>5</vt:i4>
      </vt:variant>
      <vt:variant>
        <vt:lpwstr/>
      </vt:variant>
      <vt:variant>
        <vt:lpwstr>_Toc95070523</vt:lpwstr>
      </vt:variant>
      <vt:variant>
        <vt:i4>1179707</vt:i4>
      </vt:variant>
      <vt:variant>
        <vt:i4>128</vt:i4>
      </vt:variant>
      <vt:variant>
        <vt:i4>0</vt:i4>
      </vt:variant>
      <vt:variant>
        <vt:i4>5</vt:i4>
      </vt:variant>
      <vt:variant>
        <vt:lpwstr/>
      </vt:variant>
      <vt:variant>
        <vt:lpwstr>_Toc95070522</vt:lpwstr>
      </vt:variant>
      <vt:variant>
        <vt:i4>1114171</vt:i4>
      </vt:variant>
      <vt:variant>
        <vt:i4>122</vt:i4>
      </vt:variant>
      <vt:variant>
        <vt:i4>0</vt:i4>
      </vt:variant>
      <vt:variant>
        <vt:i4>5</vt:i4>
      </vt:variant>
      <vt:variant>
        <vt:lpwstr/>
      </vt:variant>
      <vt:variant>
        <vt:lpwstr>_Toc95070521</vt:lpwstr>
      </vt:variant>
      <vt:variant>
        <vt:i4>1048635</vt:i4>
      </vt:variant>
      <vt:variant>
        <vt:i4>116</vt:i4>
      </vt:variant>
      <vt:variant>
        <vt:i4>0</vt:i4>
      </vt:variant>
      <vt:variant>
        <vt:i4>5</vt:i4>
      </vt:variant>
      <vt:variant>
        <vt:lpwstr/>
      </vt:variant>
      <vt:variant>
        <vt:lpwstr>_Toc95070520</vt:lpwstr>
      </vt:variant>
      <vt:variant>
        <vt:i4>1638456</vt:i4>
      </vt:variant>
      <vt:variant>
        <vt:i4>110</vt:i4>
      </vt:variant>
      <vt:variant>
        <vt:i4>0</vt:i4>
      </vt:variant>
      <vt:variant>
        <vt:i4>5</vt:i4>
      </vt:variant>
      <vt:variant>
        <vt:lpwstr/>
      </vt:variant>
      <vt:variant>
        <vt:lpwstr>_Toc95070519</vt:lpwstr>
      </vt:variant>
      <vt:variant>
        <vt:i4>1572920</vt:i4>
      </vt:variant>
      <vt:variant>
        <vt:i4>104</vt:i4>
      </vt:variant>
      <vt:variant>
        <vt:i4>0</vt:i4>
      </vt:variant>
      <vt:variant>
        <vt:i4>5</vt:i4>
      </vt:variant>
      <vt:variant>
        <vt:lpwstr/>
      </vt:variant>
      <vt:variant>
        <vt:lpwstr>_Toc95070518</vt:lpwstr>
      </vt:variant>
      <vt:variant>
        <vt:i4>1507384</vt:i4>
      </vt:variant>
      <vt:variant>
        <vt:i4>98</vt:i4>
      </vt:variant>
      <vt:variant>
        <vt:i4>0</vt:i4>
      </vt:variant>
      <vt:variant>
        <vt:i4>5</vt:i4>
      </vt:variant>
      <vt:variant>
        <vt:lpwstr/>
      </vt:variant>
      <vt:variant>
        <vt:lpwstr>_Toc95070517</vt:lpwstr>
      </vt:variant>
      <vt:variant>
        <vt:i4>1441848</vt:i4>
      </vt:variant>
      <vt:variant>
        <vt:i4>92</vt:i4>
      </vt:variant>
      <vt:variant>
        <vt:i4>0</vt:i4>
      </vt:variant>
      <vt:variant>
        <vt:i4>5</vt:i4>
      </vt:variant>
      <vt:variant>
        <vt:lpwstr/>
      </vt:variant>
      <vt:variant>
        <vt:lpwstr>_Toc95070516</vt:lpwstr>
      </vt:variant>
      <vt:variant>
        <vt:i4>1376312</vt:i4>
      </vt:variant>
      <vt:variant>
        <vt:i4>86</vt:i4>
      </vt:variant>
      <vt:variant>
        <vt:i4>0</vt:i4>
      </vt:variant>
      <vt:variant>
        <vt:i4>5</vt:i4>
      </vt:variant>
      <vt:variant>
        <vt:lpwstr/>
      </vt:variant>
      <vt:variant>
        <vt:lpwstr>_Toc95070515</vt:lpwstr>
      </vt:variant>
      <vt:variant>
        <vt:i4>1310776</vt:i4>
      </vt:variant>
      <vt:variant>
        <vt:i4>80</vt:i4>
      </vt:variant>
      <vt:variant>
        <vt:i4>0</vt:i4>
      </vt:variant>
      <vt:variant>
        <vt:i4>5</vt:i4>
      </vt:variant>
      <vt:variant>
        <vt:lpwstr/>
      </vt:variant>
      <vt:variant>
        <vt:lpwstr>_Toc95070514</vt:lpwstr>
      </vt:variant>
      <vt:variant>
        <vt:i4>1245240</vt:i4>
      </vt:variant>
      <vt:variant>
        <vt:i4>74</vt:i4>
      </vt:variant>
      <vt:variant>
        <vt:i4>0</vt:i4>
      </vt:variant>
      <vt:variant>
        <vt:i4>5</vt:i4>
      </vt:variant>
      <vt:variant>
        <vt:lpwstr/>
      </vt:variant>
      <vt:variant>
        <vt:lpwstr>_Toc95070513</vt:lpwstr>
      </vt:variant>
      <vt:variant>
        <vt:i4>1179704</vt:i4>
      </vt:variant>
      <vt:variant>
        <vt:i4>68</vt:i4>
      </vt:variant>
      <vt:variant>
        <vt:i4>0</vt:i4>
      </vt:variant>
      <vt:variant>
        <vt:i4>5</vt:i4>
      </vt:variant>
      <vt:variant>
        <vt:lpwstr/>
      </vt:variant>
      <vt:variant>
        <vt:lpwstr>_Toc95070512</vt:lpwstr>
      </vt:variant>
      <vt:variant>
        <vt:i4>1114168</vt:i4>
      </vt:variant>
      <vt:variant>
        <vt:i4>62</vt:i4>
      </vt:variant>
      <vt:variant>
        <vt:i4>0</vt:i4>
      </vt:variant>
      <vt:variant>
        <vt:i4>5</vt:i4>
      </vt:variant>
      <vt:variant>
        <vt:lpwstr/>
      </vt:variant>
      <vt:variant>
        <vt:lpwstr>_Toc95070511</vt:lpwstr>
      </vt:variant>
      <vt:variant>
        <vt:i4>1048632</vt:i4>
      </vt:variant>
      <vt:variant>
        <vt:i4>56</vt:i4>
      </vt:variant>
      <vt:variant>
        <vt:i4>0</vt:i4>
      </vt:variant>
      <vt:variant>
        <vt:i4>5</vt:i4>
      </vt:variant>
      <vt:variant>
        <vt:lpwstr/>
      </vt:variant>
      <vt:variant>
        <vt:lpwstr>_Toc95070510</vt:lpwstr>
      </vt:variant>
      <vt:variant>
        <vt:i4>1638457</vt:i4>
      </vt:variant>
      <vt:variant>
        <vt:i4>50</vt:i4>
      </vt:variant>
      <vt:variant>
        <vt:i4>0</vt:i4>
      </vt:variant>
      <vt:variant>
        <vt:i4>5</vt:i4>
      </vt:variant>
      <vt:variant>
        <vt:lpwstr/>
      </vt:variant>
      <vt:variant>
        <vt:lpwstr>_Toc95070509</vt:lpwstr>
      </vt:variant>
      <vt:variant>
        <vt:i4>1572921</vt:i4>
      </vt:variant>
      <vt:variant>
        <vt:i4>44</vt:i4>
      </vt:variant>
      <vt:variant>
        <vt:i4>0</vt:i4>
      </vt:variant>
      <vt:variant>
        <vt:i4>5</vt:i4>
      </vt:variant>
      <vt:variant>
        <vt:lpwstr/>
      </vt:variant>
      <vt:variant>
        <vt:lpwstr>_Toc95070508</vt:lpwstr>
      </vt:variant>
      <vt:variant>
        <vt:i4>1507385</vt:i4>
      </vt:variant>
      <vt:variant>
        <vt:i4>38</vt:i4>
      </vt:variant>
      <vt:variant>
        <vt:i4>0</vt:i4>
      </vt:variant>
      <vt:variant>
        <vt:i4>5</vt:i4>
      </vt:variant>
      <vt:variant>
        <vt:lpwstr/>
      </vt:variant>
      <vt:variant>
        <vt:lpwstr>_Toc95070507</vt:lpwstr>
      </vt:variant>
      <vt:variant>
        <vt:i4>1441849</vt:i4>
      </vt:variant>
      <vt:variant>
        <vt:i4>32</vt:i4>
      </vt:variant>
      <vt:variant>
        <vt:i4>0</vt:i4>
      </vt:variant>
      <vt:variant>
        <vt:i4>5</vt:i4>
      </vt:variant>
      <vt:variant>
        <vt:lpwstr/>
      </vt:variant>
      <vt:variant>
        <vt:lpwstr>_Toc95070506</vt:lpwstr>
      </vt:variant>
      <vt:variant>
        <vt:i4>1376313</vt:i4>
      </vt:variant>
      <vt:variant>
        <vt:i4>26</vt:i4>
      </vt:variant>
      <vt:variant>
        <vt:i4>0</vt:i4>
      </vt:variant>
      <vt:variant>
        <vt:i4>5</vt:i4>
      </vt:variant>
      <vt:variant>
        <vt:lpwstr/>
      </vt:variant>
      <vt:variant>
        <vt:lpwstr>_Toc95070505</vt:lpwstr>
      </vt:variant>
      <vt:variant>
        <vt:i4>1310777</vt:i4>
      </vt:variant>
      <vt:variant>
        <vt:i4>20</vt:i4>
      </vt:variant>
      <vt:variant>
        <vt:i4>0</vt:i4>
      </vt:variant>
      <vt:variant>
        <vt:i4>5</vt:i4>
      </vt:variant>
      <vt:variant>
        <vt:lpwstr/>
      </vt:variant>
      <vt:variant>
        <vt:lpwstr>_Toc95070504</vt:lpwstr>
      </vt:variant>
      <vt:variant>
        <vt:i4>1245241</vt:i4>
      </vt:variant>
      <vt:variant>
        <vt:i4>14</vt:i4>
      </vt:variant>
      <vt:variant>
        <vt:i4>0</vt:i4>
      </vt:variant>
      <vt:variant>
        <vt:i4>5</vt:i4>
      </vt:variant>
      <vt:variant>
        <vt:lpwstr/>
      </vt:variant>
      <vt:variant>
        <vt:lpwstr>_Toc95070503</vt:lpwstr>
      </vt:variant>
      <vt:variant>
        <vt:i4>1179705</vt:i4>
      </vt:variant>
      <vt:variant>
        <vt:i4>8</vt:i4>
      </vt:variant>
      <vt:variant>
        <vt:i4>0</vt:i4>
      </vt:variant>
      <vt:variant>
        <vt:i4>5</vt:i4>
      </vt:variant>
      <vt:variant>
        <vt:lpwstr/>
      </vt:variant>
      <vt:variant>
        <vt:lpwstr>_Toc95070502</vt:lpwstr>
      </vt:variant>
      <vt:variant>
        <vt:i4>1114169</vt:i4>
      </vt:variant>
      <vt:variant>
        <vt:i4>2</vt:i4>
      </vt:variant>
      <vt:variant>
        <vt:i4>0</vt:i4>
      </vt:variant>
      <vt:variant>
        <vt:i4>5</vt:i4>
      </vt:variant>
      <vt:variant>
        <vt:lpwstr/>
      </vt:variant>
      <vt:variant>
        <vt:lpwstr>_Toc95070501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Delanote</dc:creator>
  <cp:keywords/>
  <dc:description/>
  <cp:lastModifiedBy>Tom L.J. Jansen (MINFIN)</cp:lastModifiedBy>
  <cp:revision>2</cp:revision>
  <cp:lastPrinted>2022-06-24T16:57:00Z</cp:lastPrinted>
  <dcterms:created xsi:type="dcterms:W3CDTF">2022-07-04T14:03:00Z</dcterms:created>
  <dcterms:modified xsi:type="dcterms:W3CDTF">2022-07-04T14:03:00Z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0x0101009A85392F85A440458D9892D12E1E56DF</vt:lpwstr>
  </property>
  <property fmtid="{D5CDD505-2E9C-101B-9397-08002B2CF9AE}" pid="3" name="TaxKeyword">
    <vt:lpwstr/>
  </property>
</Properties>
</file>